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5CF0F">
      <w:pPr>
        <w:pStyle w:val="20"/>
        <w:widowControl w:val="0"/>
        <w:tabs>
          <w:tab w:val="left" w:pos="642"/>
        </w:tabs>
        <w:spacing w:after="0" w:line="600" w:lineRule="exact"/>
        <w:rPr>
          <w:rFonts w:ascii="Times New Roman" w:hAnsi="Times New Roman" w:cs="宋体"/>
          <w:lang w:eastAsia="zh-CN"/>
        </w:rPr>
      </w:pPr>
      <w:r>
        <w:rPr>
          <w:rFonts w:hint="eastAsia" w:ascii="Times New Roman" w:hAnsi="Times New Roman" w:cs="宋体"/>
          <w:lang w:eastAsia="zh-CN"/>
        </w:rPr>
        <w:tab/>
      </w:r>
    </w:p>
    <w:p w14:paraId="548554C1">
      <w:pPr>
        <w:pStyle w:val="20"/>
        <w:widowControl w:val="0"/>
        <w:spacing w:after="0" w:line="600" w:lineRule="exact"/>
        <w:rPr>
          <w:rFonts w:ascii="Times New Roman" w:hAnsi="Times New Roman" w:cs="宋体"/>
          <w:lang w:eastAsia="zh-CN"/>
        </w:rPr>
      </w:pPr>
    </w:p>
    <w:p w14:paraId="1A1155F2">
      <w:pPr>
        <w:snapToGrid w:val="0"/>
        <w:spacing w:line="240" w:lineRule="auto"/>
        <w:jc w:val="center"/>
        <w:rPr>
          <w:rFonts w:ascii="Times New Roman" w:hAnsi="Times New Roman" w:eastAsia="宋体" w:cs="宋体"/>
          <w:b/>
          <w:bCs/>
          <w:color w:val="auto"/>
          <w:sz w:val="52"/>
          <w:szCs w:val="52"/>
        </w:rPr>
      </w:pPr>
    </w:p>
    <w:p w14:paraId="261AD29F">
      <w:pPr>
        <w:snapToGrid w:val="0"/>
        <w:spacing w:line="240" w:lineRule="auto"/>
        <w:jc w:val="center"/>
        <w:rPr>
          <w:rFonts w:ascii="Times New Roman" w:hAnsi="Times New Roman" w:eastAsia="宋体" w:cs="宋体"/>
          <w:b/>
          <w:bCs/>
          <w:color w:val="auto"/>
          <w:sz w:val="52"/>
          <w:szCs w:val="52"/>
        </w:rPr>
      </w:pPr>
      <w:r>
        <w:rPr>
          <w:rFonts w:hint="eastAsia" w:ascii="Times New Roman" w:hAnsi="Times New Roman" w:eastAsia="宋体" w:cs="宋体"/>
          <w:b/>
          <w:bCs/>
          <w:color w:val="auto"/>
          <w:sz w:val="52"/>
          <w:szCs w:val="52"/>
        </w:rPr>
        <w:t>辽宁省水利工程标准设备采购招标文件</w:t>
      </w:r>
    </w:p>
    <w:p w14:paraId="6E0EEFF5">
      <w:pPr>
        <w:snapToGrid w:val="0"/>
        <w:spacing w:line="900" w:lineRule="exact"/>
        <w:jc w:val="center"/>
        <w:rPr>
          <w:rFonts w:ascii="Times New Roman" w:hAnsi="Times New Roman" w:eastAsia="宋体" w:cs="宋体"/>
          <w:b/>
          <w:bCs/>
          <w:color w:val="auto"/>
          <w:sz w:val="52"/>
          <w:szCs w:val="52"/>
        </w:rPr>
      </w:pPr>
      <w:r>
        <w:rPr>
          <w:rFonts w:hint="eastAsia" w:ascii="Times New Roman" w:hAnsi="Times New Roman" w:eastAsia="宋体" w:cs="宋体"/>
          <w:b/>
          <w:bCs/>
          <w:color w:val="auto"/>
          <w:sz w:val="52"/>
          <w:szCs w:val="52"/>
        </w:rPr>
        <w:t>（电子招标）</w:t>
      </w:r>
    </w:p>
    <w:p w14:paraId="4E186DCF">
      <w:pPr>
        <w:spacing w:line="600" w:lineRule="exact"/>
        <w:rPr>
          <w:rFonts w:ascii="Times New Roman" w:hAnsi="Times New Roman" w:eastAsia="宋体" w:cs="宋体"/>
          <w:color w:val="auto"/>
        </w:rPr>
      </w:pPr>
    </w:p>
    <w:p w14:paraId="1A3975F1">
      <w:pPr>
        <w:spacing w:line="600" w:lineRule="exact"/>
        <w:rPr>
          <w:rFonts w:ascii="Times New Roman" w:hAnsi="Times New Roman" w:eastAsia="宋体" w:cs="宋体"/>
          <w:color w:val="auto"/>
        </w:rPr>
      </w:pPr>
    </w:p>
    <w:p w14:paraId="296E6CED">
      <w:pPr>
        <w:snapToGrid w:val="0"/>
        <w:jc w:val="center"/>
        <w:rPr>
          <w:rFonts w:ascii="Times New Roman" w:hAnsi="Times New Roman" w:eastAsia="宋体" w:cs="宋体"/>
          <w:b/>
          <w:bCs/>
          <w:color w:val="auto"/>
          <w:sz w:val="36"/>
          <w:szCs w:val="36"/>
        </w:rPr>
      </w:pPr>
      <w:r>
        <w:rPr>
          <w:rFonts w:hint="eastAsia" w:ascii="Times New Roman" w:hAnsi="Times New Roman" w:eastAsia="宋体" w:cs="宋体"/>
          <w:b/>
          <w:bCs/>
          <w:color w:val="auto"/>
          <w:sz w:val="36"/>
          <w:szCs w:val="36"/>
        </w:rPr>
        <w:t>（2023年版）</w:t>
      </w:r>
    </w:p>
    <w:p w14:paraId="0C5599CA">
      <w:pPr>
        <w:snapToGrid w:val="0"/>
        <w:jc w:val="center"/>
        <w:rPr>
          <w:rFonts w:ascii="Times New Roman" w:hAnsi="Times New Roman" w:eastAsia="宋体" w:cs="宋体"/>
          <w:b/>
          <w:bCs/>
          <w:color w:val="auto"/>
          <w:sz w:val="48"/>
          <w:szCs w:val="48"/>
        </w:rPr>
      </w:pPr>
    </w:p>
    <w:p w14:paraId="4AF99E1E">
      <w:pPr>
        <w:spacing w:line="600" w:lineRule="exact"/>
        <w:rPr>
          <w:rFonts w:ascii="Times New Roman" w:hAnsi="Times New Roman" w:eastAsia="宋体" w:cs="宋体"/>
          <w:color w:val="auto"/>
        </w:rPr>
      </w:pPr>
    </w:p>
    <w:p w14:paraId="6533C687">
      <w:pPr>
        <w:spacing w:line="600" w:lineRule="exact"/>
        <w:jc w:val="center"/>
        <w:rPr>
          <w:rFonts w:ascii="Times New Roman" w:hAnsi="Times New Roman" w:eastAsia="宋体" w:cs="宋体"/>
          <w:b/>
          <w:color w:val="auto"/>
          <w:sz w:val="60"/>
          <w:szCs w:val="60"/>
        </w:rPr>
      </w:pPr>
    </w:p>
    <w:p w14:paraId="0E541CE3">
      <w:pPr>
        <w:spacing w:line="600" w:lineRule="exact"/>
        <w:rPr>
          <w:rFonts w:ascii="Times New Roman" w:hAnsi="Times New Roman" w:eastAsia="宋体" w:cs="宋体"/>
          <w:color w:val="auto"/>
        </w:rPr>
      </w:pPr>
    </w:p>
    <w:p w14:paraId="4BE4DCE6">
      <w:pPr>
        <w:spacing w:line="600" w:lineRule="exact"/>
        <w:rPr>
          <w:rFonts w:ascii="Times New Roman" w:hAnsi="Times New Roman" w:eastAsia="宋体" w:cs="宋体"/>
          <w:color w:val="auto"/>
        </w:rPr>
      </w:pPr>
    </w:p>
    <w:p w14:paraId="25FB3262">
      <w:pPr>
        <w:spacing w:line="600" w:lineRule="exact"/>
        <w:rPr>
          <w:rFonts w:ascii="Times New Roman" w:hAnsi="Times New Roman" w:eastAsia="宋体" w:cs="宋体"/>
          <w:color w:val="auto"/>
        </w:rPr>
      </w:pPr>
    </w:p>
    <w:p w14:paraId="30C89060">
      <w:pPr>
        <w:spacing w:line="600" w:lineRule="exact"/>
        <w:rPr>
          <w:rFonts w:ascii="Times New Roman" w:hAnsi="Times New Roman" w:eastAsia="宋体" w:cs="宋体"/>
          <w:color w:val="auto"/>
        </w:rPr>
      </w:pPr>
    </w:p>
    <w:p w14:paraId="19578440">
      <w:pPr>
        <w:snapToGrid w:val="0"/>
        <w:spacing w:line="600" w:lineRule="exact"/>
        <w:jc w:val="center"/>
        <w:rPr>
          <w:rFonts w:ascii="Times New Roman" w:hAnsi="Times New Roman" w:eastAsia="宋体" w:cs="宋体"/>
          <w:b/>
          <w:color w:val="auto"/>
          <w:sz w:val="36"/>
          <w:szCs w:val="36"/>
        </w:rPr>
      </w:pPr>
      <w:r>
        <w:rPr>
          <w:rFonts w:hint="eastAsia" w:ascii="Times New Roman" w:hAnsi="Times New Roman" w:eastAsia="宋体" w:cs="宋体"/>
          <w:b/>
          <w:color w:val="auto"/>
          <w:sz w:val="36"/>
          <w:szCs w:val="36"/>
        </w:rPr>
        <w:t>辽宁省水利厅</w:t>
      </w:r>
    </w:p>
    <w:p w14:paraId="4D7948C4">
      <w:pPr>
        <w:jc w:val="center"/>
        <w:rPr>
          <w:rFonts w:ascii="Times New Roman" w:hAnsi="Times New Roman" w:eastAsia="宋体" w:cs="宋体"/>
          <w:color w:val="auto"/>
        </w:rPr>
      </w:pPr>
    </w:p>
    <w:p w14:paraId="40E965EA">
      <w:pPr>
        <w:widowControl w:val="0"/>
        <w:snapToGrid w:val="0"/>
        <w:spacing w:after="0" w:line="360" w:lineRule="auto"/>
        <w:jc w:val="center"/>
        <w:rPr>
          <w:rFonts w:ascii="Times New Roman" w:hAnsi="Times New Roman" w:eastAsia="宋体" w:cs="宋体"/>
          <w:b/>
          <w:color w:val="auto"/>
          <w:sz w:val="44"/>
          <w:szCs w:val="44"/>
        </w:rPr>
      </w:pPr>
    </w:p>
    <w:p w14:paraId="54F78C43">
      <w:pPr>
        <w:widowControl w:val="0"/>
        <w:snapToGrid w:val="0"/>
        <w:jc w:val="center"/>
        <w:rPr>
          <w:rFonts w:ascii="Times New Roman" w:hAnsi="Times New Roman" w:eastAsia="宋体" w:cs="宋体"/>
          <w:b/>
          <w:color w:val="auto"/>
          <w:sz w:val="44"/>
          <w:szCs w:val="44"/>
        </w:rPr>
        <w:sectPr>
          <w:headerReference r:id="rId5" w:type="default"/>
          <w:footerReference r:id="rId6" w:type="default"/>
          <w:pgSz w:w="11906" w:h="16838"/>
          <w:pgMar w:top="1474" w:right="1474" w:bottom="1474" w:left="1474" w:header="737" w:footer="850" w:gutter="0"/>
          <w:cols w:space="720" w:num="1"/>
          <w:docGrid w:linePitch="312" w:charSpace="0"/>
        </w:sectPr>
      </w:pPr>
    </w:p>
    <w:p w14:paraId="37CCC068">
      <w:pPr>
        <w:widowControl w:val="0"/>
        <w:adjustRightInd w:val="0"/>
        <w:snapToGrid w:val="0"/>
        <w:spacing w:after="0" w:line="490" w:lineRule="exact"/>
        <w:jc w:val="center"/>
        <w:rPr>
          <w:rFonts w:ascii="Times New Roman" w:hAnsi="Times New Roman" w:eastAsia="宋体" w:cs="宋体"/>
          <w:b/>
          <w:bCs/>
          <w:color w:val="auto"/>
          <w:sz w:val="32"/>
          <w:szCs w:val="24"/>
        </w:rPr>
      </w:pPr>
      <w:r>
        <w:rPr>
          <w:rFonts w:hint="eastAsia" w:ascii="Times New Roman" w:hAnsi="Times New Roman" w:eastAsia="宋体" w:cs="宋体"/>
          <w:b/>
          <w:bCs/>
          <w:color w:val="auto"/>
          <w:sz w:val="32"/>
          <w:szCs w:val="24"/>
        </w:rPr>
        <w:t>使用说明</w:t>
      </w:r>
    </w:p>
    <w:p w14:paraId="44FE15F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一、辽宁省水利工程标准设备采购招标文件（电子招标）（以下简称“标准设备采购招标文件（电子招标）”）依据《中华人民共和国招标投标法》、《中华人民共和国招标投标法实施条例》（国务院令613号）、《工程建设项目货物招标投标办法》（国家发展改革委等7部委27号令）、《关于印发&lt;标准设备采购招标文件&gt;等五个标准招标文件的通知》（发改法规〔2017〕1606号）、《电子招标投标办法》（国家发改委令第20号）等编制。</w:t>
      </w:r>
    </w:p>
    <w:p w14:paraId="629EA4A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二、《标准设备采购招标文件（电子招标）》适用于本省行政区域内，符合《必须招标的工程项目规定》（国家发改委第16号令）和《必须招标的基础设施和公用事业项目范围规定》（发改法规规〔2018〕843号）规定的各类水利项目设备采购招标，其他项目可参照使用。</w:t>
      </w:r>
    </w:p>
    <w:p w14:paraId="7B1FDD1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三、《标准设备采购招标文件（电子招标）》用相同序号标示的章、节、条、款、项、目，供招标人和投标人选择使用。以空格标示的由招标人填写的内容，招标人应根据招标项目具体特点和实际需要具体化，确实没有需要填写的，在空格中用“/”标示。</w:t>
      </w:r>
    </w:p>
    <w:p w14:paraId="10723C5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四、招标人按照《标准设备采购招标文件（电子招标）》第一章的内容发布招标公告或发出投标邀请书后，将招标公告（投标邀请书）编入招标文件中，作为投标邀请。其中，招标公告应同时注明该公告发布的所有媒介名称。</w:t>
      </w:r>
    </w:p>
    <w:p w14:paraId="0982707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五、《标准设备采购招标文件（电子招标）》第二章投标人须知正文应全文引用。“投标人须知前附表”用于进一步明确“投标人须知正文”中未尽事宜，招标人应结合招标项目具体特点和实际需要编制和填写，但不得与“投标人须知正文”内容相抵触，否则抵触内容无效。“投标人须知”附件所提供的 格式文件供招标人参考使用。</w:t>
      </w:r>
    </w:p>
    <w:p w14:paraId="6C212CF1">
      <w:pPr>
        <w:widowControl w:val="0"/>
        <w:adjustRightInd w:val="0"/>
        <w:snapToGrid w:val="0"/>
        <w:spacing w:after="0" w:line="490" w:lineRule="exact"/>
        <w:ind w:firstLine="560" w:firstLineChars="200"/>
        <w:jc w:val="both"/>
        <w:rPr>
          <w:rFonts w:ascii="宋体" w:hAnsi="宋体" w:eastAsia="宋体" w:cs="宋体"/>
          <w:color w:val="auto"/>
          <w:sz w:val="28"/>
          <w:szCs w:val="28"/>
        </w:rPr>
      </w:pPr>
      <w:r>
        <w:rPr>
          <w:rFonts w:hint="eastAsia" w:ascii="Times New Roman" w:hAnsi="Times New Roman" w:eastAsia="宋体" w:cs="宋体"/>
          <w:color w:val="auto"/>
          <w:sz w:val="28"/>
          <w:szCs w:val="28"/>
        </w:rPr>
        <w:t>六、</w:t>
      </w:r>
      <w:r>
        <w:rPr>
          <w:rFonts w:hint="eastAsia" w:ascii="宋体" w:hAnsi="宋体" w:eastAsia="宋体" w:cs="宋体"/>
          <w:color w:val="auto"/>
          <w:sz w:val="28"/>
          <w:szCs w:val="28"/>
        </w:rPr>
        <w:t>《标准材料采购招标文件（电子招标）》第三章“评标办法”分别规定综合评估法和经评审的最低投标价法两种评标方法，供招标人根据招标项目具体特点和实际需要选择使用。招标人选择使用综合评估法的，各评审因素的评审标准、分值和权重等由招标人自主确定。国务院有关部门对各评审因素的评审标准、分值和权重等有规定的，从其规定。</w:t>
      </w:r>
    </w:p>
    <w:p w14:paraId="4FC5FDBB">
      <w:pPr>
        <w:widowControl w:val="0"/>
        <w:adjustRightInd w:val="0"/>
        <w:snapToGrid w:val="0"/>
        <w:spacing w:after="0" w:line="490" w:lineRule="exact"/>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第三章“评标办法”前附表应列明全部评审因素和评审标准，并在本章附件标明投标人不满足要求即否决其投标的全部条款。</w:t>
      </w:r>
    </w:p>
    <w:p w14:paraId="79A3C33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七、《标准设备采购招标文件（电子招标）》第四章“合同条款及格式”中通用合同条款应全文引用，专用合同条款对通用合同条款进行补充、细化。除通用合同条款明确专用合同条款可作出不同约定外，专用合同条款补充细化的内容不得与通用合同条款规定相抵触，不得违反法律法规和规章的有关规定和平等、自愿、公平以及诚实信用原则。</w:t>
      </w:r>
    </w:p>
    <w:p w14:paraId="1A856F2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八、《标准设备采购招标文件（电子招标）》第五章“供货要求”由招标人根据行业设备采购招标文件（如有）、招标项目具体特点和实际需要编制，并与“投标人须知”“通用合同条款”“专用合同条款”相衔接。</w:t>
      </w:r>
    </w:p>
    <w:p w14:paraId="0C06C26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九、投标文件按第六章“投标文件格式”编制。未给出格式部分，投标人可自行拟定。</w:t>
      </w:r>
    </w:p>
    <w:p w14:paraId="7A5DA87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十、《标准设备采购招标文件（电子招标）》中“以上”“以下”“以内”“不少于” “不超过”除另有约定外均包含本数。</w:t>
      </w:r>
    </w:p>
    <w:p w14:paraId="7614A10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十一、《标准设备采购招标文件（电子招标）》内规定的时间均指“北京时间”。</w:t>
      </w:r>
    </w:p>
    <w:p w14:paraId="1072E55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十二、《标准设备采购招标文件（电子招标）》内规定的签章以第六章投标文件格式要求为准。</w:t>
      </w:r>
    </w:p>
    <w:p w14:paraId="22D3D81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十三、《标准设备采购招标文件（电子招标）》中有关招标人的约定除特别声明外，同时适用于受其委托承担招标代理任务的招标代理机构。</w:t>
      </w:r>
    </w:p>
    <w:p w14:paraId="34160D1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十四、《标准设备采购招标文件（电子招标）》自印发之日起执行，将根据实际执行过程中出现的问题以及国家、水利部、辽宁省水利厅相关规定和水利行业标准施工招标文件的修订情况及时进行修改。</w:t>
      </w:r>
    </w:p>
    <w:p w14:paraId="4D01660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br w:type="page"/>
      </w:r>
      <w:r>
        <w:rPr>
          <w:rFonts w:hint="eastAsia" w:ascii="Times New Roman" w:hAnsi="Times New Roman" w:eastAsia="宋体" w:cs="宋体"/>
          <w:color w:val="auto"/>
          <w:sz w:val="28"/>
          <w:szCs w:val="28"/>
        </w:rPr>
        <w:t xml:space="preserve"> </w:t>
      </w:r>
    </w:p>
    <w:p w14:paraId="49B2F9BF">
      <w:pPr>
        <w:widowControl w:val="0"/>
        <w:adjustRightInd w:val="0"/>
        <w:snapToGrid w:val="0"/>
        <w:spacing w:after="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7223F5DE">
      <w:pPr>
        <w:jc w:val="center"/>
        <w:rPr>
          <w:rFonts w:ascii="宋体" w:hAnsi="宋体" w:eastAsia="宋体" w:cs="宋体"/>
          <w:color w:val="auto"/>
          <w:sz w:val="32"/>
          <w:szCs w:val="32"/>
        </w:rPr>
      </w:pPr>
      <w:r>
        <w:rPr>
          <w:rFonts w:hint="eastAsia" w:ascii="宋体" w:hAnsi="宋体" w:eastAsia="宋体" w:cs="宋体"/>
          <w:color w:val="auto"/>
          <w:sz w:val="32"/>
          <w:szCs w:val="32"/>
          <w:u w:val="single"/>
        </w:rPr>
        <w:t>大石桥市西部农村供水工程（一期）四标段-八标段工程设备及安装项目</w:t>
      </w:r>
      <w:r>
        <w:rPr>
          <w:rFonts w:hint="eastAsia" w:ascii="宋体" w:hAnsi="宋体" w:eastAsia="宋体" w:cs="宋体"/>
          <w:color w:val="auto"/>
          <w:sz w:val="32"/>
          <w:szCs w:val="32"/>
        </w:rPr>
        <w:t>（项目名称）</w:t>
      </w:r>
    </w:p>
    <w:p w14:paraId="689C2B8C">
      <w:pPr>
        <w:jc w:val="center"/>
        <w:rPr>
          <w:rFonts w:ascii="宋体" w:hAnsi="宋体" w:eastAsia="宋体" w:cs="宋体"/>
          <w:color w:val="auto"/>
          <w:sz w:val="32"/>
          <w:szCs w:val="32"/>
        </w:rPr>
      </w:pPr>
      <w:r>
        <w:rPr>
          <w:rFonts w:ascii="宋体" w:hAnsi="宋体" w:eastAsia="宋体" w:cs="宋体"/>
          <w:color w:val="auto"/>
          <w:sz w:val="32"/>
          <w:szCs w:val="32"/>
          <w:u w:val="single"/>
        </w:rPr>
        <w:t>6</w:t>
      </w:r>
      <w:r>
        <w:rPr>
          <w:rFonts w:hint="eastAsia" w:ascii="宋体" w:hAnsi="宋体" w:eastAsia="宋体" w:cs="宋体"/>
          <w:color w:val="auto"/>
          <w:sz w:val="32"/>
          <w:szCs w:val="32"/>
          <w:u w:val="single"/>
        </w:rPr>
        <w:t>标段</w:t>
      </w:r>
      <w:r>
        <w:rPr>
          <w:rFonts w:hint="eastAsia" w:ascii="宋体" w:hAnsi="宋体" w:eastAsia="宋体" w:cs="宋体"/>
          <w:color w:val="auto"/>
          <w:sz w:val="32"/>
          <w:szCs w:val="32"/>
        </w:rPr>
        <w:t>（标段名称）</w:t>
      </w:r>
    </w:p>
    <w:p w14:paraId="4A3F9B43">
      <w:pPr>
        <w:spacing w:line="288" w:lineRule="auto"/>
        <w:jc w:val="center"/>
        <w:rPr>
          <w:rFonts w:ascii="Times New Roman" w:hAnsi="Times New Roman" w:eastAsia="宋体" w:cs="宋体"/>
          <w:b/>
          <w:bCs/>
          <w:color w:val="auto"/>
          <w:szCs w:val="52"/>
        </w:rPr>
      </w:pPr>
    </w:p>
    <w:p w14:paraId="0534276B">
      <w:pPr>
        <w:spacing w:line="288" w:lineRule="auto"/>
        <w:jc w:val="center"/>
        <w:rPr>
          <w:rFonts w:ascii="Times New Roman" w:hAnsi="Times New Roman" w:eastAsia="宋体" w:cs="宋体"/>
          <w:b/>
          <w:bCs/>
          <w:color w:val="auto"/>
          <w:szCs w:val="52"/>
        </w:rPr>
      </w:pPr>
    </w:p>
    <w:p w14:paraId="3CD8F1B0">
      <w:pPr>
        <w:spacing w:line="288" w:lineRule="auto"/>
        <w:jc w:val="center"/>
        <w:rPr>
          <w:rFonts w:ascii="Times New Roman" w:hAnsi="Times New Roman" w:eastAsia="宋体" w:cs="宋体"/>
          <w:b/>
          <w:bCs/>
          <w:color w:val="auto"/>
          <w:szCs w:val="52"/>
        </w:rPr>
      </w:pPr>
    </w:p>
    <w:p w14:paraId="69BCC128">
      <w:pPr>
        <w:jc w:val="center"/>
        <w:rPr>
          <w:rFonts w:ascii="Times New Roman" w:hAnsi="Times New Roman" w:eastAsia="宋体" w:cs="宋体"/>
          <w:b/>
          <w:bCs/>
          <w:color w:val="auto"/>
          <w:sz w:val="72"/>
          <w:szCs w:val="72"/>
        </w:rPr>
      </w:pPr>
      <w:r>
        <w:rPr>
          <w:rFonts w:hint="eastAsia" w:ascii="Times New Roman" w:hAnsi="Times New Roman" w:eastAsia="宋体" w:cs="宋体"/>
          <w:b/>
          <w:bCs/>
          <w:color w:val="auto"/>
          <w:sz w:val="72"/>
          <w:szCs w:val="72"/>
        </w:rPr>
        <w:t>招 标 文 件</w:t>
      </w:r>
    </w:p>
    <w:p w14:paraId="094AFBAB">
      <w:pPr>
        <w:spacing w:line="600" w:lineRule="exact"/>
        <w:jc w:val="center"/>
        <w:rPr>
          <w:rFonts w:ascii="Times New Roman" w:hAnsi="Times New Roman" w:eastAsia="宋体" w:cs="宋体"/>
          <w:b/>
          <w:bCs/>
          <w:color w:val="auto"/>
          <w:sz w:val="72"/>
          <w:szCs w:val="72"/>
        </w:rPr>
      </w:pPr>
    </w:p>
    <w:p w14:paraId="1CA58453">
      <w:pPr>
        <w:jc w:val="center"/>
        <w:rPr>
          <w:rFonts w:ascii="Times New Roman" w:hAnsi="Times New Roman" w:eastAsia="宋体" w:cs="宋体"/>
          <w:b/>
          <w:bCs/>
          <w:color w:val="auto"/>
          <w:sz w:val="28"/>
          <w:szCs w:val="28"/>
          <w:highlight w:val="yellow"/>
        </w:rPr>
      </w:pPr>
      <w:r>
        <w:rPr>
          <w:rFonts w:hint="eastAsia" w:ascii="Times New Roman" w:hAnsi="Times New Roman" w:eastAsia="宋体" w:cs="宋体"/>
          <w:b/>
          <w:bCs/>
          <w:color w:val="auto"/>
          <w:sz w:val="28"/>
          <w:szCs w:val="28"/>
        </w:rPr>
        <w:t>（标段编号：</w:t>
      </w:r>
      <w:r>
        <w:rPr>
          <w:rFonts w:hint="eastAsia" w:ascii="Times New Roman" w:hAnsi="Times New Roman" w:eastAsia="宋体" w:cs="宋体"/>
          <w:b/>
          <w:bCs/>
          <w:color w:val="auto"/>
          <w:sz w:val="28"/>
          <w:szCs w:val="28"/>
          <w:highlight w:val="yellow"/>
          <w:u w:val="single"/>
        </w:rPr>
        <w:t xml:space="preserve">  （LNJYGC20250520005001001）  </w:t>
      </w:r>
      <w:r>
        <w:rPr>
          <w:rFonts w:hint="eastAsia" w:ascii="Times New Roman" w:hAnsi="Times New Roman" w:eastAsia="宋体" w:cs="宋体"/>
          <w:b/>
          <w:bCs/>
          <w:color w:val="auto"/>
          <w:sz w:val="28"/>
          <w:szCs w:val="28"/>
          <w:highlight w:val="yellow"/>
        </w:rPr>
        <w:t>）</w:t>
      </w:r>
    </w:p>
    <w:p w14:paraId="14D21648">
      <w:pPr>
        <w:spacing w:line="600" w:lineRule="exact"/>
        <w:jc w:val="center"/>
        <w:rPr>
          <w:rFonts w:ascii="Times New Roman" w:hAnsi="Times New Roman" w:eastAsia="宋体" w:cs="宋体"/>
          <w:b/>
          <w:bCs/>
          <w:color w:val="auto"/>
          <w:sz w:val="72"/>
          <w:szCs w:val="72"/>
        </w:rPr>
      </w:pPr>
    </w:p>
    <w:p w14:paraId="5AAD8F7D">
      <w:pPr>
        <w:spacing w:line="600" w:lineRule="exact"/>
        <w:jc w:val="center"/>
        <w:rPr>
          <w:rFonts w:ascii="Times New Roman" w:hAnsi="Times New Roman" w:eastAsia="宋体" w:cs="宋体"/>
          <w:b/>
          <w:bCs/>
          <w:color w:val="auto"/>
          <w:sz w:val="72"/>
          <w:szCs w:val="72"/>
        </w:rPr>
      </w:pPr>
    </w:p>
    <w:p w14:paraId="4F668540">
      <w:pPr>
        <w:spacing w:line="600" w:lineRule="exact"/>
        <w:jc w:val="center"/>
        <w:rPr>
          <w:rFonts w:ascii="Times New Roman" w:hAnsi="Times New Roman" w:eastAsia="宋体" w:cs="宋体"/>
          <w:b/>
          <w:bCs/>
          <w:color w:val="auto"/>
          <w:sz w:val="72"/>
          <w:szCs w:val="72"/>
        </w:rPr>
      </w:pPr>
    </w:p>
    <w:p w14:paraId="2B12D619">
      <w:pPr>
        <w:spacing w:line="600" w:lineRule="exact"/>
        <w:jc w:val="center"/>
        <w:rPr>
          <w:rFonts w:ascii="Times New Roman" w:hAnsi="Times New Roman" w:eastAsia="宋体" w:cs="宋体"/>
          <w:b/>
          <w:bCs/>
          <w:color w:val="auto"/>
          <w:sz w:val="72"/>
          <w:szCs w:val="72"/>
        </w:rPr>
      </w:pPr>
    </w:p>
    <w:p w14:paraId="0CAC3B80"/>
    <w:p w14:paraId="46735CBD">
      <w:pPr>
        <w:spacing w:line="800" w:lineRule="exact"/>
        <w:ind w:firstLine="2184" w:firstLineChars="780"/>
        <w:rPr>
          <w:rFonts w:ascii="Times New Roman" w:hAnsi="Times New Roman" w:eastAsia="宋体" w:cs="宋体"/>
          <w:bCs/>
          <w:color w:val="auto"/>
          <w:kern w:val="0"/>
          <w:sz w:val="28"/>
          <w:szCs w:val="28"/>
          <w:u w:val="single"/>
        </w:rPr>
      </w:pPr>
      <w:r>
        <w:rPr>
          <w:rFonts w:hint="eastAsia" w:ascii="Times New Roman" w:hAnsi="Times New Roman" w:eastAsia="宋体" w:cs="宋体"/>
          <w:bCs/>
          <w:color w:val="auto"/>
          <w:kern w:val="0"/>
          <w:sz w:val="28"/>
          <w:szCs w:val="28"/>
        </w:rPr>
        <w:t>招  标  人：</w:t>
      </w:r>
      <w:r>
        <w:rPr>
          <w:rFonts w:hint="eastAsia" w:ascii="Times New Roman" w:hAnsi="Times New Roman" w:eastAsia="宋体" w:cs="宋体"/>
          <w:bCs/>
          <w:color w:val="auto"/>
          <w:kern w:val="0"/>
          <w:sz w:val="28"/>
          <w:szCs w:val="28"/>
          <w:u w:val="single"/>
        </w:rPr>
        <w:t>大石桥市清源水务建设有限公司</w:t>
      </w:r>
    </w:p>
    <w:p w14:paraId="52B9A430">
      <w:pPr>
        <w:spacing w:line="800" w:lineRule="exact"/>
        <w:ind w:firstLine="2184" w:firstLineChars="780"/>
        <w:rPr>
          <w:rFonts w:ascii="Times New Roman" w:hAnsi="Times New Roman" w:eastAsia="宋体" w:cs="宋体"/>
          <w:bCs/>
          <w:color w:val="auto"/>
          <w:kern w:val="0"/>
          <w:sz w:val="28"/>
          <w:szCs w:val="28"/>
        </w:rPr>
      </w:pPr>
      <w:r>
        <w:rPr>
          <w:rFonts w:hint="eastAsia" w:ascii="Times New Roman" w:hAnsi="Times New Roman" w:eastAsia="宋体" w:cs="宋体"/>
          <w:bCs/>
          <w:color w:val="auto"/>
          <w:kern w:val="0"/>
          <w:sz w:val="28"/>
          <w:szCs w:val="28"/>
        </w:rPr>
        <w:t>招标代理机构：</w:t>
      </w:r>
      <w:r>
        <w:rPr>
          <w:rFonts w:hint="eastAsia" w:ascii="Times New Roman" w:hAnsi="Times New Roman" w:eastAsia="宋体" w:cs="宋体"/>
          <w:bCs/>
          <w:color w:val="auto"/>
          <w:kern w:val="0"/>
          <w:sz w:val="28"/>
          <w:szCs w:val="28"/>
          <w:u w:val="single"/>
        </w:rPr>
        <w:t>中招国际招标有限公司</w:t>
      </w:r>
    </w:p>
    <w:p w14:paraId="36DCA3FF">
      <w:pPr>
        <w:spacing w:after="0" w:line="800" w:lineRule="exact"/>
        <w:ind w:firstLine="2520" w:firstLineChars="900"/>
        <w:rPr>
          <w:rFonts w:ascii="Times New Roman" w:hAnsi="Times New Roman" w:eastAsia="宋体" w:cs="宋体"/>
          <w:b/>
          <w:color w:val="auto"/>
          <w:sz w:val="28"/>
          <w:szCs w:val="28"/>
          <w:highlight w:val="yellow"/>
        </w:rPr>
      </w:pPr>
      <w:r>
        <w:rPr>
          <w:rFonts w:hint="eastAsia" w:ascii="Times New Roman" w:hAnsi="Times New Roman" w:eastAsia="宋体" w:cs="宋体"/>
          <w:bCs/>
          <w:color w:val="auto"/>
          <w:sz w:val="28"/>
          <w:szCs w:val="28"/>
          <w:highlight w:val="yellow"/>
          <w:u w:val="single"/>
        </w:rPr>
        <w:t>2025</w:t>
      </w:r>
      <w:r>
        <w:rPr>
          <w:rFonts w:hint="eastAsia" w:ascii="Times New Roman" w:hAnsi="Times New Roman" w:eastAsia="宋体" w:cs="宋体"/>
          <w:bCs/>
          <w:color w:val="auto"/>
          <w:sz w:val="28"/>
          <w:szCs w:val="28"/>
          <w:highlight w:val="yellow"/>
        </w:rPr>
        <w:t>年</w:t>
      </w:r>
      <w:r>
        <w:rPr>
          <w:rFonts w:hint="eastAsia" w:ascii="Times New Roman" w:hAnsi="Times New Roman" w:eastAsia="宋体" w:cs="宋体"/>
          <w:bCs/>
          <w:color w:val="auto"/>
          <w:sz w:val="28"/>
          <w:szCs w:val="28"/>
          <w:highlight w:val="yellow"/>
          <w:u w:val="single"/>
        </w:rPr>
        <w:t>5</w:t>
      </w:r>
      <w:r>
        <w:rPr>
          <w:rFonts w:hint="eastAsia" w:ascii="Times New Roman" w:hAnsi="Times New Roman" w:eastAsia="宋体" w:cs="宋体"/>
          <w:bCs/>
          <w:color w:val="auto"/>
          <w:sz w:val="28"/>
          <w:szCs w:val="28"/>
          <w:highlight w:val="yellow"/>
        </w:rPr>
        <w:t>月</w:t>
      </w:r>
      <w:r>
        <w:rPr>
          <w:rFonts w:hint="eastAsia" w:ascii="Times New Roman" w:hAnsi="Times New Roman" w:eastAsia="宋体" w:cs="宋体"/>
          <w:bCs/>
          <w:color w:val="auto"/>
          <w:sz w:val="28"/>
          <w:szCs w:val="28"/>
          <w:highlight w:val="yellow"/>
          <w:u w:val="single"/>
        </w:rPr>
        <w:t>20</w:t>
      </w:r>
      <w:r>
        <w:rPr>
          <w:rFonts w:hint="eastAsia" w:ascii="Times New Roman" w:hAnsi="Times New Roman" w:eastAsia="宋体" w:cs="宋体"/>
          <w:bCs/>
          <w:color w:val="auto"/>
          <w:sz w:val="28"/>
          <w:szCs w:val="28"/>
          <w:highlight w:val="yellow"/>
        </w:rPr>
        <w:t>日</w:t>
      </w:r>
    </w:p>
    <w:p w14:paraId="498C5051">
      <w:pPr>
        <w:widowControl w:val="0"/>
        <w:adjustRightInd w:val="0"/>
        <w:snapToGrid w:val="0"/>
        <w:spacing w:after="0"/>
        <w:rPr>
          <w:rFonts w:ascii="Times New Roman" w:hAnsi="Times New Roman" w:eastAsia="宋体" w:cs="宋体"/>
          <w:b/>
          <w:color w:val="auto"/>
          <w:sz w:val="28"/>
          <w:szCs w:val="28"/>
        </w:rPr>
      </w:pPr>
      <w:r>
        <w:rPr>
          <w:rFonts w:hint="eastAsia" w:ascii="Times New Roman" w:hAnsi="Times New Roman" w:eastAsia="宋体" w:cs="宋体"/>
          <w:b/>
          <w:color w:val="auto"/>
          <w:sz w:val="28"/>
          <w:szCs w:val="28"/>
        </w:rPr>
        <w:t xml:space="preserve">  </w:t>
      </w:r>
    </w:p>
    <w:p w14:paraId="26F215BC">
      <w:pPr>
        <w:widowControl w:val="0"/>
        <w:adjustRightInd w:val="0"/>
        <w:snapToGrid w:val="0"/>
        <w:spacing w:after="0" w:line="265" w:lineRule="auto"/>
        <w:ind w:hanging="10"/>
        <w:jc w:val="center"/>
        <w:rPr>
          <w:rFonts w:ascii="Times New Roman" w:hAnsi="Times New Roman" w:eastAsia="宋体" w:cs="宋体"/>
          <w:b/>
          <w:color w:val="auto"/>
          <w:sz w:val="28"/>
        </w:rPr>
      </w:pPr>
      <w:r>
        <w:rPr>
          <w:rFonts w:hint="eastAsia" w:ascii="Times New Roman" w:hAnsi="Times New Roman" w:eastAsia="宋体" w:cs="宋体"/>
          <w:b/>
          <w:color w:val="auto"/>
          <w:sz w:val="28"/>
        </w:rPr>
        <w:br w:type="page"/>
      </w:r>
    </w:p>
    <w:p w14:paraId="30388CC3">
      <w:pPr>
        <w:widowControl w:val="0"/>
        <w:adjustRightInd w:val="0"/>
        <w:snapToGrid w:val="0"/>
        <w:spacing w:after="0" w:line="265" w:lineRule="auto"/>
        <w:ind w:hanging="10"/>
        <w:jc w:val="center"/>
        <w:rPr>
          <w:rFonts w:ascii="Times New Roman" w:hAnsi="Times New Roman" w:eastAsia="宋体" w:cs="宋体"/>
          <w:b/>
          <w:bCs/>
          <w:color w:val="auto"/>
          <w:sz w:val="36"/>
          <w:szCs w:val="36"/>
        </w:rPr>
      </w:pPr>
      <w:r>
        <w:rPr>
          <w:rFonts w:hint="eastAsia" w:ascii="Times New Roman" w:hAnsi="Times New Roman" w:eastAsia="宋体" w:cs="宋体"/>
          <w:b/>
          <w:bCs/>
          <w:color w:val="auto"/>
          <w:sz w:val="36"/>
          <w:szCs w:val="36"/>
        </w:rPr>
        <w:t xml:space="preserve">目  录 </w:t>
      </w:r>
    </w:p>
    <w:p w14:paraId="047CE8EA">
      <w:pPr>
        <w:widowControl w:val="0"/>
        <w:adjustRightInd w:val="0"/>
        <w:snapToGrid w:val="0"/>
        <w:spacing w:after="0" w:line="265" w:lineRule="auto"/>
        <w:ind w:hanging="10"/>
        <w:jc w:val="center"/>
        <w:rPr>
          <w:rFonts w:ascii="Times New Roman" w:hAnsi="Times New Roman" w:eastAsia="宋体" w:cs="宋体"/>
          <w:b/>
          <w:bCs/>
          <w:color w:val="auto"/>
          <w:sz w:val="36"/>
          <w:szCs w:val="36"/>
        </w:rPr>
      </w:pPr>
    </w:p>
    <w:p w14:paraId="470004D7">
      <w:pPr>
        <w:pStyle w:val="11"/>
        <w:tabs>
          <w:tab w:val="right" w:leader="dot" w:pos="9070"/>
        </w:tabs>
      </w:pP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TOC \o "1-2" \h \z \u </w:instrText>
      </w:r>
      <w:r>
        <w:rPr>
          <w:rFonts w:hint="eastAsia" w:ascii="Times New Roman" w:hAnsi="Times New Roman" w:eastAsia="宋体" w:cs="宋体"/>
          <w:color w:val="auto"/>
          <w:sz w:val="24"/>
          <w:szCs w:val="24"/>
        </w:rPr>
        <w:fldChar w:fldCharType="separate"/>
      </w:r>
      <w:r>
        <w:fldChar w:fldCharType="begin"/>
      </w:r>
      <w:r>
        <w:instrText xml:space="preserve"> HYPERLINK \l "_Toc11676" </w:instrText>
      </w:r>
      <w:r>
        <w:fldChar w:fldCharType="separate"/>
      </w:r>
      <w:r>
        <w:rPr>
          <w:rFonts w:hint="eastAsia" w:ascii="Times New Roman" w:hAnsi="Times New Roman" w:eastAsia="宋体" w:cs="宋体"/>
          <w:szCs w:val="52"/>
        </w:rPr>
        <w:t>第一卷</w:t>
      </w:r>
      <w:r>
        <w:tab/>
      </w:r>
      <w:r>
        <w:fldChar w:fldCharType="begin"/>
      </w:r>
      <w:r>
        <w:instrText xml:space="preserve"> PAGEREF _Toc11676 \h </w:instrText>
      </w:r>
      <w:r>
        <w:fldChar w:fldCharType="separate"/>
      </w:r>
      <w:r>
        <w:t>7</w:t>
      </w:r>
      <w:r>
        <w:fldChar w:fldCharType="end"/>
      </w:r>
      <w:r>
        <w:fldChar w:fldCharType="end"/>
      </w:r>
    </w:p>
    <w:p w14:paraId="66C68FE8">
      <w:pPr>
        <w:pStyle w:val="11"/>
        <w:tabs>
          <w:tab w:val="right" w:leader="dot" w:pos="9070"/>
        </w:tabs>
      </w:pPr>
      <w:r>
        <w:fldChar w:fldCharType="begin"/>
      </w:r>
      <w:r>
        <w:instrText xml:space="preserve"> HYPERLINK \l "_Toc26179" </w:instrText>
      </w:r>
      <w:r>
        <w:fldChar w:fldCharType="separate"/>
      </w:r>
      <w:r>
        <w:rPr>
          <w:rFonts w:hint="eastAsia" w:ascii="Times New Roman" w:hAnsi="Times New Roman" w:eastAsia="宋体" w:cs="宋体"/>
          <w:bCs/>
          <w:szCs w:val="44"/>
        </w:rPr>
        <w:t>招标公告</w:t>
      </w:r>
      <w:r>
        <w:tab/>
      </w:r>
      <w:r>
        <w:fldChar w:fldCharType="begin"/>
      </w:r>
      <w:r>
        <w:instrText xml:space="preserve"> PAGEREF _Toc26179 \h </w:instrText>
      </w:r>
      <w:r>
        <w:fldChar w:fldCharType="separate"/>
      </w:r>
      <w:r>
        <w:t>8</w:t>
      </w:r>
      <w:r>
        <w:fldChar w:fldCharType="end"/>
      </w:r>
      <w:r>
        <w:fldChar w:fldCharType="end"/>
      </w:r>
    </w:p>
    <w:p w14:paraId="6A8BB562">
      <w:pPr>
        <w:pStyle w:val="13"/>
        <w:tabs>
          <w:tab w:val="right" w:leader="dot" w:pos="9070"/>
        </w:tabs>
      </w:pPr>
      <w:r>
        <w:fldChar w:fldCharType="begin"/>
      </w:r>
      <w:r>
        <w:instrText xml:space="preserve"> HYPERLINK \l "_Toc6971" </w:instrText>
      </w:r>
      <w:r>
        <w:fldChar w:fldCharType="separate"/>
      </w:r>
      <w:r>
        <w:rPr>
          <w:rFonts w:hint="eastAsia" w:ascii="Times New Roman" w:hAnsi="Times New Roman" w:eastAsia="宋体" w:cs="宋体"/>
          <w:szCs w:val="28"/>
        </w:rPr>
        <w:t>1.招标条件</w:t>
      </w:r>
      <w:r>
        <w:tab/>
      </w:r>
      <w:r>
        <w:fldChar w:fldCharType="begin"/>
      </w:r>
      <w:r>
        <w:instrText xml:space="preserve"> PAGEREF _Toc6971 \h </w:instrText>
      </w:r>
      <w:r>
        <w:fldChar w:fldCharType="separate"/>
      </w:r>
      <w:r>
        <w:t>8</w:t>
      </w:r>
      <w:r>
        <w:fldChar w:fldCharType="end"/>
      </w:r>
      <w:r>
        <w:fldChar w:fldCharType="end"/>
      </w:r>
    </w:p>
    <w:p w14:paraId="0CBA6558">
      <w:pPr>
        <w:pStyle w:val="13"/>
        <w:tabs>
          <w:tab w:val="right" w:leader="dot" w:pos="9070"/>
        </w:tabs>
      </w:pPr>
      <w:r>
        <w:fldChar w:fldCharType="begin"/>
      </w:r>
      <w:r>
        <w:instrText xml:space="preserve"> HYPERLINK \l "_Toc22717" </w:instrText>
      </w:r>
      <w:r>
        <w:fldChar w:fldCharType="separate"/>
      </w:r>
      <w:r>
        <w:rPr>
          <w:rFonts w:hint="eastAsia" w:ascii="Times New Roman" w:hAnsi="Times New Roman" w:eastAsia="宋体" w:cs="宋体"/>
          <w:szCs w:val="28"/>
        </w:rPr>
        <w:t>2.项目概况与招标范围</w:t>
      </w:r>
      <w:r>
        <w:tab/>
      </w:r>
      <w:r>
        <w:fldChar w:fldCharType="begin"/>
      </w:r>
      <w:r>
        <w:instrText xml:space="preserve"> PAGEREF _Toc22717 \h </w:instrText>
      </w:r>
      <w:r>
        <w:fldChar w:fldCharType="separate"/>
      </w:r>
      <w:r>
        <w:t>8</w:t>
      </w:r>
      <w:r>
        <w:fldChar w:fldCharType="end"/>
      </w:r>
      <w:r>
        <w:fldChar w:fldCharType="end"/>
      </w:r>
    </w:p>
    <w:p w14:paraId="65CE944B">
      <w:pPr>
        <w:pStyle w:val="13"/>
        <w:tabs>
          <w:tab w:val="right" w:leader="dot" w:pos="9070"/>
        </w:tabs>
      </w:pPr>
      <w:r>
        <w:fldChar w:fldCharType="begin"/>
      </w:r>
      <w:r>
        <w:instrText xml:space="preserve"> HYPERLINK \l "_Toc24423" </w:instrText>
      </w:r>
      <w:r>
        <w:fldChar w:fldCharType="separate"/>
      </w:r>
      <w:r>
        <w:rPr>
          <w:rFonts w:hint="eastAsia" w:ascii="Times New Roman" w:hAnsi="Times New Roman" w:eastAsia="宋体" w:cs="宋体"/>
          <w:szCs w:val="28"/>
        </w:rPr>
        <w:t>3.投标人资格要求</w:t>
      </w:r>
      <w:r>
        <w:tab/>
      </w:r>
      <w:r>
        <w:fldChar w:fldCharType="begin"/>
      </w:r>
      <w:r>
        <w:instrText xml:space="preserve"> PAGEREF _Toc24423 \h </w:instrText>
      </w:r>
      <w:r>
        <w:fldChar w:fldCharType="separate"/>
      </w:r>
      <w:r>
        <w:t>11</w:t>
      </w:r>
      <w:r>
        <w:fldChar w:fldCharType="end"/>
      </w:r>
      <w:r>
        <w:fldChar w:fldCharType="end"/>
      </w:r>
    </w:p>
    <w:p w14:paraId="411BEB58">
      <w:pPr>
        <w:pStyle w:val="13"/>
        <w:tabs>
          <w:tab w:val="right" w:leader="dot" w:pos="9070"/>
        </w:tabs>
      </w:pPr>
      <w:r>
        <w:fldChar w:fldCharType="begin"/>
      </w:r>
      <w:r>
        <w:instrText xml:space="preserve"> HYPERLINK \l "_Toc20615" </w:instrText>
      </w:r>
      <w:r>
        <w:fldChar w:fldCharType="separate"/>
      </w:r>
      <w:r>
        <w:rPr>
          <w:rFonts w:hint="eastAsia" w:ascii="Times New Roman" w:hAnsi="Times New Roman" w:eastAsia="宋体" w:cs="宋体"/>
          <w:szCs w:val="28"/>
        </w:rPr>
        <w:t>4.投标人入库须知</w:t>
      </w:r>
      <w:r>
        <w:tab/>
      </w:r>
      <w:r>
        <w:fldChar w:fldCharType="begin"/>
      </w:r>
      <w:r>
        <w:instrText xml:space="preserve"> PAGEREF _Toc20615 \h </w:instrText>
      </w:r>
      <w:r>
        <w:fldChar w:fldCharType="separate"/>
      </w:r>
      <w:r>
        <w:t>11</w:t>
      </w:r>
      <w:r>
        <w:fldChar w:fldCharType="end"/>
      </w:r>
      <w:r>
        <w:fldChar w:fldCharType="end"/>
      </w:r>
    </w:p>
    <w:p w14:paraId="67207099">
      <w:pPr>
        <w:pStyle w:val="13"/>
        <w:tabs>
          <w:tab w:val="right" w:leader="dot" w:pos="9070"/>
        </w:tabs>
      </w:pPr>
      <w:r>
        <w:fldChar w:fldCharType="begin"/>
      </w:r>
      <w:r>
        <w:instrText xml:space="preserve"> HYPERLINK \l "_Toc26048" </w:instrText>
      </w:r>
      <w:r>
        <w:fldChar w:fldCharType="separate"/>
      </w:r>
      <w:r>
        <w:rPr>
          <w:rFonts w:hint="eastAsia" w:ascii="Times New Roman" w:hAnsi="Times New Roman" w:eastAsia="宋体" w:cs="宋体"/>
          <w:szCs w:val="28"/>
        </w:rPr>
        <w:t>5.招标文件的获取及修改、澄清答疑发布</w:t>
      </w:r>
      <w:r>
        <w:tab/>
      </w:r>
      <w:r>
        <w:fldChar w:fldCharType="begin"/>
      </w:r>
      <w:r>
        <w:instrText xml:space="preserve"> PAGEREF _Toc26048 \h </w:instrText>
      </w:r>
      <w:r>
        <w:fldChar w:fldCharType="separate"/>
      </w:r>
      <w:r>
        <w:t>12</w:t>
      </w:r>
      <w:r>
        <w:fldChar w:fldCharType="end"/>
      </w:r>
      <w:r>
        <w:fldChar w:fldCharType="end"/>
      </w:r>
    </w:p>
    <w:p w14:paraId="628C916B">
      <w:pPr>
        <w:pStyle w:val="13"/>
        <w:tabs>
          <w:tab w:val="right" w:leader="dot" w:pos="9070"/>
        </w:tabs>
      </w:pPr>
      <w:r>
        <w:fldChar w:fldCharType="begin"/>
      </w:r>
      <w:r>
        <w:instrText xml:space="preserve"> HYPERLINK \l "_Toc17532" </w:instrText>
      </w:r>
      <w:r>
        <w:fldChar w:fldCharType="separate"/>
      </w:r>
      <w:r>
        <w:rPr>
          <w:rFonts w:hint="eastAsia" w:ascii="Times New Roman" w:hAnsi="Times New Roman" w:eastAsia="宋体" w:cs="宋体"/>
          <w:szCs w:val="28"/>
        </w:rPr>
        <w:t>6.投标文件的递交</w:t>
      </w:r>
      <w:r>
        <w:tab/>
      </w:r>
      <w:r>
        <w:fldChar w:fldCharType="begin"/>
      </w:r>
      <w:r>
        <w:instrText xml:space="preserve"> PAGEREF _Toc17532 \h </w:instrText>
      </w:r>
      <w:r>
        <w:fldChar w:fldCharType="separate"/>
      </w:r>
      <w:r>
        <w:t>12</w:t>
      </w:r>
      <w:r>
        <w:fldChar w:fldCharType="end"/>
      </w:r>
      <w:r>
        <w:fldChar w:fldCharType="end"/>
      </w:r>
    </w:p>
    <w:p w14:paraId="45B3AF08">
      <w:pPr>
        <w:pStyle w:val="13"/>
        <w:tabs>
          <w:tab w:val="right" w:leader="dot" w:pos="9070"/>
        </w:tabs>
      </w:pPr>
      <w:r>
        <w:fldChar w:fldCharType="begin"/>
      </w:r>
      <w:r>
        <w:instrText xml:space="preserve"> HYPERLINK \l "_Toc1153" </w:instrText>
      </w:r>
      <w:r>
        <w:fldChar w:fldCharType="separate"/>
      </w:r>
      <w:r>
        <w:rPr>
          <w:rFonts w:hint="eastAsia" w:ascii="Times New Roman" w:hAnsi="Times New Roman" w:eastAsia="宋体" w:cs="宋体"/>
          <w:szCs w:val="28"/>
        </w:rPr>
        <w:t>7.资格审查与评标办法</w:t>
      </w:r>
      <w:r>
        <w:tab/>
      </w:r>
      <w:r>
        <w:fldChar w:fldCharType="begin"/>
      </w:r>
      <w:r>
        <w:instrText xml:space="preserve"> PAGEREF _Toc1153 \h </w:instrText>
      </w:r>
      <w:r>
        <w:fldChar w:fldCharType="separate"/>
      </w:r>
      <w:r>
        <w:t>13</w:t>
      </w:r>
      <w:r>
        <w:fldChar w:fldCharType="end"/>
      </w:r>
      <w:r>
        <w:fldChar w:fldCharType="end"/>
      </w:r>
    </w:p>
    <w:p w14:paraId="194E94BC">
      <w:pPr>
        <w:pStyle w:val="13"/>
        <w:tabs>
          <w:tab w:val="right" w:leader="dot" w:pos="9070"/>
        </w:tabs>
      </w:pPr>
      <w:r>
        <w:fldChar w:fldCharType="begin"/>
      </w:r>
      <w:r>
        <w:instrText xml:space="preserve"> HYPERLINK \l "_Toc18802" </w:instrText>
      </w:r>
      <w:r>
        <w:fldChar w:fldCharType="separate"/>
      </w:r>
      <w:r>
        <w:rPr>
          <w:rFonts w:hint="eastAsia" w:ascii="Times New Roman" w:hAnsi="Times New Roman" w:eastAsia="宋体" w:cs="宋体"/>
          <w:szCs w:val="28"/>
        </w:rPr>
        <w:t>8.发布公告的媒介</w:t>
      </w:r>
      <w:r>
        <w:tab/>
      </w:r>
      <w:r>
        <w:fldChar w:fldCharType="begin"/>
      </w:r>
      <w:r>
        <w:instrText xml:space="preserve"> PAGEREF _Toc18802 \h </w:instrText>
      </w:r>
      <w:r>
        <w:fldChar w:fldCharType="separate"/>
      </w:r>
      <w:r>
        <w:t>13</w:t>
      </w:r>
      <w:r>
        <w:fldChar w:fldCharType="end"/>
      </w:r>
      <w:r>
        <w:fldChar w:fldCharType="end"/>
      </w:r>
    </w:p>
    <w:p w14:paraId="76ACA711">
      <w:pPr>
        <w:pStyle w:val="13"/>
        <w:tabs>
          <w:tab w:val="right" w:leader="dot" w:pos="9070"/>
        </w:tabs>
      </w:pPr>
      <w:r>
        <w:fldChar w:fldCharType="begin"/>
      </w:r>
      <w:r>
        <w:instrText xml:space="preserve"> HYPERLINK \l "_Toc24207" </w:instrText>
      </w:r>
      <w:r>
        <w:fldChar w:fldCharType="separate"/>
      </w:r>
      <w:r>
        <w:rPr>
          <w:rFonts w:hint="eastAsia" w:ascii="Times New Roman" w:hAnsi="Times New Roman" w:eastAsia="宋体" w:cs="宋体"/>
          <w:szCs w:val="28"/>
        </w:rPr>
        <w:t>9.行政监督</w:t>
      </w:r>
      <w:r>
        <w:tab/>
      </w:r>
      <w:r>
        <w:fldChar w:fldCharType="begin"/>
      </w:r>
      <w:r>
        <w:instrText xml:space="preserve"> PAGEREF _Toc24207 \h </w:instrText>
      </w:r>
      <w:r>
        <w:fldChar w:fldCharType="separate"/>
      </w:r>
      <w:r>
        <w:t>13</w:t>
      </w:r>
      <w:r>
        <w:fldChar w:fldCharType="end"/>
      </w:r>
      <w:r>
        <w:fldChar w:fldCharType="end"/>
      </w:r>
    </w:p>
    <w:p w14:paraId="58922EE9">
      <w:pPr>
        <w:pStyle w:val="13"/>
        <w:tabs>
          <w:tab w:val="right" w:leader="dot" w:pos="9070"/>
        </w:tabs>
      </w:pPr>
      <w:r>
        <w:fldChar w:fldCharType="begin"/>
      </w:r>
      <w:r>
        <w:instrText xml:space="preserve"> HYPERLINK \l "_Toc23194" </w:instrText>
      </w:r>
      <w:r>
        <w:fldChar w:fldCharType="separate"/>
      </w:r>
      <w:r>
        <w:rPr>
          <w:rFonts w:hint="eastAsia" w:ascii="Times New Roman" w:hAnsi="Times New Roman" w:eastAsia="宋体" w:cs="宋体"/>
          <w:szCs w:val="28"/>
        </w:rPr>
        <w:t>10. 联系方式</w:t>
      </w:r>
      <w:r>
        <w:tab/>
      </w:r>
      <w:r>
        <w:fldChar w:fldCharType="begin"/>
      </w:r>
      <w:r>
        <w:instrText xml:space="preserve"> PAGEREF _Toc23194 \h </w:instrText>
      </w:r>
      <w:r>
        <w:fldChar w:fldCharType="separate"/>
      </w:r>
      <w:r>
        <w:t>13</w:t>
      </w:r>
      <w:r>
        <w:fldChar w:fldCharType="end"/>
      </w:r>
      <w:r>
        <w:fldChar w:fldCharType="end"/>
      </w:r>
    </w:p>
    <w:p w14:paraId="7B1E84AC">
      <w:pPr>
        <w:pStyle w:val="11"/>
        <w:tabs>
          <w:tab w:val="right" w:leader="dot" w:pos="9070"/>
        </w:tabs>
      </w:pPr>
      <w:r>
        <w:fldChar w:fldCharType="begin"/>
      </w:r>
      <w:r>
        <w:instrText xml:space="preserve"> HYPERLINK \l "_Toc16073" </w:instrText>
      </w:r>
      <w:r>
        <w:fldChar w:fldCharType="separate"/>
      </w:r>
      <w:r>
        <w:rPr>
          <w:rFonts w:hint="eastAsia" w:ascii="Times New Roman" w:hAnsi="Times New Roman" w:eastAsia="宋体" w:cs="宋体"/>
          <w:bCs/>
          <w:szCs w:val="44"/>
        </w:rPr>
        <w:t>第二章  投标人须知</w:t>
      </w:r>
      <w:r>
        <w:tab/>
      </w:r>
      <w:r>
        <w:fldChar w:fldCharType="begin"/>
      </w:r>
      <w:r>
        <w:instrText xml:space="preserve"> PAGEREF _Toc16073 \h </w:instrText>
      </w:r>
      <w:r>
        <w:fldChar w:fldCharType="separate"/>
      </w:r>
      <w:r>
        <w:t>15</w:t>
      </w:r>
      <w:r>
        <w:fldChar w:fldCharType="end"/>
      </w:r>
      <w:r>
        <w:fldChar w:fldCharType="end"/>
      </w:r>
    </w:p>
    <w:p w14:paraId="5CD4A721">
      <w:pPr>
        <w:pStyle w:val="13"/>
        <w:tabs>
          <w:tab w:val="right" w:leader="dot" w:pos="9070"/>
        </w:tabs>
      </w:pPr>
      <w:r>
        <w:fldChar w:fldCharType="begin"/>
      </w:r>
      <w:r>
        <w:instrText xml:space="preserve"> HYPERLINK \l "_Toc10746" </w:instrText>
      </w:r>
      <w:r>
        <w:fldChar w:fldCharType="separate"/>
      </w:r>
      <w:r>
        <w:rPr>
          <w:rFonts w:hint="eastAsia" w:ascii="Times New Roman" w:hAnsi="Times New Roman" w:eastAsia="宋体" w:cs="宋体"/>
          <w:bCs/>
        </w:rPr>
        <w:t>投标人须知前附表</w:t>
      </w:r>
      <w:r>
        <w:tab/>
      </w:r>
      <w:r>
        <w:fldChar w:fldCharType="begin"/>
      </w:r>
      <w:r>
        <w:instrText xml:space="preserve"> PAGEREF _Toc10746 \h </w:instrText>
      </w:r>
      <w:r>
        <w:fldChar w:fldCharType="separate"/>
      </w:r>
      <w:r>
        <w:t>15</w:t>
      </w:r>
      <w:r>
        <w:fldChar w:fldCharType="end"/>
      </w:r>
      <w:r>
        <w:fldChar w:fldCharType="end"/>
      </w:r>
    </w:p>
    <w:p w14:paraId="651C8583">
      <w:pPr>
        <w:pStyle w:val="13"/>
        <w:tabs>
          <w:tab w:val="right" w:leader="dot" w:pos="9070"/>
        </w:tabs>
      </w:pPr>
      <w:r>
        <w:fldChar w:fldCharType="begin"/>
      </w:r>
      <w:r>
        <w:instrText xml:space="preserve"> HYPERLINK \l "_Toc32537" </w:instrText>
      </w:r>
      <w:r>
        <w:fldChar w:fldCharType="separate"/>
      </w:r>
      <w:r>
        <w:rPr>
          <w:rFonts w:hint="eastAsia" w:ascii="Times New Roman" w:hAnsi="Times New Roman" w:eastAsia="宋体" w:cs="宋体"/>
          <w:szCs w:val="28"/>
        </w:rPr>
        <w:t>1.总则</w:t>
      </w:r>
      <w:r>
        <w:tab/>
      </w:r>
      <w:r>
        <w:fldChar w:fldCharType="begin"/>
      </w:r>
      <w:r>
        <w:instrText xml:space="preserve"> PAGEREF _Toc32537 \h </w:instrText>
      </w:r>
      <w:r>
        <w:fldChar w:fldCharType="separate"/>
      </w:r>
      <w:r>
        <w:t>24</w:t>
      </w:r>
      <w:r>
        <w:fldChar w:fldCharType="end"/>
      </w:r>
      <w:r>
        <w:fldChar w:fldCharType="end"/>
      </w:r>
    </w:p>
    <w:p w14:paraId="123ADB58">
      <w:pPr>
        <w:pStyle w:val="13"/>
        <w:tabs>
          <w:tab w:val="right" w:leader="dot" w:pos="9070"/>
        </w:tabs>
      </w:pPr>
      <w:r>
        <w:fldChar w:fldCharType="begin"/>
      </w:r>
      <w:r>
        <w:instrText xml:space="preserve"> HYPERLINK \l "_Toc25041" </w:instrText>
      </w:r>
      <w:r>
        <w:fldChar w:fldCharType="separate"/>
      </w:r>
      <w:r>
        <w:rPr>
          <w:rFonts w:hint="eastAsia" w:ascii="Times New Roman" w:hAnsi="Times New Roman" w:eastAsia="宋体" w:cs="宋体"/>
          <w:szCs w:val="28"/>
        </w:rPr>
        <w:t>2.招标文件</w:t>
      </w:r>
      <w:r>
        <w:tab/>
      </w:r>
      <w:r>
        <w:fldChar w:fldCharType="begin"/>
      </w:r>
      <w:r>
        <w:instrText xml:space="preserve"> PAGEREF _Toc25041 \h </w:instrText>
      </w:r>
      <w:r>
        <w:fldChar w:fldCharType="separate"/>
      </w:r>
      <w:r>
        <w:t>28</w:t>
      </w:r>
      <w:r>
        <w:fldChar w:fldCharType="end"/>
      </w:r>
      <w:r>
        <w:fldChar w:fldCharType="end"/>
      </w:r>
    </w:p>
    <w:p w14:paraId="76FD6FE5">
      <w:pPr>
        <w:pStyle w:val="13"/>
        <w:tabs>
          <w:tab w:val="right" w:leader="dot" w:pos="9070"/>
        </w:tabs>
      </w:pPr>
      <w:r>
        <w:fldChar w:fldCharType="begin"/>
      </w:r>
      <w:r>
        <w:instrText xml:space="preserve"> HYPERLINK \l "_Toc24796" </w:instrText>
      </w:r>
      <w:r>
        <w:fldChar w:fldCharType="separate"/>
      </w:r>
      <w:r>
        <w:rPr>
          <w:rFonts w:hint="eastAsia" w:ascii="Times New Roman" w:hAnsi="Times New Roman" w:eastAsia="宋体" w:cs="宋体"/>
          <w:szCs w:val="28"/>
        </w:rPr>
        <w:t>3.投标文件</w:t>
      </w:r>
      <w:r>
        <w:tab/>
      </w:r>
      <w:r>
        <w:fldChar w:fldCharType="begin"/>
      </w:r>
      <w:r>
        <w:instrText xml:space="preserve"> PAGEREF _Toc24796 \h </w:instrText>
      </w:r>
      <w:r>
        <w:fldChar w:fldCharType="separate"/>
      </w:r>
      <w:r>
        <w:t>29</w:t>
      </w:r>
      <w:r>
        <w:fldChar w:fldCharType="end"/>
      </w:r>
      <w:r>
        <w:fldChar w:fldCharType="end"/>
      </w:r>
    </w:p>
    <w:p w14:paraId="73BA957B">
      <w:pPr>
        <w:pStyle w:val="13"/>
        <w:tabs>
          <w:tab w:val="right" w:leader="dot" w:pos="9070"/>
        </w:tabs>
      </w:pPr>
      <w:r>
        <w:fldChar w:fldCharType="begin"/>
      </w:r>
      <w:r>
        <w:instrText xml:space="preserve"> HYPERLINK \l "_Toc17878" </w:instrText>
      </w:r>
      <w:r>
        <w:fldChar w:fldCharType="separate"/>
      </w:r>
      <w:r>
        <w:rPr>
          <w:rFonts w:hint="eastAsia" w:ascii="Times New Roman" w:hAnsi="Times New Roman" w:eastAsia="宋体" w:cs="宋体"/>
          <w:szCs w:val="28"/>
        </w:rPr>
        <w:t>4.投标</w:t>
      </w:r>
      <w:r>
        <w:tab/>
      </w:r>
      <w:r>
        <w:fldChar w:fldCharType="begin"/>
      </w:r>
      <w:r>
        <w:instrText xml:space="preserve"> PAGEREF _Toc17878 \h </w:instrText>
      </w:r>
      <w:r>
        <w:fldChar w:fldCharType="separate"/>
      </w:r>
      <w:r>
        <w:t>33</w:t>
      </w:r>
      <w:r>
        <w:fldChar w:fldCharType="end"/>
      </w:r>
      <w:r>
        <w:fldChar w:fldCharType="end"/>
      </w:r>
    </w:p>
    <w:p w14:paraId="58058219">
      <w:pPr>
        <w:pStyle w:val="13"/>
        <w:tabs>
          <w:tab w:val="right" w:leader="dot" w:pos="9070"/>
        </w:tabs>
      </w:pPr>
      <w:r>
        <w:fldChar w:fldCharType="begin"/>
      </w:r>
      <w:r>
        <w:instrText xml:space="preserve"> HYPERLINK \l "_Toc23474" </w:instrText>
      </w:r>
      <w:r>
        <w:fldChar w:fldCharType="separate"/>
      </w:r>
      <w:r>
        <w:rPr>
          <w:rFonts w:hint="eastAsia" w:ascii="Times New Roman" w:hAnsi="Times New Roman" w:eastAsia="宋体" w:cs="宋体"/>
          <w:szCs w:val="28"/>
        </w:rPr>
        <w:t>5.开标</w:t>
      </w:r>
      <w:r>
        <w:tab/>
      </w:r>
      <w:r>
        <w:fldChar w:fldCharType="begin"/>
      </w:r>
      <w:r>
        <w:instrText xml:space="preserve"> PAGEREF _Toc23474 \h </w:instrText>
      </w:r>
      <w:r>
        <w:fldChar w:fldCharType="separate"/>
      </w:r>
      <w:r>
        <w:t>34</w:t>
      </w:r>
      <w:r>
        <w:fldChar w:fldCharType="end"/>
      </w:r>
      <w:r>
        <w:fldChar w:fldCharType="end"/>
      </w:r>
    </w:p>
    <w:p w14:paraId="665CE101">
      <w:pPr>
        <w:pStyle w:val="13"/>
        <w:tabs>
          <w:tab w:val="right" w:leader="dot" w:pos="9070"/>
        </w:tabs>
      </w:pPr>
      <w:r>
        <w:fldChar w:fldCharType="begin"/>
      </w:r>
      <w:r>
        <w:instrText xml:space="preserve"> HYPERLINK \l "_Toc11739" </w:instrText>
      </w:r>
      <w:r>
        <w:fldChar w:fldCharType="separate"/>
      </w:r>
      <w:r>
        <w:rPr>
          <w:rFonts w:hint="eastAsia" w:ascii="Times New Roman" w:hAnsi="Times New Roman" w:eastAsia="宋体" w:cs="宋体"/>
          <w:szCs w:val="28"/>
        </w:rPr>
        <w:t>6.评标</w:t>
      </w:r>
      <w:r>
        <w:tab/>
      </w:r>
      <w:r>
        <w:fldChar w:fldCharType="begin"/>
      </w:r>
      <w:r>
        <w:instrText xml:space="preserve"> PAGEREF _Toc11739 \h </w:instrText>
      </w:r>
      <w:r>
        <w:fldChar w:fldCharType="separate"/>
      </w:r>
      <w:r>
        <w:t>34</w:t>
      </w:r>
      <w:r>
        <w:fldChar w:fldCharType="end"/>
      </w:r>
      <w:r>
        <w:fldChar w:fldCharType="end"/>
      </w:r>
    </w:p>
    <w:p w14:paraId="1430E119">
      <w:pPr>
        <w:pStyle w:val="13"/>
        <w:tabs>
          <w:tab w:val="right" w:leader="dot" w:pos="9070"/>
        </w:tabs>
      </w:pPr>
      <w:r>
        <w:fldChar w:fldCharType="begin"/>
      </w:r>
      <w:r>
        <w:instrText xml:space="preserve"> HYPERLINK \l "_Toc15410" </w:instrText>
      </w:r>
      <w:r>
        <w:fldChar w:fldCharType="separate"/>
      </w:r>
      <w:r>
        <w:rPr>
          <w:rFonts w:hint="eastAsia" w:ascii="Times New Roman" w:hAnsi="Times New Roman" w:eastAsia="宋体" w:cs="宋体"/>
          <w:szCs w:val="28"/>
        </w:rPr>
        <w:t>7.合同授予</w:t>
      </w:r>
      <w:r>
        <w:tab/>
      </w:r>
      <w:r>
        <w:fldChar w:fldCharType="begin"/>
      </w:r>
      <w:r>
        <w:instrText xml:space="preserve"> PAGEREF _Toc15410 \h </w:instrText>
      </w:r>
      <w:r>
        <w:fldChar w:fldCharType="separate"/>
      </w:r>
      <w:r>
        <w:t>35</w:t>
      </w:r>
      <w:r>
        <w:fldChar w:fldCharType="end"/>
      </w:r>
      <w:r>
        <w:fldChar w:fldCharType="end"/>
      </w:r>
    </w:p>
    <w:p w14:paraId="3238279E">
      <w:pPr>
        <w:pStyle w:val="13"/>
        <w:tabs>
          <w:tab w:val="right" w:leader="dot" w:pos="9070"/>
        </w:tabs>
      </w:pPr>
      <w:r>
        <w:fldChar w:fldCharType="begin"/>
      </w:r>
      <w:r>
        <w:instrText xml:space="preserve"> HYPERLINK \l "_Toc1706" </w:instrText>
      </w:r>
      <w:r>
        <w:fldChar w:fldCharType="separate"/>
      </w:r>
      <w:r>
        <w:rPr>
          <w:rFonts w:hint="eastAsia" w:ascii="Times New Roman" w:hAnsi="Times New Roman" w:eastAsia="宋体" w:cs="宋体"/>
          <w:szCs w:val="28"/>
        </w:rPr>
        <w:t>8.纪律和监督</w:t>
      </w:r>
      <w:r>
        <w:tab/>
      </w:r>
      <w:r>
        <w:fldChar w:fldCharType="begin"/>
      </w:r>
      <w:r>
        <w:instrText xml:space="preserve"> PAGEREF _Toc1706 \h </w:instrText>
      </w:r>
      <w:r>
        <w:fldChar w:fldCharType="separate"/>
      </w:r>
      <w:r>
        <w:t>37</w:t>
      </w:r>
      <w:r>
        <w:fldChar w:fldCharType="end"/>
      </w:r>
      <w:r>
        <w:fldChar w:fldCharType="end"/>
      </w:r>
    </w:p>
    <w:p w14:paraId="2F54A055">
      <w:pPr>
        <w:pStyle w:val="13"/>
        <w:tabs>
          <w:tab w:val="right" w:leader="dot" w:pos="9070"/>
        </w:tabs>
      </w:pPr>
      <w:r>
        <w:fldChar w:fldCharType="begin"/>
      </w:r>
      <w:r>
        <w:instrText xml:space="preserve"> HYPERLINK \l "_Toc31477" </w:instrText>
      </w:r>
      <w:r>
        <w:fldChar w:fldCharType="separate"/>
      </w:r>
      <w:r>
        <w:rPr>
          <w:rFonts w:hint="eastAsia" w:ascii="Times New Roman" w:hAnsi="Times New Roman" w:eastAsia="宋体" w:cs="宋体"/>
          <w:szCs w:val="28"/>
        </w:rPr>
        <w:t>9.需要补充的其他内容</w:t>
      </w:r>
      <w:r>
        <w:tab/>
      </w:r>
      <w:r>
        <w:fldChar w:fldCharType="begin"/>
      </w:r>
      <w:r>
        <w:instrText xml:space="preserve"> PAGEREF _Toc31477 \h </w:instrText>
      </w:r>
      <w:r>
        <w:fldChar w:fldCharType="separate"/>
      </w:r>
      <w:r>
        <w:t>38</w:t>
      </w:r>
      <w:r>
        <w:fldChar w:fldCharType="end"/>
      </w:r>
      <w:r>
        <w:fldChar w:fldCharType="end"/>
      </w:r>
    </w:p>
    <w:p w14:paraId="5C979EBD">
      <w:pPr>
        <w:pStyle w:val="13"/>
        <w:tabs>
          <w:tab w:val="right" w:leader="dot" w:pos="9070"/>
        </w:tabs>
      </w:pPr>
      <w:r>
        <w:fldChar w:fldCharType="begin"/>
      </w:r>
      <w:r>
        <w:instrText xml:space="preserve"> HYPERLINK \l "_Toc18030" </w:instrText>
      </w:r>
      <w:r>
        <w:fldChar w:fldCharType="separate"/>
      </w:r>
      <w:r>
        <w:rPr>
          <w:rFonts w:hint="eastAsia" w:ascii="宋体" w:hAnsi="宋体" w:eastAsia="宋体" w:cs="宋体"/>
          <w:szCs w:val="20"/>
        </w:rPr>
        <w:t>附件一：招标文件澄清申请函</w:t>
      </w:r>
      <w:r>
        <w:tab/>
      </w:r>
      <w:r>
        <w:fldChar w:fldCharType="begin"/>
      </w:r>
      <w:r>
        <w:instrText xml:space="preserve"> PAGEREF _Toc18030 \h </w:instrText>
      </w:r>
      <w:r>
        <w:fldChar w:fldCharType="separate"/>
      </w:r>
      <w:r>
        <w:t>39</w:t>
      </w:r>
      <w:r>
        <w:fldChar w:fldCharType="end"/>
      </w:r>
      <w:r>
        <w:fldChar w:fldCharType="end"/>
      </w:r>
    </w:p>
    <w:p w14:paraId="3FB1ABE6">
      <w:pPr>
        <w:pStyle w:val="13"/>
        <w:tabs>
          <w:tab w:val="right" w:leader="dot" w:pos="9070"/>
        </w:tabs>
      </w:pPr>
      <w:r>
        <w:fldChar w:fldCharType="begin"/>
      </w:r>
      <w:r>
        <w:instrText xml:space="preserve"> HYPERLINK \l "_Toc16551" </w:instrText>
      </w:r>
      <w:r>
        <w:fldChar w:fldCharType="separate"/>
      </w:r>
      <w:r>
        <w:rPr>
          <w:szCs w:val="20"/>
        </w:rPr>
        <w:t>附件二</w:t>
      </w:r>
      <w:r>
        <w:rPr>
          <w:rFonts w:hint="eastAsia"/>
          <w:szCs w:val="20"/>
        </w:rPr>
        <w:t>：招标文件澄清通知</w:t>
      </w:r>
      <w:r>
        <w:tab/>
      </w:r>
      <w:r>
        <w:fldChar w:fldCharType="begin"/>
      </w:r>
      <w:r>
        <w:instrText xml:space="preserve"> PAGEREF _Toc16551 \h </w:instrText>
      </w:r>
      <w:r>
        <w:fldChar w:fldCharType="separate"/>
      </w:r>
      <w:r>
        <w:t>40</w:t>
      </w:r>
      <w:r>
        <w:fldChar w:fldCharType="end"/>
      </w:r>
      <w:r>
        <w:fldChar w:fldCharType="end"/>
      </w:r>
    </w:p>
    <w:p w14:paraId="1E1C7E55">
      <w:pPr>
        <w:pStyle w:val="13"/>
        <w:tabs>
          <w:tab w:val="right" w:leader="dot" w:pos="9070"/>
        </w:tabs>
      </w:pPr>
      <w:r>
        <w:fldChar w:fldCharType="begin"/>
      </w:r>
      <w:r>
        <w:instrText xml:space="preserve"> HYPERLINK \l "_Toc31489" </w:instrText>
      </w:r>
      <w:r>
        <w:fldChar w:fldCharType="separate"/>
      </w:r>
      <w:r>
        <w:rPr>
          <w:szCs w:val="20"/>
        </w:rPr>
        <w:t>附件三</w:t>
      </w:r>
      <w:r>
        <w:rPr>
          <w:rFonts w:hint="eastAsia"/>
          <w:szCs w:val="20"/>
        </w:rPr>
        <w:t>：招标文件修改通知</w:t>
      </w:r>
      <w:r>
        <w:tab/>
      </w:r>
      <w:r>
        <w:fldChar w:fldCharType="begin"/>
      </w:r>
      <w:r>
        <w:instrText xml:space="preserve"> PAGEREF _Toc31489 \h </w:instrText>
      </w:r>
      <w:r>
        <w:fldChar w:fldCharType="separate"/>
      </w:r>
      <w:r>
        <w:t>41</w:t>
      </w:r>
      <w:r>
        <w:fldChar w:fldCharType="end"/>
      </w:r>
      <w:r>
        <w:fldChar w:fldCharType="end"/>
      </w:r>
    </w:p>
    <w:p w14:paraId="46274C4F">
      <w:pPr>
        <w:pStyle w:val="13"/>
        <w:tabs>
          <w:tab w:val="right" w:leader="dot" w:pos="9070"/>
        </w:tabs>
      </w:pPr>
      <w:r>
        <w:fldChar w:fldCharType="begin"/>
      </w:r>
      <w:r>
        <w:instrText xml:space="preserve"> HYPERLINK \l "_Toc21518" </w:instrText>
      </w:r>
      <w:r>
        <w:fldChar w:fldCharType="separate"/>
      </w:r>
      <w:r>
        <w:rPr>
          <w:rFonts w:hint="eastAsia"/>
          <w:szCs w:val="20"/>
        </w:rPr>
        <w:t>附件</w:t>
      </w:r>
      <w:r>
        <w:rPr>
          <w:rFonts w:hint="eastAsia" w:eastAsia="宋体"/>
          <w:szCs w:val="20"/>
        </w:rPr>
        <w:t>四</w:t>
      </w:r>
      <w:r>
        <w:rPr>
          <w:rFonts w:hint="eastAsia"/>
          <w:szCs w:val="20"/>
        </w:rPr>
        <w:t>：开标记录表</w:t>
      </w:r>
      <w:r>
        <w:tab/>
      </w:r>
      <w:r>
        <w:fldChar w:fldCharType="begin"/>
      </w:r>
      <w:r>
        <w:instrText xml:space="preserve"> PAGEREF _Toc21518 \h </w:instrText>
      </w:r>
      <w:r>
        <w:fldChar w:fldCharType="separate"/>
      </w:r>
      <w:r>
        <w:t>42</w:t>
      </w:r>
      <w:r>
        <w:fldChar w:fldCharType="end"/>
      </w:r>
      <w:r>
        <w:fldChar w:fldCharType="end"/>
      </w:r>
    </w:p>
    <w:p w14:paraId="6CA74CD6">
      <w:pPr>
        <w:pStyle w:val="13"/>
        <w:tabs>
          <w:tab w:val="right" w:leader="dot" w:pos="9070"/>
        </w:tabs>
      </w:pPr>
      <w:r>
        <w:fldChar w:fldCharType="begin"/>
      </w:r>
      <w:r>
        <w:instrText xml:space="preserve"> HYPERLINK \l "_Toc26376" </w:instrText>
      </w:r>
      <w:r>
        <w:fldChar w:fldCharType="separate"/>
      </w:r>
      <w:r>
        <w:rPr>
          <w:rFonts w:hint="eastAsia"/>
          <w:szCs w:val="20"/>
        </w:rPr>
        <w:t>附件五：定标决定</w:t>
      </w:r>
      <w:r>
        <w:tab/>
      </w:r>
      <w:r>
        <w:fldChar w:fldCharType="begin"/>
      </w:r>
      <w:r>
        <w:instrText xml:space="preserve"> PAGEREF _Toc26376 \h </w:instrText>
      </w:r>
      <w:r>
        <w:fldChar w:fldCharType="separate"/>
      </w:r>
      <w:r>
        <w:t>43</w:t>
      </w:r>
      <w:r>
        <w:fldChar w:fldCharType="end"/>
      </w:r>
      <w:r>
        <w:fldChar w:fldCharType="end"/>
      </w:r>
    </w:p>
    <w:p w14:paraId="693B9B49">
      <w:pPr>
        <w:pStyle w:val="13"/>
        <w:tabs>
          <w:tab w:val="right" w:leader="dot" w:pos="9070"/>
        </w:tabs>
      </w:pPr>
      <w:r>
        <w:fldChar w:fldCharType="begin"/>
      </w:r>
      <w:r>
        <w:instrText xml:space="preserve"> HYPERLINK \l "_Toc28778" </w:instrText>
      </w:r>
      <w:r>
        <w:fldChar w:fldCharType="separate"/>
      </w:r>
      <w:r>
        <w:rPr>
          <w:rFonts w:hint="eastAsia"/>
        </w:rPr>
        <w:t>附件六：中标通知书</w:t>
      </w:r>
      <w:r>
        <w:tab/>
      </w:r>
      <w:r>
        <w:fldChar w:fldCharType="begin"/>
      </w:r>
      <w:r>
        <w:instrText xml:space="preserve"> PAGEREF _Toc28778 \h </w:instrText>
      </w:r>
      <w:r>
        <w:fldChar w:fldCharType="separate"/>
      </w:r>
      <w:r>
        <w:t>44</w:t>
      </w:r>
      <w:r>
        <w:fldChar w:fldCharType="end"/>
      </w:r>
      <w:r>
        <w:fldChar w:fldCharType="end"/>
      </w:r>
    </w:p>
    <w:p w14:paraId="2EC12EF0">
      <w:pPr>
        <w:pStyle w:val="13"/>
        <w:tabs>
          <w:tab w:val="right" w:leader="dot" w:pos="9070"/>
        </w:tabs>
      </w:pPr>
      <w:r>
        <w:fldChar w:fldCharType="begin"/>
      </w:r>
      <w:r>
        <w:instrText xml:space="preserve"> HYPERLINK \l "_Toc30527" </w:instrText>
      </w:r>
      <w:r>
        <w:fldChar w:fldCharType="separate"/>
      </w:r>
      <w:r>
        <w:t>附件</w:t>
      </w:r>
      <w:r>
        <w:rPr>
          <w:rFonts w:hint="eastAsia"/>
        </w:rPr>
        <w:t>七：中标结果通知书</w:t>
      </w:r>
      <w:r>
        <w:tab/>
      </w:r>
      <w:r>
        <w:fldChar w:fldCharType="begin"/>
      </w:r>
      <w:r>
        <w:instrText xml:space="preserve"> PAGEREF _Toc30527 \h </w:instrText>
      </w:r>
      <w:r>
        <w:fldChar w:fldCharType="separate"/>
      </w:r>
      <w:r>
        <w:t>45</w:t>
      </w:r>
      <w:r>
        <w:fldChar w:fldCharType="end"/>
      </w:r>
      <w:r>
        <w:fldChar w:fldCharType="end"/>
      </w:r>
    </w:p>
    <w:p w14:paraId="44328AD9">
      <w:pPr>
        <w:pStyle w:val="11"/>
        <w:tabs>
          <w:tab w:val="right" w:leader="dot" w:pos="9070"/>
        </w:tabs>
      </w:pPr>
      <w:r>
        <w:fldChar w:fldCharType="begin"/>
      </w:r>
      <w:r>
        <w:instrText xml:space="preserve"> HYPERLINK \l "_Toc31745" </w:instrText>
      </w:r>
      <w:r>
        <w:fldChar w:fldCharType="separate"/>
      </w:r>
      <w:r>
        <w:rPr>
          <w:rFonts w:hint="eastAsia" w:ascii="Times New Roman" w:hAnsi="Times New Roman" w:eastAsia="宋体" w:cs="Times New Roman"/>
          <w:bCs/>
          <w:szCs w:val="44"/>
        </w:rPr>
        <w:t>第三章 评标办法（综合评估法）</w:t>
      </w:r>
      <w:r>
        <w:tab/>
      </w:r>
      <w:r>
        <w:fldChar w:fldCharType="begin"/>
      </w:r>
      <w:r>
        <w:instrText xml:space="preserve"> PAGEREF _Toc31745 \h </w:instrText>
      </w:r>
      <w:r>
        <w:fldChar w:fldCharType="separate"/>
      </w:r>
      <w:r>
        <w:t>46</w:t>
      </w:r>
      <w:r>
        <w:fldChar w:fldCharType="end"/>
      </w:r>
      <w:r>
        <w:fldChar w:fldCharType="end"/>
      </w:r>
    </w:p>
    <w:p w14:paraId="6205829E">
      <w:pPr>
        <w:pStyle w:val="13"/>
        <w:tabs>
          <w:tab w:val="right" w:leader="dot" w:pos="9070"/>
        </w:tabs>
      </w:pPr>
      <w:r>
        <w:fldChar w:fldCharType="begin"/>
      </w:r>
      <w:r>
        <w:instrText xml:space="preserve"> HYPERLINK \l "_Toc23405" </w:instrText>
      </w:r>
      <w:r>
        <w:fldChar w:fldCharType="separate"/>
      </w:r>
      <w:r>
        <w:rPr>
          <w:rFonts w:hint="eastAsia"/>
        </w:rPr>
        <w:t>评标办法前附表</w:t>
      </w:r>
      <w:r>
        <w:tab/>
      </w:r>
      <w:r>
        <w:fldChar w:fldCharType="begin"/>
      </w:r>
      <w:r>
        <w:instrText xml:space="preserve"> PAGEREF _Toc23405 \h </w:instrText>
      </w:r>
      <w:r>
        <w:fldChar w:fldCharType="separate"/>
      </w:r>
      <w:r>
        <w:t>46</w:t>
      </w:r>
      <w:r>
        <w:fldChar w:fldCharType="end"/>
      </w:r>
      <w:r>
        <w:fldChar w:fldCharType="end"/>
      </w:r>
    </w:p>
    <w:p w14:paraId="0870D4CC">
      <w:pPr>
        <w:pStyle w:val="13"/>
        <w:tabs>
          <w:tab w:val="right" w:leader="dot" w:pos="9070"/>
        </w:tabs>
      </w:pPr>
      <w:r>
        <w:fldChar w:fldCharType="begin"/>
      </w:r>
      <w:r>
        <w:instrText xml:space="preserve"> HYPERLINK \l "_Toc1988" </w:instrText>
      </w:r>
      <w:r>
        <w:fldChar w:fldCharType="separate"/>
      </w:r>
      <w:r>
        <w:rPr>
          <w:rFonts w:hint="eastAsia" w:ascii="Times New Roman" w:hAnsi="Times New Roman" w:eastAsia="宋体" w:cs="宋体"/>
          <w:bCs/>
          <w:szCs w:val="21"/>
        </w:rPr>
        <w:t>1.评标办法</w:t>
      </w:r>
      <w:r>
        <w:tab/>
      </w:r>
      <w:r>
        <w:fldChar w:fldCharType="begin"/>
      </w:r>
      <w:r>
        <w:instrText xml:space="preserve"> PAGEREF _Toc1988 \h </w:instrText>
      </w:r>
      <w:r>
        <w:fldChar w:fldCharType="separate"/>
      </w:r>
      <w:r>
        <w:t>50</w:t>
      </w:r>
      <w:r>
        <w:fldChar w:fldCharType="end"/>
      </w:r>
      <w:r>
        <w:fldChar w:fldCharType="end"/>
      </w:r>
    </w:p>
    <w:p w14:paraId="6BA05113">
      <w:pPr>
        <w:pStyle w:val="13"/>
        <w:tabs>
          <w:tab w:val="right" w:leader="dot" w:pos="9070"/>
        </w:tabs>
      </w:pPr>
      <w:r>
        <w:fldChar w:fldCharType="begin"/>
      </w:r>
      <w:r>
        <w:instrText xml:space="preserve"> HYPERLINK \l "_Toc10203" </w:instrText>
      </w:r>
      <w:r>
        <w:fldChar w:fldCharType="separate"/>
      </w:r>
      <w:r>
        <w:rPr>
          <w:rFonts w:ascii="Times New Roman" w:hAnsi="Times New Roman" w:eastAsia="宋体" w:cs="宋体"/>
          <w:bCs/>
          <w:szCs w:val="21"/>
        </w:rPr>
        <w:t>2</w:t>
      </w:r>
      <w:r>
        <w:rPr>
          <w:rFonts w:hint="eastAsia" w:ascii="Times New Roman" w:hAnsi="Times New Roman" w:eastAsia="宋体" w:cs="宋体"/>
          <w:bCs/>
          <w:szCs w:val="21"/>
        </w:rPr>
        <w:t>.评审标准</w:t>
      </w:r>
      <w:r>
        <w:rPr>
          <w:rFonts w:ascii="Times New Roman" w:hAnsi="Times New Roman" w:eastAsia="宋体" w:cs="宋体"/>
          <w:bCs/>
          <w:szCs w:val="21"/>
        </w:rPr>
        <w:t xml:space="preserve"> </w:t>
      </w:r>
      <w:r>
        <w:tab/>
      </w:r>
      <w:r>
        <w:fldChar w:fldCharType="begin"/>
      </w:r>
      <w:r>
        <w:instrText xml:space="preserve"> PAGEREF _Toc10203 \h </w:instrText>
      </w:r>
      <w:r>
        <w:fldChar w:fldCharType="separate"/>
      </w:r>
      <w:r>
        <w:t>50</w:t>
      </w:r>
      <w:r>
        <w:fldChar w:fldCharType="end"/>
      </w:r>
      <w:r>
        <w:fldChar w:fldCharType="end"/>
      </w:r>
    </w:p>
    <w:p w14:paraId="0053443C">
      <w:pPr>
        <w:pStyle w:val="13"/>
        <w:tabs>
          <w:tab w:val="right" w:leader="dot" w:pos="9070"/>
        </w:tabs>
      </w:pPr>
      <w:r>
        <w:fldChar w:fldCharType="begin"/>
      </w:r>
      <w:r>
        <w:instrText xml:space="preserve"> HYPERLINK \l "_Toc2422" </w:instrText>
      </w:r>
      <w:r>
        <w:fldChar w:fldCharType="separate"/>
      </w:r>
      <w:r>
        <w:rPr>
          <w:rFonts w:ascii="Times New Roman" w:hAnsi="Times New Roman" w:eastAsia="宋体" w:cs="宋体"/>
          <w:bCs/>
          <w:szCs w:val="21"/>
        </w:rPr>
        <w:t>3.</w:t>
      </w:r>
      <w:r>
        <w:rPr>
          <w:rFonts w:hint="eastAsia" w:ascii="Times New Roman" w:hAnsi="Times New Roman" w:eastAsia="宋体" w:cs="宋体"/>
          <w:bCs/>
          <w:szCs w:val="21"/>
        </w:rPr>
        <w:t>评标程序</w:t>
      </w:r>
      <w:r>
        <w:rPr>
          <w:rFonts w:ascii="Times New Roman" w:hAnsi="Times New Roman" w:eastAsia="宋体" w:cs="宋体"/>
          <w:bCs/>
          <w:szCs w:val="21"/>
        </w:rPr>
        <w:t xml:space="preserve"> </w:t>
      </w:r>
      <w:r>
        <w:tab/>
      </w:r>
      <w:r>
        <w:fldChar w:fldCharType="begin"/>
      </w:r>
      <w:r>
        <w:instrText xml:space="preserve"> PAGEREF _Toc2422 \h </w:instrText>
      </w:r>
      <w:r>
        <w:fldChar w:fldCharType="separate"/>
      </w:r>
      <w:r>
        <w:t>51</w:t>
      </w:r>
      <w:r>
        <w:fldChar w:fldCharType="end"/>
      </w:r>
      <w:r>
        <w:fldChar w:fldCharType="end"/>
      </w:r>
    </w:p>
    <w:p w14:paraId="156D6EDE">
      <w:pPr>
        <w:pStyle w:val="11"/>
        <w:tabs>
          <w:tab w:val="right" w:leader="dot" w:pos="9070"/>
        </w:tabs>
      </w:pPr>
      <w:r>
        <w:fldChar w:fldCharType="begin"/>
      </w:r>
      <w:r>
        <w:instrText xml:space="preserve"> HYPERLINK \l "_Toc19314" </w:instrText>
      </w:r>
      <w:r>
        <w:fldChar w:fldCharType="separate"/>
      </w:r>
      <w:r>
        <w:rPr>
          <w:rFonts w:hint="eastAsia" w:ascii="Times New Roman" w:hAnsi="Times New Roman" w:eastAsia="宋体" w:cs="宋体"/>
          <w:bCs/>
          <w:szCs w:val="44"/>
        </w:rPr>
        <w:t>第四章  合同条款及格式</w:t>
      </w:r>
      <w:r>
        <w:tab/>
      </w:r>
      <w:r>
        <w:fldChar w:fldCharType="begin"/>
      </w:r>
      <w:r>
        <w:instrText xml:space="preserve"> PAGEREF _Toc19314 \h </w:instrText>
      </w:r>
      <w:r>
        <w:fldChar w:fldCharType="separate"/>
      </w:r>
      <w:r>
        <w:t>54</w:t>
      </w:r>
      <w:r>
        <w:fldChar w:fldCharType="end"/>
      </w:r>
      <w:r>
        <w:fldChar w:fldCharType="end"/>
      </w:r>
    </w:p>
    <w:p w14:paraId="2242EF8D">
      <w:pPr>
        <w:pStyle w:val="13"/>
        <w:tabs>
          <w:tab w:val="right" w:leader="dot" w:pos="9070"/>
        </w:tabs>
      </w:pPr>
      <w:r>
        <w:fldChar w:fldCharType="begin"/>
      </w:r>
      <w:r>
        <w:instrText xml:space="preserve"> HYPERLINK \l "_Toc3010" </w:instrText>
      </w:r>
      <w:r>
        <w:fldChar w:fldCharType="separate"/>
      </w:r>
      <w:r>
        <w:rPr>
          <w:rFonts w:hint="eastAsia"/>
        </w:rPr>
        <w:t>（以实际签订的合同为准）</w:t>
      </w:r>
      <w:r>
        <w:tab/>
      </w:r>
      <w:r>
        <w:fldChar w:fldCharType="begin"/>
      </w:r>
      <w:r>
        <w:instrText xml:space="preserve"> PAGEREF _Toc3010 \h </w:instrText>
      </w:r>
      <w:r>
        <w:fldChar w:fldCharType="separate"/>
      </w:r>
      <w:r>
        <w:t>54</w:t>
      </w:r>
      <w:r>
        <w:fldChar w:fldCharType="end"/>
      </w:r>
      <w:r>
        <w:fldChar w:fldCharType="end"/>
      </w:r>
    </w:p>
    <w:p w14:paraId="7CECBF34">
      <w:pPr>
        <w:pStyle w:val="13"/>
        <w:tabs>
          <w:tab w:val="right" w:leader="dot" w:pos="9070"/>
        </w:tabs>
      </w:pPr>
      <w:r>
        <w:fldChar w:fldCharType="begin"/>
      </w:r>
      <w:r>
        <w:instrText xml:space="preserve"> HYPERLINK \l "_Toc18425" </w:instrText>
      </w:r>
      <w:r>
        <w:fldChar w:fldCharType="separate"/>
      </w:r>
      <w:r>
        <w:rPr>
          <w:rFonts w:hint="eastAsia"/>
        </w:rPr>
        <w:t>第一节 通用合同条款</w:t>
      </w:r>
      <w:r>
        <w:tab/>
      </w:r>
      <w:r>
        <w:fldChar w:fldCharType="begin"/>
      </w:r>
      <w:r>
        <w:instrText xml:space="preserve"> PAGEREF _Toc18425 \h </w:instrText>
      </w:r>
      <w:r>
        <w:fldChar w:fldCharType="separate"/>
      </w:r>
      <w:r>
        <w:t>54</w:t>
      </w:r>
      <w:r>
        <w:fldChar w:fldCharType="end"/>
      </w:r>
      <w:r>
        <w:fldChar w:fldCharType="end"/>
      </w:r>
    </w:p>
    <w:p w14:paraId="21702F25">
      <w:pPr>
        <w:pStyle w:val="13"/>
        <w:tabs>
          <w:tab w:val="right" w:leader="dot" w:pos="9070"/>
        </w:tabs>
      </w:pPr>
      <w:r>
        <w:fldChar w:fldCharType="begin"/>
      </w:r>
      <w:r>
        <w:instrText xml:space="preserve"> HYPERLINK \l "_Toc11280" </w:instrText>
      </w:r>
      <w:r>
        <w:fldChar w:fldCharType="separate"/>
      </w:r>
      <w:r>
        <w:rPr>
          <w:rFonts w:hint="eastAsia" w:ascii="Times New Roman" w:hAnsi="Times New Roman" w:eastAsia="宋体" w:cs="宋体"/>
          <w:bCs/>
          <w:szCs w:val="24"/>
        </w:rPr>
        <w:t>1.一般约定</w:t>
      </w:r>
      <w:r>
        <w:tab/>
      </w:r>
      <w:r>
        <w:fldChar w:fldCharType="begin"/>
      </w:r>
      <w:r>
        <w:instrText xml:space="preserve"> PAGEREF _Toc11280 \h </w:instrText>
      </w:r>
      <w:r>
        <w:fldChar w:fldCharType="separate"/>
      </w:r>
      <w:r>
        <w:t>54</w:t>
      </w:r>
      <w:r>
        <w:fldChar w:fldCharType="end"/>
      </w:r>
      <w:r>
        <w:fldChar w:fldCharType="end"/>
      </w:r>
    </w:p>
    <w:p w14:paraId="67CD5EA7">
      <w:pPr>
        <w:pStyle w:val="13"/>
        <w:tabs>
          <w:tab w:val="right" w:leader="dot" w:pos="9070"/>
        </w:tabs>
      </w:pPr>
      <w:r>
        <w:fldChar w:fldCharType="begin"/>
      </w:r>
      <w:r>
        <w:instrText xml:space="preserve"> HYPERLINK \l "_Toc17668" </w:instrText>
      </w:r>
      <w:r>
        <w:fldChar w:fldCharType="separate"/>
      </w:r>
      <w:r>
        <w:rPr>
          <w:rFonts w:hint="eastAsia" w:ascii="Times New Roman" w:hAnsi="Times New Roman" w:eastAsia="宋体" w:cs="宋体"/>
          <w:bCs/>
          <w:szCs w:val="24"/>
        </w:rPr>
        <w:t>2.合同范围</w:t>
      </w:r>
      <w:r>
        <w:tab/>
      </w:r>
      <w:r>
        <w:fldChar w:fldCharType="begin"/>
      </w:r>
      <w:r>
        <w:instrText xml:space="preserve"> PAGEREF _Toc17668 \h </w:instrText>
      </w:r>
      <w:r>
        <w:fldChar w:fldCharType="separate"/>
      </w:r>
      <w:r>
        <w:t>57</w:t>
      </w:r>
      <w:r>
        <w:fldChar w:fldCharType="end"/>
      </w:r>
      <w:r>
        <w:fldChar w:fldCharType="end"/>
      </w:r>
    </w:p>
    <w:p w14:paraId="4CB5200F">
      <w:pPr>
        <w:pStyle w:val="13"/>
        <w:tabs>
          <w:tab w:val="right" w:leader="dot" w:pos="9070"/>
        </w:tabs>
      </w:pPr>
      <w:r>
        <w:fldChar w:fldCharType="begin"/>
      </w:r>
      <w:r>
        <w:instrText xml:space="preserve"> HYPERLINK \l "_Toc15405" </w:instrText>
      </w:r>
      <w:r>
        <w:fldChar w:fldCharType="separate"/>
      </w:r>
      <w:r>
        <w:rPr>
          <w:rFonts w:hint="eastAsia" w:ascii="Times New Roman" w:hAnsi="Times New Roman" w:eastAsia="宋体" w:cs="宋体"/>
          <w:szCs w:val="24"/>
        </w:rPr>
        <w:t>3.合同价格与支付</w:t>
      </w:r>
      <w:r>
        <w:tab/>
      </w:r>
      <w:r>
        <w:fldChar w:fldCharType="begin"/>
      </w:r>
      <w:r>
        <w:instrText xml:space="preserve"> PAGEREF _Toc15405 \h </w:instrText>
      </w:r>
      <w:r>
        <w:fldChar w:fldCharType="separate"/>
      </w:r>
      <w:r>
        <w:t>57</w:t>
      </w:r>
      <w:r>
        <w:fldChar w:fldCharType="end"/>
      </w:r>
      <w:r>
        <w:fldChar w:fldCharType="end"/>
      </w:r>
    </w:p>
    <w:p w14:paraId="5B9BAECC">
      <w:pPr>
        <w:pStyle w:val="13"/>
        <w:tabs>
          <w:tab w:val="right" w:leader="dot" w:pos="9070"/>
        </w:tabs>
      </w:pPr>
      <w:r>
        <w:fldChar w:fldCharType="begin"/>
      </w:r>
      <w:r>
        <w:instrText xml:space="preserve"> HYPERLINK \l "_Toc7057" </w:instrText>
      </w:r>
      <w:r>
        <w:fldChar w:fldCharType="separate"/>
      </w:r>
      <w:r>
        <w:rPr>
          <w:rFonts w:hint="eastAsia" w:ascii="Times New Roman" w:hAnsi="Times New Roman" w:eastAsia="宋体" w:cs="宋体"/>
          <w:szCs w:val="24"/>
        </w:rPr>
        <w:t>4.监造及交货前检验</w:t>
      </w:r>
      <w:r>
        <w:tab/>
      </w:r>
      <w:r>
        <w:fldChar w:fldCharType="begin"/>
      </w:r>
      <w:r>
        <w:instrText xml:space="preserve"> PAGEREF _Toc7057 \h </w:instrText>
      </w:r>
      <w:r>
        <w:fldChar w:fldCharType="separate"/>
      </w:r>
      <w:r>
        <w:t>59</w:t>
      </w:r>
      <w:r>
        <w:fldChar w:fldCharType="end"/>
      </w:r>
      <w:r>
        <w:fldChar w:fldCharType="end"/>
      </w:r>
    </w:p>
    <w:p w14:paraId="7E8DAFA8">
      <w:pPr>
        <w:pStyle w:val="13"/>
        <w:tabs>
          <w:tab w:val="right" w:leader="dot" w:pos="9070"/>
        </w:tabs>
      </w:pPr>
      <w:r>
        <w:fldChar w:fldCharType="begin"/>
      </w:r>
      <w:r>
        <w:instrText xml:space="preserve"> HYPERLINK \l "_Toc19963" </w:instrText>
      </w:r>
      <w:r>
        <w:fldChar w:fldCharType="separate"/>
      </w:r>
      <w:r>
        <w:rPr>
          <w:rFonts w:hint="eastAsia" w:ascii="Times New Roman" w:hAnsi="Times New Roman" w:eastAsia="宋体" w:cs="宋体"/>
          <w:szCs w:val="24"/>
        </w:rPr>
        <w:t>5.包装、标记、运输和交付</w:t>
      </w:r>
      <w:r>
        <w:tab/>
      </w:r>
      <w:r>
        <w:fldChar w:fldCharType="begin"/>
      </w:r>
      <w:r>
        <w:instrText xml:space="preserve"> PAGEREF _Toc19963 \h </w:instrText>
      </w:r>
      <w:r>
        <w:fldChar w:fldCharType="separate"/>
      </w:r>
      <w:r>
        <w:t>60</w:t>
      </w:r>
      <w:r>
        <w:fldChar w:fldCharType="end"/>
      </w:r>
      <w:r>
        <w:fldChar w:fldCharType="end"/>
      </w:r>
    </w:p>
    <w:p w14:paraId="1C98C149">
      <w:pPr>
        <w:pStyle w:val="13"/>
        <w:tabs>
          <w:tab w:val="right" w:leader="dot" w:pos="9070"/>
        </w:tabs>
      </w:pPr>
      <w:r>
        <w:fldChar w:fldCharType="begin"/>
      </w:r>
      <w:r>
        <w:instrText xml:space="preserve"> HYPERLINK \l "_Toc10092" </w:instrText>
      </w:r>
      <w:r>
        <w:fldChar w:fldCharType="separate"/>
      </w:r>
      <w:r>
        <w:rPr>
          <w:rFonts w:hint="eastAsia" w:ascii="Times New Roman" w:hAnsi="Times New Roman" w:eastAsia="宋体" w:cs="宋体"/>
          <w:szCs w:val="24"/>
        </w:rPr>
        <w:t>6.开箱检验、安装、调试、考核、验收</w:t>
      </w:r>
      <w:r>
        <w:tab/>
      </w:r>
      <w:r>
        <w:fldChar w:fldCharType="begin"/>
      </w:r>
      <w:r>
        <w:instrText xml:space="preserve"> PAGEREF _Toc10092 \h </w:instrText>
      </w:r>
      <w:r>
        <w:fldChar w:fldCharType="separate"/>
      </w:r>
      <w:r>
        <w:t>62</w:t>
      </w:r>
      <w:r>
        <w:fldChar w:fldCharType="end"/>
      </w:r>
      <w:r>
        <w:fldChar w:fldCharType="end"/>
      </w:r>
    </w:p>
    <w:p w14:paraId="2B3BCDBC">
      <w:pPr>
        <w:pStyle w:val="13"/>
        <w:tabs>
          <w:tab w:val="right" w:leader="dot" w:pos="9070"/>
        </w:tabs>
      </w:pPr>
      <w:r>
        <w:fldChar w:fldCharType="begin"/>
      </w:r>
      <w:r>
        <w:instrText xml:space="preserve"> HYPERLINK \l "_Toc25020" </w:instrText>
      </w:r>
      <w:r>
        <w:fldChar w:fldCharType="separate"/>
      </w:r>
      <w:r>
        <w:rPr>
          <w:rFonts w:hint="eastAsia" w:ascii="Times New Roman" w:hAnsi="Times New Roman" w:eastAsia="宋体" w:cs="宋体"/>
          <w:szCs w:val="24"/>
        </w:rPr>
        <w:t>7.技术服务</w:t>
      </w:r>
      <w:r>
        <w:tab/>
      </w:r>
      <w:r>
        <w:fldChar w:fldCharType="begin"/>
      </w:r>
      <w:r>
        <w:instrText xml:space="preserve"> PAGEREF _Toc25020 \h </w:instrText>
      </w:r>
      <w:r>
        <w:fldChar w:fldCharType="separate"/>
      </w:r>
      <w:r>
        <w:t>65</w:t>
      </w:r>
      <w:r>
        <w:fldChar w:fldCharType="end"/>
      </w:r>
      <w:r>
        <w:fldChar w:fldCharType="end"/>
      </w:r>
    </w:p>
    <w:p w14:paraId="30507253">
      <w:pPr>
        <w:pStyle w:val="13"/>
        <w:tabs>
          <w:tab w:val="right" w:leader="dot" w:pos="9070"/>
        </w:tabs>
      </w:pPr>
      <w:r>
        <w:fldChar w:fldCharType="begin"/>
      </w:r>
      <w:r>
        <w:instrText xml:space="preserve"> HYPERLINK \l "_Toc21710" </w:instrText>
      </w:r>
      <w:r>
        <w:fldChar w:fldCharType="separate"/>
      </w:r>
      <w:r>
        <w:rPr>
          <w:rFonts w:hint="eastAsia" w:ascii="Times New Roman" w:hAnsi="Times New Roman" w:eastAsia="宋体" w:cs="宋体"/>
          <w:szCs w:val="24"/>
        </w:rPr>
        <w:t>8.质量保证期</w:t>
      </w:r>
      <w:r>
        <w:tab/>
      </w:r>
      <w:r>
        <w:fldChar w:fldCharType="begin"/>
      </w:r>
      <w:r>
        <w:instrText xml:space="preserve"> PAGEREF _Toc21710 \h </w:instrText>
      </w:r>
      <w:r>
        <w:fldChar w:fldCharType="separate"/>
      </w:r>
      <w:r>
        <w:t>65</w:t>
      </w:r>
      <w:r>
        <w:fldChar w:fldCharType="end"/>
      </w:r>
      <w:r>
        <w:fldChar w:fldCharType="end"/>
      </w:r>
    </w:p>
    <w:p w14:paraId="193EA981">
      <w:pPr>
        <w:pStyle w:val="13"/>
        <w:tabs>
          <w:tab w:val="right" w:leader="dot" w:pos="9070"/>
        </w:tabs>
      </w:pPr>
      <w:r>
        <w:fldChar w:fldCharType="begin"/>
      </w:r>
      <w:r>
        <w:instrText xml:space="preserve"> HYPERLINK \l "_Toc29636" </w:instrText>
      </w:r>
      <w:r>
        <w:fldChar w:fldCharType="separate"/>
      </w:r>
      <w:r>
        <w:rPr>
          <w:rFonts w:hint="eastAsia" w:ascii="Times New Roman" w:hAnsi="Times New Roman" w:eastAsia="宋体" w:cs="宋体"/>
          <w:szCs w:val="24"/>
        </w:rPr>
        <w:t>9.质保期服务</w:t>
      </w:r>
      <w:r>
        <w:tab/>
      </w:r>
      <w:r>
        <w:fldChar w:fldCharType="begin"/>
      </w:r>
      <w:r>
        <w:instrText xml:space="preserve"> PAGEREF _Toc29636 \h </w:instrText>
      </w:r>
      <w:r>
        <w:fldChar w:fldCharType="separate"/>
      </w:r>
      <w:r>
        <w:t>66</w:t>
      </w:r>
      <w:r>
        <w:fldChar w:fldCharType="end"/>
      </w:r>
      <w:r>
        <w:fldChar w:fldCharType="end"/>
      </w:r>
    </w:p>
    <w:p w14:paraId="13F97B0E">
      <w:pPr>
        <w:pStyle w:val="13"/>
        <w:tabs>
          <w:tab w:val="right" w:leader="dot" w:pos="9070"/>
        </w:tabs>
      </w:pPr>
      <w:r>
        <w:fldChar w:fldCharType="begin"/>
      </w:r>
      <w:r>
        <w:instrText xml:space="preserve"> HYPERLINK \l "_Toc21457" </w:instrText>
      </w:r>
      <w:r>
        <w:fldChar w:fldCharType="separate"/>
      </w:r>
      <w:r>
        <w:rPr>
          <w:rFonts w:hint="eastAsia" w:ascii="Times New Roman" w:hAnsi="Times New Roman" w:eastAsia="宋体" w:cs="宋体"/>
          <w:szCs w:val="24"/>
        </w:rPr>
        <w:t>10.履约保证金</w:t>
      </w:r>
      <w:r>
        <w:tab/>
      </w:r>
      <w:r>
        <w:fldChar w:fldCharType="begin"/>
      </w:r>
      <w:r>
        <w:instrText xml:space="preserve"> PAGEREF _Toc21457 \h </w:instrText>
      </w:r>
      <w:r>
        <w:fldChar w:fldCharType="separate"/>
      </w:r>
      <w:r>
        <w:t>67</w:t>
      </w:r>
      <w:r>
        <w:fldChar w:fldCharType="end"/>
      </w:r>
      <w:r>
        <w:fldChar w:fldCharType="end"/>
      </w:r>
    </w:p>
    <w:p w14:paraId="64F27C9C">
      <w:pPr>
        <w:pStyle w:val="13"/>
        <w:tabs>
          <w:tab w:val="right" w:leader="dot" w:pos="9070"/>
        </w:tabs>
      </w:pPr>
      <w:r>
        <w:fldChar w:fldCharType="begin"/>
      </w:r>
      <w:r>
        <w:instrText xml:space="preserve"> HYPERLINK \l "_Toc19593" </w:instrText>
      </w:r>
      <w:r>
        <w:fldChar w:fldCharType="separate"/>
      </w:r>
      <w:r>
        <w:rPr>
          <w:rFonts w:hint="eastAsia" w:ascii="Times New Roman" w:hAnsi="Times New Roman" w:eastAsia="宋体" w:cs="宋体"/>
          <w:szCs w:val="24"/>
        </w:rPr>
        <w:t>11.保证</w:t>
      </w:r>
      <w:r>
        <w:tab/>
      </w:r>
      <w:r>
        <w:fldChar w:fldCharType="begin"/>
      </w:r>
      <w:r>
        <w:instrText xml:space="preserve"> PAGEREF _Toc19593 \h </w:instrText>
      </w:r>
      <w:r>
        <w:fldChar w:fldCharType="separate"/>
      </w:r>
      <w:r>
        <w:t>67</w:t>
      </w:r>
      <w:r>
        <w:fldChar w:fldCharType="end"/>
      </w:r>
      <w:r>
        <w:fldChar w:fldCharType="end"/>
      </w:r>
    </w:p>
    <w:p w14:paraId="45A3532C">
      <w:pPr>
        <w:pStyle w:val="13"/>
        <w:tabs>
          <w:tab w:val="right" w:leader="dot" w:pos="9070"/>
        </w:tabs>
      </w:pPr>
      <w:r>
        <w:fldChar w:fldCharType="begin"/>
      </w:r>
      <w:r>
        <w:instrText xml:space="preserve"> HYPERLINK \l "_Toc26804" </w:instrText>
      </w:r>
      <w:r>
        <w:fldChar w:fldCharType="separate"/>
      </w:r>
      <w:r>
        <w:rPr>
          <w:rFonts w:hint="eastAsia" w:ascii="Times New Roman" w:hAnsi="Times New Roman" w:eastAsia="宋体" w:cs="宋体"/>
          <w:szCs w:val="24"/>
        </w:rPr>
        <w:t>12.知识产权</w:t>
      </w:r>
      <w:r>
        <w:tab/>
      </w:r>
      <w:r>
        <w:fldChar w:fldCharType="begin"/>
      </w:r>
      <w:r>
        <w:instrText xml:space="preserve"> PAGEREF _Toc26804 \h </w:instrText>
      </w:r>
      <w:r>
        <w:fldChar w:fldCharType="separate"/>
      </w:r>
      <w:r>
        <w:t>68</w:t>
      </w:r>
      <w:r>
        <w:fldChar w:fldCharType="end"/>
      </w:r>
      <w:r>
        <w:fldChar w:fldCharType="end"/>
      </w:r>
    </w:p>
    <w:p w14:paraId="25BAAB68">
      <w:pPr>
        <w:pStyle w:val="13"/>
        <w:tabs>
          <w:tab w:val="right" w:leader="dot" w:pos="9070"/>
        </w:tabs>
      </w:pPr>
      <w:r>
        <w:fldChar w:fldCharType="begin"/>
      </w:r>
      <w:r>
        <w:instrText xml:space="preserve"> HYPERLINK \l "_Toc20078" </w:instrText>
      </w:r>
      <w:r>
        <w:fldChar w:fldCharType="separate"/>
      </w:r>
      <w:r>
        <w:rPr>
          <w:rFonts w:hint="eastAsia" w:ascii="Times New Roman" w:hAnsi="Times New Roman" w:eastAsia="宋体" w:cs="宋体"/>
          <w:szCs w:val="24"/>
        </w:rPr>
        <w:t>13.保密</w:t>
      </w:r>
      <w:r>
        <w:tab/>
      </w:r>
      <w:r>
        <w:fldChar w:fldCharType="begin"/>
      </w:r>
      <w:r>
        <w:instrText xml:space="preserve"> PAGEREF _Toc20078 \h </w:instrText>
      </w:r>
      <w:r>
        <w:fldChar w:fldCharType="separate"/>
      </w:r>
      <w:r>
        <w:t>68</w:t>
      </w:r>
      <w:r>
        <w:fldChar w:fldCharType="end"/>
      </w:r>
      <w:r>
        <w:fldChar w:fldCharType="end"/>
      </w:r>
    </w:p>
    <w:p w14:paraId="054E8841">
      <w:pPr>
        <w:pStyle w:val="13"/>
        <w:tabs>
          <w:tab w:val="right" w:leader="dot" w:pos="9070"/>
        </w:tabs>
      </w:pPr>
      <w:r>
        <w:fldChar w:fldCharType="begin"/>
      </w:r>
      <w:r>
        <w:instrText xml:space="preserve"> HYPERLINK \l "_Toc18175" </w:instrText>
      </w:r>
      <w:r>
        <w:fldChar w:fldCharType="separate"/>
      </w:r>
      <w:r>
        <w:rPr>
          <w:rFonts w:hint="eastAsia" w:ascii="Times New Roman" w:hAnsi="Times New Roman" w:eastAsia="宋体" w:cs="宋体"/>
          <w:szCs w:val="24"/>
        </w:rPr>
        <w:t>14.违约责任</w:t>
      </w:r>
      <w:r>
        <w:tab/>
      </w:r>
      <w:r>
        <w:fldChar w:fldCharType="begin"/>
      </w:r>
      <w:r>
        <w:instrText xml:space="preserve"> PAGEREF _Toc18175 \h </w:instrText>
      </w:r>
      <w:r>
        <w:fldChar w:fldCharType="separate"/>
      </w:r>
      <w:r>
        <w:t>69</w:t>
      </w:r>
      <w:r>
        <w:fldChar w:fldCharType="end"/>
      </w:r>
      <w:r>
        <w:fldChar w:fldCharType="end"/>
      </w:r>
    </w:p>
    <w:p w14:paraId="30CDE66D">
      <w:pPr>
        <w:pStyle w:val="13"/>
        <w:tabs>
          <w:tab w:val="right" w:leader="dot" w:pos="9070"/>
        </w:tabs>
      </w:pPr>
      <w:r>
        <w:fldChar w:fldCharType="begin"/>
      </w:r>
      <w:r>
        <w:instrText xml:space="preserve"> HYPERLINK \l "_Toc5826" </w:instrText>
      </w:r>
      <w:r>
        <w:fldChar w:fldCharType="separate"/>
      </w:r>
      <w:r>
        <w:rPr>
          <w:rFonts w:hint="eastAsia" w:ascii="Times New Roman" w:hAnsi="Times New Roman" w:eastAsia="宋体" w:cs="宋体"/>
          <w:szCs w:val="24"/>
        </w:rPr>
        <w:t>15.合同的解除</w:t>
      </w:r>
      <w:r>
        <w:tab/>
      </w:r>
      <w:r>
        <w:fldChar w:fldCharType="begin"/>
      </w:r>
      <w:r>
        <w:instrText xml:space="preserve"> PAGEREF _Toc5826 \h </w:instrText>
      </w:r>
      <w:r>
        <w:fldChar w:fldCharType="separate"/>
      </w:r>
      <w:r>
        <w:t>69</w:t>
      </w:r>
      <w:r>
        <w:fldChar w:fldCharType="end"/>
      </w:r>
      <w:r>
        <w:fldChar w:fldCharType="end"/>
      </w:r>
    </w:p>
    <w:p w14:paraId="660DC201">
      <w:pPr>
        <w:pStyle w:val="13"/>
        <w:tabs>
          <w:tab w:val="right" w:leader="dot" w:pos="9070"/>
        </w:tabs>
      </w:pPr>
      <w:r>
        <w:fldChar w:fldCharType="begin"/>
      </w:r>
      <w:r>
        <w:instrText xml:space="preserve"> HYPERLINK \l "_Toc5894" </w:instrText>
      </w:r>
      <w:r>
        <w:fldChar w:fldCharType="separate"/>
      </w:r>
      <w:r>
        <w:rPr>
          <w:rFonts w:hint="eastAsia" w:ascii="Times New Roman" w:hAnsi="Times New Roman" w:eastAsia="宋体" w:cs="宋体"/>
          <w:szCs w:val="24"/>
        </w:rPr>
        <w:t>16.不可抗力</w:t>
      </w:r>
      <w:r>
        <w:tab/>
      </w:r>
      <w:r>
        <w:fldChar w:fldCharType="begin"/>
      </w:r>
      <w:r>
        <w:instrText xml:space="preserve"> PAGEREF _Toc5894 \h </w:instrText>
      </w:r>
      <w:r>
        <w:fldChar w:fldCharType="separate"/>
      </w:r>
      <w:r>
        <w:t>70</w:t>
      </w:r>
      <w:r>
        <w:fldChar w:fldCharType="end"/>
      </w:r>
      <w:r>
        <w:fldChar w:fldCharType="end"/>
      </w:r>
    </w:p>
    <w:p w14:paraId="38D89B79">
      <w:pPr>
        <w:pStyle w:val="13"/>
        <w:tabs>
          <w:tab w:val="right" w:leader="dot" w:pos="9070"/>
        </w:tabs>
      </w:pPr>
      <w:r>
        <w:fldChar w:fldCharType="begin"/>
      </w:r>
      <w:r>
        <w:instrText xml:space="preserve"> HYPERLINK \l "_Toc13250" </w:instrText>
      </w:r>
      <w:r>
        <w:fldChar w:fldCharType="separate"/>
      </w:r>
      <w:r>
        <w:rPr>
          <w:rFonts w:hint="eastAsia" w:ascii="Times New Roman" w:hAnsi="Times New Roman" w:eastAsia="宋体" w:cs="宋体"/>
          <w:szCs w:val="24"/>
        </w:rPr>
        <w:t>17.争议的解决</w:t>
      </w:r>
      <w:r>
        <w:tab/>
      </w:r>
      <w:r>
        <w:fldChar w:fldCharType="begin"/>
      </w:r>
      <w:r>
        <w:instrText xml:space="preserve"> PAGEREF _Toc13250 \h </w:instrText>
      </w:r>
      <w:r>
        <w:fldChar w:fldCharType="separate"/>
      </w:r>
      <w:r>
        <w:t>70</w:t>
      </w:r>
      <w:r>
        <w:fldChar w:fldCharType="end"/>
      </w:r>
      <w:r>
        <w:fldChar w:fldCharType="end"/>
      </w:r>
    </w:p>
    <w:p w14:paraId="68D13524">
      <w:pPr>
        <w:pStyle w:val="13"/>
        <w:tabs>
          <w:tab w:val="right" w:leader="dot" w:pos="9070"/>
        </w:tabs>
      </w:pPr>
      <w:r>
        <w:fldChar w:fldCharType="begin"/>
      </w:r>
      <w:r>
        <w:instrText xml:space="preserve"> HYPERLINK \l "_Toc103" </w:instrText>
      </w:r>
      <w:r>
        <w:fldChar w:fldCharType="separate"/>
      </w:r>
      <w:r>
        <w:rPr>
          <w:rFonts w:hint="eastAsia" w:ascii="Times New Roman" w:hAnsi="Times New Roman" w:eastAsia="宋体" w:cs="宋体"/>
          <w:bCs/>
        </w:rPr>
        <w:t>第二节  专用合同条款</w:t>
      </w:r>
      <w:r>
        <w:tab/>
      </w:r>
      <w:r>
        <w:fldChar w:fldCharType="begin"/>
      </w:r>
      <w:r>
        <w:instrText xml:space="preserve"> PAGEREF _Toc103 \h </w:instrText>
      </w:r>
      <w:r>
        <w:fldChar w:fldCharType="separate"/>
      </w:r>
      <w:r>
        <w:t>72</w:t>
      </w:r>
      <w:r>
        <w:fldChar w:fldCharType="end"/>
      </w:r>
      <w:r>
        <w:fldChar w:fldCharType="end"/>
      </w:r>
    </w:p>
    <w:p w14:paraId="3CF08B28">
      <w:pPr>
        <w:pStyle w:val="13"/>
        <w:tabs>
          <w:tab w:val="right" w:leader="dot" w:pos="9070"/>
        </w:tabs>
      </w:pPr>
      <w:r>
        <w:fldChar w:fldCharType="begin"/>
      </w:r>
      <w:r>
        <w:instrText xml:space="preserve"> HYPERLINK \l "_Toc32673" </w:instrText>
      </w:r>
      <w:r>
        <w:fldChar w:fldCharType="separate"/>
      </w:r>
      <w:r>
        <w:rPr>
          <w:rFonts w:hint="eastAsia" w:ascii="Times New Roman" w:hAnsi="Times New Roman" w:eastAsia="宋体" w:cs="宋体"/>
          <w:szCs w:val="24"/>
        </w:rPr>
        <w:t>1.一般约定</w:t>
      </w:r>
      <w:r>
        <w:tab/>
      </w:r>
      <w:r>
        <w:fldChar w:fldCharType="begin"/>
      </w:r>
      <w:r>
        <w:instrText xml:space="preserve"> PAGEREF _Toc32673 \h </w:instrText>
      </w:r>
      <w:r>
        <w:fldChar w:fldCharType="separate"/>
      </w:r>
      <w:r>
        <w:t>72</w:t>
      </w:r>
      <w:r>
        <w:fldChar w:fldCharType="end"/>
      </w:r>
      <w:r>
        <w:fldChar w:fldCharType="end"/>
      </w:r>
    </w:p>
    <w:p w14:paraId="731758A4">
      <w:pPr>
        <w:pStyle w:val="13"/>
        <w:tabs>
          <w:tab w:val="right" w:leader="dot" w:pos="9070"/>
        </w:tabs>
      </w:pPr>
      <w:r>
        <w:fldChar w:fldCharType="begin"/>
      </w:r>
      <w:r>
        <w:instrText xml:space="preserve"> HYPERLINK \l "_Toc10599" </w:instrText>
      </w:r>
      <w:r>
        <w:fldChar w:fldCharType="separate"/>
      </w:r>
      <w:r>
        <w:rPr>
          <w:rFonts w:hint="eastAsia" w:ascii="Times New Roman" w:hAnsi="Times New Roman" w:eastAsia="宋体" w:cs="宋体"/>
          <w:szCs w:val="24"/>
        </w:rPr>
        <w:t>3.合同价格与支付</w:t>
      </w:r>
      <w:r>
        <w:tab/>
      </w:r>
      <w:r>
        <w:fldChar w:fldCharType="begin"/>
      </w:r>
      <w:r>
        <w:instrText xml:space="preserve"> PAGEREF _Toc10599 \h </w:instrText>
      </w:r>
      <w:r>
        <w:fldChar w:fldCharType="separate"/>
      </w:r>
      <w:r>
        <w:t>72</w:t>
      </w:r>
      <w:r>
        <w:fldChar w:fldCharType="end"/>
      </w:r>
      <w:r>
        <w:fldChar w:fldCharType="end"/>
      </w:r>
    </w:p>
    <w:p w14:paraId="61B086FC">
      <w:pPr>
        <w:pStyle w:val="13"/>
        <w:tabs>
          <w:tab w:val="right" w:leader="dot" w:pos="9070"/>
        </w:tabs>
      </w:pPr>
      <w:r>
        <w:fldChar w:fldCharType="begin"/>
      </w:r>
      <w:r>
        <w:instrText xml:space="preserve"> HYPERLINK \l "_Toc28902" </w:instrText>
      </w:r>
      <w:r>
        <w:fldChar w:fldCharType="separate"/>
      </w:r>
      <w:r>
        <w:rPr>
          <w:rFonts w:hint="eastAsia" w:ascii="Times New Roman" w:hAnsi="Times New Roman" w:eastAsia="宋体" w:cs="宋体"/>
          <w:szCs w:val="24"/>
        </w:rPr>
        <w:t>4.监造及交货前检验</w:t>
      </w:r>
      <w:r>
        <w:tab/>
      </w:r>
      <w:r>
        <w:fldChar w:fldCharType="begin"/>
      </w:r>
      <w:r>
        <w:instrText xml:space="preserve"> PAGEREF _Toc28902 \h </w:instrText>
      </w:r>
      <w:r>
        <w:fldChar w:fldCharType="separate"/>
      </w:r>
      <w:r>
        <w:t>73</w:t>
      </w:r>
      <w:r>
        <w:fldChar w:fldCharType="end"/>
      </w:r>
      <w:r>
        <w:fldChar w:fldCharType="end"/>
      </w:r>
    </w:p>
    <w:p w14:paraId="4C3751AE">
      <w:pPr>
        <w:pStyle w:val="13"/>
        <w:tabs>
          <w:tab w:val="right" w:leader="dot" w:pos="9070"/>
        </w:tabs>
      </w:pPr>
      <w:r>
        <w:fldChar w:fldCharType="begin"/>
      </w:r>
      <w:r>
        <w:instrText xml:space="preserve"> HYPERLINK \l "_Toc23142" </w:instrText>
      </w:r>
      <w:r>
        <w:fldChar w:fldCharType="separate"/>
      </w:r>
      <w:r>
        <w:rPr>
          <w:rFonts w:hint="eastAsia" w:ascii="Times New Roman" w:hAnsi="Times New Roman" w:eastAsia="宋体" w:cs="宋体"/>
          <w:szCs w:val="24"/>
        </w:rPr>
        <w:t>5.包装、标记、运输和交付</w:t>
      </w:r>
      <w:r>
        <w:tab/>
      </w:r>
      <w:r>
        <w:fldChar w:fldCharType="begin"/>
      </w:r>
      <w:r>
        <w:instrText xml:space="preserve"> PAGEREF _Toc23142 \h </w:instrText>
      </w:r>
      <w:r>
        <w:fldChar w:fldCharType="separate"/>
      </w:r>
      <w:r>
        <w:t>73</w:t>
      </w:r>
      <w:r>
        <w:fldChar w:fldCharType="end"/>
      </w:r>
      <w:r>
        <w:fldChar w:fldCharType="end"/>
      </w:r>
    </w:p>
    <w:p w14:paraId="01455BC7">
      <w:pPr>
        <w:pStyle w:val="13"/>
        <w:tabs>
          <w:tab w:val="right" w:leader="dot" w:pos="9070"/>
        </w:tabs>
      </w:pPr>
      <w:r>
        <w:fldChar w:fldCharType="begin"/>
      </w:r>
      <w:r>
        <w:instrText xml:space="preserve"> HYPERLINK \l "_Toc11711" </w:instrText>
      </w:r>
      <w:r>
        <w:fldChar w:fldCharType="separate"/>
      </w:r>
      <w:r>
        <w:rPr>
          <w:rFonts w:hint="eastAsia" w:ascii="Times New Roman" w:hAnsi="Times New Roman" w:eastAsia="宋体" w:cs="宋体"/>
          <w:szCs w:val="24"/>
        </w:rPr>
        <w:t>6.开箱检验、安装、调试、考核、验收</w:t>
      </w:r>
      <w:r>
        <w:tab/>
      </w:r>
      <w:r>
        <w:fldChar w:fldCharType="begin"/>
      </w:r>
      <w:r>
        <w:instrText xml:space="preserve"> PAGEREF _Toc11711 \h </w:instrText>
      </w:r>
      <w:r>
        <w:fldChar w:fldCharType="separate"/>
      </w:r>
      <w:r>
        <w:t>74</w:t>
      </w:r>
      <w:r>
        <w:fldChar w:fldCharType="end"/>
      </w:r>
      <w:r>
        <w:fldChar w:fldCharType="end"/>
      </w:r>
    </w:p>
    <w:p w14:paraId="5CDE936B">
      <w:pPr>
        <w:pStyle w:val="13"/>
        <w:tabs>
          <w:tab w:val="right" w:leader="dot" w:pos="9070"/>
        </w:tabs>
      </w:pPr>
      <w:r>
        <w:fldChar w:fldCharType="begin"/>
      </w:r>
      <w:r>
        <w:instrText xml:space="preserve"> HYPERLINK \l "_Toc11057" </w:instrText>
      </w:r>
      <w:r>
        <w:fldChar w:fldCharType="separate"/>
      </w:r>
      <w:r>
        <w:rPr>
          <w:rFonts w:hint="eastAsia" w:ascii="Times New Roman" w:hAnsi="Times New Roman" w:eastAsia="宋体" w:cs="宋体"/>
          <w:szCs w:val="24"/>
        </w:rPr>
        <w:t>7.技术服务</w:t>
      </w:r>
      <w:r>
        <w:tab/>
      </w:r>
      <w:r>
        <w:fldChar w:fldCharType="begin"/>
      </w:r>
      <w:r>
        <w:instrText xml:space="preserve"> PAGEREF _Toc11057 \h </w:instrText>
      </w:r>
      <w:r>
        <w:fldChar w:fldCharType="separate"/>
      </w:r>
      <w:r>
        <w:t>75</w:t>
      </w:r>
      <w:r>
        <w:fldChar w:fldCharType="end"/>
      </w:r>
      <w:r>
        <w:fldChar w:fldCharType="end"/>
      </w:r>
    </w:p>
    <w:p w14:paraId="61CA5D91">
      <w:pPr>
        <w:pStyle w:val="13"/>
        <w:tabs>
          <w:tab w:val="right" w:leader="dot" w:pos="9070"/>
        </w:tabs>
      </w:pPr>
      <w:r>
        <w:fldChar w:fldCharType="begin"/>
      </w:r>
      <w:r>
        <w:instrText xml:space="preserve"> HYPERLINK \l "_Toc14282" </w:instrText>
      </w:r>
      <w:r>
        <w:fldChar w:fldCharType="separate"/>
      </w:r>
      <w:r>
        <w:rPr>
          <w:rFonts w:hint="eastAsia" w:ascii="Times New Roman" w:hAnsi="Times New Roman" w:eastAsia="宋体" w:cs="宋体"/>
          <w:szCs w:val="24"/>
        </w:rPr>
        <w:t>8.质量保证期</w:t>
      </w:r>
      <w:r>
        <w:tab/>
      </w:r>
      <w:r>
        <w:fldChar w:fldCharType="begin"/>
      </w:r>
      <w:r>
        <w:instrText xml:space="preserve"> PAGEREF _Toc14282 \h </w:instrText>
      </w:r>
      <w:r>
        <w:fldChar w:fldCharType="separate"/>
      </w:r>
      <w:r>
        <w:t>75</w:t>
      </w:r>
      <w:r>
        <w:fldChar w:fldCharType="end"/>
      </w:r>
      <w:r>
        <w:fldChar w:fldCharType="end"/>
      </w:r>
    </w:p>
    <w:p w14:paraId="2B7465FC">
      <w:pPr>
        <w:pStyle w:val="13"/>
        <w:tabs>
          <w:tab w:val="right" w:leader="dot" w:pos="9070"/>
        </w:tabs>
      </w:pPr>
      <w:r>
        <w:fldChar w:fldCharType="begin"/>
      </w:r>
      <w:r>
        <w:instrText xml:space="preserve"> HYPERLINK \l "_Toc3811" </w:instrText>
      </w:r>
      <w:r>
        <w:fldChar w:fldCharType="separate"/>
      </w:r>
      <w:r>
        <w:rPr>
          <w:rFonts w:hint="eastAsia" w:ascii="Times New Roman" w:hAnsi="Times New Roman" w:eastAsia="宋体" w:cs="宋体"/>
          <w:szCs w:val="24"/>
        </w:rPr>
        <w:t>9.质保期服务</w:t>
      </w:r>
      <w:r>
        <w:tab/>
      </w:r>
      <w:r>
        <w:fldChar w:fldCharType="begin"/>
      </w:r>
      <w:r>
        <w:instrText xml:space="preserve"> PAGEREF _Toc3811 \h </w:instrText>
      </w:r>
      <w:r>
        <w:fldChar w:fldCharType="separate"/>
      </w:r>
      <w:r>
        <w:t>75</w:t>
      </w:r>
      <w:r>
        <w:fldChar w:fldCharType="end"/>
      </w:r>
      <w:r>
        <w:fldChar w:fldCharType="end"/>
      </w:r>
    </w:p>
    <w:p w14:paraId="2B793403">
      <w:pPr>
        <w:pStyle w:val="13"/>
        <w:tabs>
          <w:tab w:val="right" w:leader="dot" w:pos="9070"/>
        </w:tabs>
      </w:pPr>
      <w:r>
        <w:fldChar w:fldCharType="begin"/>
      </w:r>
      <w:r>
        <w:instrText xml:space="preserve"> HYPERLINK \l "_Toc12256" </w:instrText>
      </w:r>
      <w:r>
        <w:fldChar w:fldCharType="separate"/>
      </w:r>
      <w:r>
        <w:rPr>
          <w:rFonts w:hint="eastAsia" w:ascii="Times New Roman" w:hAnsi="Times New Roman" w:eastAsia="宋体" w:cs="宋体"/>
          <w:szCs w:val="24"/>
        </w:rPr>
        <w:t>10.履约保证金</w:t>
      </w:r>
      <w:r>
        <w:tab/>
      </w:r>
      <w:r>
        <w:fldChar w:fldCharType="begin"/>
      </w:r>
      <w:r>
        <w:instrText xml:space="preserve"> PAGEREF _Toc12256 \h </w:instrText>
      </w:r>
      <w:r>
        <w:fldChar w:fldCharType="separate"/>
      </w:r>
      <w:r>
        <w:t>75</w:t>
      </w:r>
      <w:r>
        <w:fldChar w:fldCharType="end"/>
      </w:r>
      <w:r>
        <w:fldChar w:fldCharType="end"/>
      </w:r>
    </w:p>
    <w:p w14:paraId="63CD2B28">
      <w:pPr>
        <w:pStyle w:val="13"/>
        <w:tabs>
          <w:tab w:val="right" w:leader="dot" w:pos="9070"/>
        </w:tabs>
      </w:pPr>
      <w:r>
        <w:fldChar w:fldCharType="begin"/>
      </w:r>
      <w:r>
        <w:instrText xml:space="preserve"> HYPERLINK \l "_Toc17214" </w:instrText>
      </w:r>
      <w:r>
        <w:fldChar w:fldCharType="separate"/>
      </w:r>
      <w:r>
        <w:rPr>
          <w:rFonts w:hint="eastAsia" w:ascii="Times New Roman" w:hAnsi="Times New Roman" w:eastAsia="宋体" w:cs="宋体"/>
          <w:szCs w:val="24"/>
        </w:rPr>
        <w:t>11.保证</w:t>
      </w:r>
      <w:r>
        <w:tab/>
      </w:r>
      <w:r>
        <w:fldChar w:fldCharType="begin"/>
      </w:r>
      <w:r>
        <w:instrText xml:space="preserve"> PAGEREF _Toc17214 \h </w:instrText>
      </w:r>
      <w:r>
        <w:fldChar w:fldCharType="separate"/>
      </w:r>
      <w:r>
        <w:t>76</w:t>
      </w:r>
      <w:r>
        <w:fldChar w:fldCharType="end"/>
      </w:r>
      <w:r>
        <w:fldChar w:fldCharType="end"/>
      </w:r>
    </w:p>
    <w:p w14:paraId="50FD9617">
      <w:pPr>
        <w:pStyle w:val="13"/>
        <w:tabs>
          <w:tab w:val="right" w:leader="dot" w:pos="9070"/>
        </w:tabs>
      </w:pPr>
      <w:r>
        <w:fldChar w:fldCharType="begin"/>
      </w:r>
      <w:r>
        <w:instrText xml:space="preserve"> HYPERLINK \l "_Toc10898" </w:instrText>
      </w:r>
      <w:r>
        <w:fldChar w:fldCharType="separate"/>
      </w:r>
      <w:r>
        <w:rPr>
          <w:rFonts w:hint="eastAsia" w:ascii="Times New Roman" w:hAnsi="Times New Roman" w:eastAsia="宋体" w:cs="宋体"/>
          <w:szCs w:val="24"/>
        </w:rPr>
        <w:t>12.知识产权</w:t>
      </w:r>
      <w:r>
        <w:tab/>
      </w:r>
      <w:r>
        <w:fldChar w:fldCharType="begin"/>
      </w:r>
      <w:r>
        <w:instrText xml:space="preserve"> PAGEREF _Toc10898 \h </w:instrText>
      </w:r>
      <w:r>
        <w:fldChar w:fldCharType="separate"/>
      </w:r>
      <w:r>
        <w:t>76</w:t>
      </w:r>
      <w:r>
        <w:fldChar w:fldCharType="end"/>
      </w:r>
      <w:r>
        <w:fldChar w:fldCharType="end"/>
      </w:r>
    </w:p>
    <w:p w14:paraId="2B73D429">
      <w:pPr>
        <w:pStyle w:val="13"/>
        <w:tabs>
          <w:tab w:val="right" w:leader="dot" w:pos="9070"/>
        </w:tabs>
      </w:pPr>
      <w:r>
        <w:fldChar w:fldCharType="begin"/>
      </w:r>
      <w:r>
        <w:instrText xml:space="preserve"> HYPERLINK \l "_Toc17152" </w:instrText>
      </w:r>
      <w:r>
        <w:fldChar w:fldCharType="separate"/>
      </w:r>
      <w:r>
        <w:rPr>
          <w:rFonts w:hint="eastAsia" w:ascii="Times New Roman" w:hAnsi="Times New Roman" w:eastAsia="宋体" w:cs="宋体"/>
          <w:szCs w:val="24"/>
        </w:rPr>
        <w:t>14.违约责任</w:t>
      </w:r>
      <w:r>
        <w:tab/>
      </w:r>
      <w:r>
        <w:fldChar w:fldCharType="begin"/>
      </w:r>
      <w:r>
        <w:instrText xml:space="preserve"> PAGEREF _Toc17152 \h </w:instrText>
      </w:r>
      <w:r>
        <w:fldChar w:fldCharType="separate"/>
      </w:r>
      <w:r>
        <w:t>76</w:t>
      </w:r>
      <w:r>
        <w:fldChar w:fldCharType="end"/>
      </w:r>
      <w:r>
        <w:fldChar w:fldCharType="end"/>
      </w:r>
    </w:p>
    <w:p w14:paraId="159F00A3">
      <w:pPr>
        <w:pStyle w:val="13"/>
        <w:tabs>
          <w:tab w:val="right" w:leader="dot" w:pos="9070"/>
        </w:tabs>
      </w:pPr>
      <w:r>
        <w:fldChar w:fldCharType="begin"/>
      </w:r>
      <w:r>
        <w:instrText xml:space="preserve"> HYPERLINK \l "_Toc13930" </w:instrText>
      </w:r>
      <w:r>
        <w:fldChar w:fldCharType="separate"/>
      </w:r>
      <w:r>
        <w:rPr>
          <w:rFonts w:hint="eastAsia" w:ascii="Times New Roman" w:hAnsi="Times New Roman" w:eastAsia="宋体" w:cs="宋体"/>
          <w:szCs w:val="24"/>
        </w:rPr>
        <w:t>15.合同的解除</w:t>
      </w:r>
      <w:r>
        <w:tab/>
      </w:r>
      <w:r>
        <w:fldChar w:fldCharType="begin"/>
      </w:r>
      <w:r>
        <w:instrText xml:space="preserve"> PAGEREF _Toc13930 \h </w:instrText>
      </w:r>
      <w:r>
        <w:fldChar w:fldCharType="separate"/>
      </w:r>
      <w:r>
        <w:t>76</w:t>
      </w:r>
      <w:r>
        <w:fldChar w:fldCharType="end"/>
      </w:r>
      <w:r>
        <w:fldChar w:fldCharType="end"/>
      </w:r>
    </w:p>
    <w:p w14:paraId="0FE83B98">
      <w:pPr>
        <w:pStyle w:val="13"/>
        <w:tabs>
          <w:tab w:val="right" w:leader="dot" w:pos="9070"/>
        </w:tabs>
      </w:pPr>
      <w:r>
        <w:fldChar w:fldCharType="begin"/>
      </w:r>
      <w:r>
        <w:instrText xml:space="preserve"> HYPERLINK \l "_Toc28223" </w:instrText>
      </w:r>
      <w:r>
        <w:fldChar w:fldCharType="separate"/>
      </w:r>
      <w:r>
        <w:rPr>
          <w:rFonts w:hint="eastAsia" w:ascii="Times New Roman" w:hAnsi="Times New Roman" w:eastAsia="宋体" w:cs="宋体"/>
          <w:szCs w:val="24"/>
        </w:rPr>
        <w:t>16.不可抗力</w:t>
      </w:r>
      <w:r>
        <w:tab/>
      </w:r>
      <w:r>
        <w:fldChar w:fldCharType="begin"/>
      </w:r>
      <w:r>
        <w:instrText xml:space="preserve"> PAGEREF _Toc28223 \h </w:instrText>
      </w:r>
      <w:r>
        <w:fldChar w:fldCharType="separate"/>
      </w:r>
      <w:r>
        <w:t>76</w:t>
      </w:r>
      <w:r>
        <w:fldChar w:fldCharType="end"/>
      </w:r>
      <w:r>
        <w:fldChar w:fldCharType="end"/>
      </w:r>
    </w:p>
    <w:p w14:paraId="5B42E98B">
      <w:pPr>
        <w:pStyle w:val="13"/>
        <w:tabs>
          <w:tab w:val="right" w:leader="dot" w:pos="9070"/>
        </w:tabs>
      </w:pPr>
      <w:r>
        <w:fldChar w:fldCharType="begin"/>
      </w:r>
      <w:r>
        <w:instrText xml:space="preserve"> HYPERLINK \l "_Toc30709" </w:instrText>
      </w:r>
      <w:r>
        <w:fldChar w:fldCharType="separate"/>
      </w:r>
      <w:r>
        <w:rPr>
          <w:rFonts w:hint="eastAsia" w:ascii="Times New Roman" w:hAnsi="Times New Roman" w:eastAsia="宋体" w:cs="宋体"/>
          <w:szCs w:val="24"/>
        </w:rPr>
        <w:t>17.争议的解决</w:t>
      </w:r>
      <w:r>
        <w:tab/>
      </w:r>
      <w:r>
        <w:fldChar w:fldCharType="begin"/>
      </w:r>
      <w:r>
        <w:instrText xml:space="preserve"> PAGEREF _Toc30709 \h </w:instrText>
      </w:r>
      <w:r>
        <w:fldChar w:fldCharType="separate"/>
      </w:r>
      <w:r>
        <w:t>76</w:t>
      </w:r>
      <w:r>
        <w:fldChar w:fldCharType="end"/>
      </w:r>
      <w:r>
        <w:fldChar w:fldCharType="end"/>
      </w:r>
    </w:p>
    <w:p w14:paraId="31066399">
      <w:pPr>
        <w:pStyle w:val="13"/>
        <w:tabs>
          <w:tab w:val="right" w:leader="dot" w:pos="9070"/>
        </w:tabs>
      </w:pPr>
      <w:r>
        <w:fldChar w:fldCharType="begin"/>
      </w:r>
      <w:r>
        <w:instrText xml:space="preserve"> HYPERLINK \l "_Toc20704" </w:instrText>
      </w:r>
      <w:r>
        <w:fldChar w:fldCharType="separate"/>
      </w:r>
      <w:r>
        <w:rPr>
          <w:rFonts w:hint="eastAsia" w:ascii="Times New Roman" w:hAnsi="Times New Roman" w:eastAsia="宋体" w:cs="宋体"/>
          <w:kern w:val="0"/>
          <w:szCs w:val="24"/>
        </w:rPr>
        <w:t>18.……（根据项目情况补充）</w:t>
      </w:r>
      <w:r>
        <w:tab/>
      </w:r>
      <w:r>
        <w:fldChar w:fldCharType="begin"/>
      </w:r>
      <w:r>
        <w:instrText xml:space="preserve"> PAGEREF _Toc20704 \h </w:instrText>
      </w:r>
      <w:r>
        <w:fldChar w:fldCharType="separate"/>
      </w:r>
      <w:r>
        <w:t>76</w:t>
      </w:r>
      <w:r>
        <w:fldChar w:fldCharType="end"/>
      </w:r>
      <w:r>
        <w:fldChar w:fldCharType="end"/>
      </w:r>
    </w:p>
    <w:p w14:paraId="5D279FD9">
      <w:pPr>
        <w:pStyle w:val="13"/>
        <w:tabs>
          <w:tab w:val="right" w:leader="dot" w:pos="9070"/>
        </w:tabs>
      </w:pPr>
      <w:r>
        <w:fldChar w:fldCharType="begin"/>
      </w:r>
      <w:r>
        <w:instrText xml:space="preserve"> HYPERLINK \l "_Toc1771" </w:instrText>
      </w:r>
      <w:r>
        <w:fldChar w:fldCharType="separate"/>
      </w:r>
      <w:r>
        <w:rPr>
          <w:rFonts w:hint="eastAsia"/>
        </w:rPr>
        <w:t>第三节  合同附件格式</w:t>
      </w:r>
      <w:r>
        <w:tab/>
      </w:r>
      <w:r>
        <w:fldChar w:fldCharType="begin"/>
      </w:r>
      <w:r>
        <w:instrText xml:space="preserve"> PAGEREF _Toc1771 \h </w:instrText>
      </w:r>
      <w:r>
        <w:fldChar w:fldCharType="separate"/>
      </w:r>
      <w:r>
        <w:t>77</w:t>
      </w:r>
      <w:r>
        <w:fldChar w:fldCharType="end"/>
      </w:r>
      <w:r>
        <w:fldChar w:fldCharType="end"/>
      </w:r>
    </w:p>
    <w:p w14:paraId="542C3BAC">
      <w:pPr>
        <w:pStyle w:val="13"/>
        <w:tabs>
          <w:tab w:val="right" w:leader="dot" w:pos="9070"/>
        </w:tabs>
      </w:pPr>
      <w:r>
        <w:fldChar w:fldCharType="begin"/>
      </w:r>
      <w:r>
        <w:instrText xml:space="preserve"> HYPERLINK \l "_Toc31124" </w:instrText>
      </w:r>
      <w:r>
        <w:fldChar w:fldCharType="separate"/>
      </w:r>
      <w:r>
        <w:rPr>
          <w:rFonts w:hint="eastAsia" w:ascii="Times New Roman" w:hAnsi="Times New Roman" w:eastAsia="宋体" w:cs="宋体"/>
        </w:rPr>
        <w:t>附件一：合同协议书</w:t>
      </w:r>
      <w:r>
        <w:tab/>
      </w:r>
      <w:r>
        <w:fldChar w:fldCharType="begin"/>
      </w:r>
      <w:r>
        <w:instrText xml:space="preserve"> PAGEREF _Toc31124 \h </w:instrText>
      </w:r>
      <w:r>
        <w:fldChar w:fldCharType="separate"/>
      </w:r>
      <w:r>
        <w:t>78</w:t>
      </w:r>
      <w:r>
        <w:fldChar w:fldCharType="end"/>
      </w:r>
      <w:r>
        <w:fldChar w:fldCharType="end"/>
      </w:r>
    </w:p>
    <w:p w14:paraId="3FFA0848">
      <w:pPr>
        <w:pStyle w:val="13"/>
        <w:tabs>
          <w:tab w:val="right" w:leader="dot" w:pos="9070"/>
        </w:tabs>
      </w:pPr>
      <w:r>
        <w:fldChar w:fldCharType="begin"/>
      </w:r>
      <w:r>
        <w:instrText xml:space="preserve"> HYPERLINK \l "_Toc7590" </w:instrText>
      </w:r>
      <w:r>
        <w:fldChar w:fldCharType="separate"/>
      </w:r>
      <w:r>
        <w:rPr>
          <w:rFonts w:hint="eastAsia" w:ascii="Times New Roman" w:hAnsi="Times New Roman" w:eastAsia="宋体" w:cs="宋体"/>
          <w:bCs/>
        </w:rPr>
        <w:t>附件二：履约保函格式</w:t>
      </w:r>
      <w:r>
        <w:tab/>
      </w:r>
      <w:r>
        <w:fldChar w:fldCharType="begin"/>
      </w:r>
      <w:r>
        <w:instrText xml:space="preserve"> PAGEREF _Toc7590 \h </w:instrText>
      </w:r>
      <w:r>
        <w:fldChar w:fldCharType="separate"/>
      </w:r>
      <w:r>
        <w:t>80</w:t>
      </w:r>
      <w:r>
        <w:fldChar w:fldCharType="end"/>
      </w:r>
      <w:r>
        <w:fldChar w:fldCharType="end"/>
      </w:r>
    </w:p>
    <w:p w14:paraId="761C80FA">
      <w:pPr>
        <w:pStyle w:val="11"/>
        <w:tabs>
          <w:tab w:val="right" w:leader="dot" w:pos="9070"/>
        </w:tabs>
      </w:pPr>
      <w:r>
        <w:fldChar w:fldCharType="begin"/>
      </w:r>
      <w:r>
        <w:instrText xml:space="preserve"> HYPERLINK \l "_Toc30027" </w:instrText>
      </w:r>
      <w:r>
        <w:fldChar w:fldCharType="separate"/>
      </w:r>
      <w:r>
        <w:rPr>
          <w:rFonts w:hint="eastAsia" w:ascii="Times New Roman" w:hAnsi="Times New Roman" w:eastAsia="宋体" w:cs="宋体"/>
          <w:szCs w:val="52"/>
        </w:rPr>
        <w:t>第二卷</w:t>
      </w:r>
      <w:r>
        <w:tab/>
      </w:r>
      <w:r>
        <w:fldChar w:fldCharType="begin"/>
      </w:r>
      <w:r>
        <w:instrText xml:space="preserve"> PAGEREF _Toc30027 \h </w:instrText>
      </w:r>
      <w:r>
        <w:fldChar w:fldCharType="separate"/>
      </w:r>
      <w:r>
        <w:t>81</w:t>
      </w:r>
      <w:r>
        <w:fldChar w:fldCharType="end"/>
      </w:r>
      <w:r>
        <w:fldChar w:fldCharType="end"/>
      </w:r>
    </w:p>
    <w:p w14:paraId="3E8CFA52">
      <w:pPr>
        <w:pStyle w:val="11"/>
        <w:tabs>
          <w:tab w:val="right" w:leader="dot" w:pos="9070"/>
        </w:tabs>
      </w:pPr>
      <w:r>
        <w:fldChar w:fldCharType="begin"/>
      </w:r>
      <w:r>
        <w:instrText xml:space="preserve"> HYPERLINK \l "_Toc27805" </w:instrText>
      </w:r>
      <w:r>
        <w:fldChar w:fldCharType="separate"/>
      </w:r>
      <w:r>
        <w:rPr>
          <w:rFonts w:hint="eastAsia" w:ascii="Times New Roman" w:hAnsi="Times New Roman" w:eastAsia="宋体" w:cs="宋体"/>
          <w:bCs/>
          <w:szCs w:val="28"/>
        </w:rPr>
        <w:t>第五章  供货要求</w:t>
      </w:r>
      <w:r>
        <w:tab/>
      </w:r>
      <w:r>
        <w:fldChar w:fldCharType="begin"/>
      </w:r>
      <w:r>
        <w:instrText xml:space="preserve"> PAGEREF _Toc27805 \h </w:instrText>
      </w:r>
      <w:r>
        <w:fldChar w:fldCharType="separate"/>
      </w:r>
      <w:r>
        <w:t>82</w:t>
      </w:r>
      <w:r>
        <w:fldChar w:fldCharType="end"/>
      </w:r>
      <w:r>
        <w:fldChar w:fldCharType="end"/>
      </w:r>
    </w:p>
    <w:p w14:paraId="416BED3D">
      <w:pPr>
        <w:pStyle w:val="11"/>
        <w:tabs>
          <w:tab w:val="right" w:leader="dot" w:pos="9070"/>
        </w:tabs>
      </w:pPr>
      <w:r>
        <w:fldChar w:fldCharType="begin"/>
      </w:r>
      <w:r>
        <w:instrText xml:space="preserve"> HYPERLINK \l "_Toc15447" </w:instrText>
      </w:r>
      <w:r>
        <w:fldChar w:fldCharType="separate"/>
      </w:r>
      <w:r>
        <w:rPr>
          <w:rFonts w:hint="eastAsia" w:ascii="Times New Roman" w:hAnsi="Times New Roman" w:eastAsia="宋体" w:cs="宋体"/>
          <w:szCs w:val="52"/>
        </w:rPr>
        <w:t>第三卷</w:t>
      </w:r>
      <w:r>
        <w:tab/>
      </w:r>
      <w:r>
        <w:fldChar w:fldCharType="begin"/>
      </w:r>
      <w:r>
        <w:instrText xml:space="preserve"> PAGEREF _Toc15447 \h </w:instrText>
      </w:r>
      <w:r>
        <w:fldChar w:fldCharType="separate"/>
      </w:r>
      <w:r>
        <w:t>84</w:t>
      </w:r>
      <w:r>
        <w:fldChar w:fldCharType="end"/>
      </w:r>
      <w:r>
        <w:fldChar w:fldCharType="end"/>
      </w:r>
    </w:p>
    <w:p w14:paraId="647901A5">
      <w:pPr>
        <w:pStyle w:val="11"/>
        <w:tabs>
          <w:tab w:val="right" w:leader="dot" w:pos="9070"/>
        </w:tabs>
      </w:pPr>
      <w:r>
        <w:fldChar w:fldCharType="begin"/>
      </w:r>
      <w:r>
        <w:instrText xml:space="preserve"> HYPERLINK \l "_Toc29646" </w:instrText>
      </w:r>
      <w:r>
        <w:fldChar w:fldCharType="separate"/>
      </w:r>
      <w:r>
        <w:rPr>
          <w:rFonts w:hint="eastAsia" w:ascii="Times New Roman" w:hAnsi="Times New Roman" w:eastAsia="宋体" w:cs="宋体"/>
          <w:bCs/>
          <w:szCs w:val="28"/>
        </w:rPr>
        <w:t>第六章  投标文件格式</w:t>
      </w:r>
      <w:r>
        <w:tab/>
      </w:r>
      <w:r>
        <w:fldChar w:fldCharType="begin"/>
      </w:r>
      <w:r>
        <w:instrText xml:space="preserve"> PAGEREF _Toc29646 \h </w:instrText>
      </w:r>
      <w:r>
        <w:fldChar w:fldCharType="separate"/>
      </w:r>
      <w:r>
        <w:t>85</w:t>
      </w:r>
      <w:r>
        <w:fldChar w:fldCharType="end"/>
      </w:r>
      <w:r>
        <w:fldChar w:fldCharType="end"/>
      </w:r>
    </w:p>
    <w:p w14:paraId="1140F188">
      <w:pPr>
        <w:pStyle w:val="13"/>
        <w:tabs>
          <w:tab w:val="right" w:leader="dot" w:pos="9070"/>
        </w:tabs>
      </w:pPr>
      <w:r>
        <w:fldChar w:fldCharType="begin"/>
      </w:r>
      <w:r>
        <w:instrText xml:space="preserve"> HYPERLINK \l "_Toc17000" </w:instrText>
      </w:r>
      <w:r>
        <w:fldChar w:fldCharType="separate"/>
      </w:r>
      <w:r>
        <w:rPr>
          <w:rFonts w:hint="eastAsia" w:ascii="Times New Roman" w:hAnsi="Times New Roman" w:eastAsia="宋体" w:cs="宋体"/>
          <w:szCs w:val="28"/>
        </w:rPr>
        <w:t>目   录</w:t>
      </w:r>
      <w:r>
        <w:tab/>
      </w:r>
      <w:r>
        <w:fldChar w:fldCharType="begin"/>
      </w:r>
      <w:r>
        <w:instrText xml:space="preserve"> PAGEREF _Toc17000 \h </w:instrText>
      </w:r>
      <w:r>
        <w:fldChar w:fldCharType="separate"/>
      </w:r>
      <w:r>
        <w:t>87</w:t>
      </w:r>
      <w:r>
        <w:fldChar w:fldCharType="end"/>
      </w:r>
      <w:r>
        <w:fldChar w:fldCharType="end"/>
      </w:r>
    </w:p>
    <w:p w14:paraId="037EB90A">
      <w:pPr>
        <w:pStyle w:val="13"/>
        <w:tabs>
          <w:tab w:val="right" w:leader="dot" w:pos="9070"/>
        </w:tabs>
      </w:pPr>
      <w:r>
        <w:fldChar w:fldCharType="begin"/>
      </w:r>
      <w:r>
        <w:instrText xml:space="preserve"> HYPERLINK \l "_Toc31948" </w:instrText>
      </w:r>
      <w:r>
        <w:fldChar w:fldCharType="separate"/>
      </w:r>
      <w:r>
        <w:rPr>
          <w:rFonts w:hint="eastAsia" w:ascii="Times New Roman" w:hAnsi="Times New Roman" w:eastAsia="宋体" w:cs="宋体"/>
          <w:bCs/>
          <w:szCs w:val="28"/>
        </w:rPr>
        <w:t>一、投标函</w:t>
      </w:r>
      <w:r>
        <w:tab/>
      </w:r>
      <w:r>
        <w:fldChar w:fldCharType="begin"/>
      </w:r>
      <w:r>
        <w:instrText xml:space="preserve"> PAGEREF _Toc31948 \h </w:instrText>
      </w:r>
      <w:r>
        <w:fldChar w:fldCharType="separate"/>
      </w:r>
      <w:r>
        <w:t>89</w:t>
      </w:r>
      <w:r>
        <w:fldChar w:fldCharType="end"/>
      </w:r>
      <w:r>
        <w:fldChar w:fldCharType="end"/>
      </w:r>
    </w:p>
    <w:p w14:paraId="2F8D64D0">
      <w:pPr>
        <w:pStyle w:val="13"/>
        <w:tabs>
          <w:tab w:val="right" w:leader="dot" w:pos="9070"/>
        </w:tabs>
      </w:pPr>
      <w:r>
        <w:fldChar w:fldCharType="begin"/>
      </w:r>
      <w:r>
        <w:instrText xml:space="preserve"> HYPERLINK \l "_Toc2940" </w:instrText>
      </w:r>
      <w:r>
        <w:fldChar w:fldCharType="separate"/>
      </w:r>
      <w:r>
        <w:rPr>
          <w:rFonts w:hint="eastAsia" w:ascii="Times New Roman" w:hAnsi="Times New Roman" w:eastAsia="宋体" w:cs="宋体"/>
          <w:bCs/>
        </w:rPr>
        <w:t>二、法定代表人（单位负责人）身份证明</w:t>
      </w:r>
      <w:r>
        <w:tab/>
      </w:r>
      <w:r>
        <w:fldChar w:fldCharType="begin"/>
      </w:r>
      <w:r>
        <w:instrText xml:space="preserve"> PAGEREF _Toc2940 \h </w:instrText>
      </w:r>
      <w:r>
        <w:fldChar w:fldCharType="separate"/>
      </w:r>
      <w:r>
        <w:t>91</w:t>
      </w:r>
      <w:r>
        <w:fldChar w:fldCharType="end"/>
      </w:r>
      <w:r>
        <w:fldChar w:fldCharType="end"/>
      </w:r>
    </w:p>
    <w:p w14:paraId="5E615188">
      <w:pPr>
        <w:pStyle w:val="13"/>
        <w:tabs>
          <w:tab w:val="right" w:leader="dot" w:pos="9070"/>
        </w:tabs>
      </w:pPr>
      <w:r>
        <w:fldChar w:fldCharType="begin"/>
      </w:r>
      <w:r>
        <w:instrText xml:space="preserve"> HYPERLINK \l "_Toc21640" </w:instrText>
      </w:r>
      <w:r>
        <w:fldChar w:fldCharType="separate"/>
      </w:r>
      <w:r>
        <w:rPr>
          <w:rFonts w:hint="eastAsia" w:ascii="Times New Roman" w:hAnsi="Times New Roman" w:eastAsia="宋体" w:cs="宋体"/>
          <w:bCs/>
        </w:rPr>
        <w:t>二、授权委托书</w:t>
      </w:r>
      <w:r>
        <w:tab/>
      </w:r>
      <w:r>
        <w:fldChar w:fldCharType="begin"/>
      </w:r>
      <w:r>
        <w:instrText xml:space="preserve"> PAGEREF _Toc21640 \h </w:instrText>
      </w:r>
      <w:r>
        <w:fldChar w:fldCharType="separate"/>
      </w:r>
      <w:r>
        <w:t>92</w:t>
      </w:r>
      <w:r>
        <w:fldChar w:fldCharType="end"/>
      </w:r>
      <w:r>
        <w:fldChar w:fldCharType="end"/>
      </w:r>
    </w:p>
    <w:p w14:paraId="5681C3AB">
      <w:pPr>
        <w:pStyle w:val="13"/>
        <w:tabs>
          <w:tab w:val="right" w:leader="dot" w:pos="9070"/>
        </w:tabs>
      </w:pPr>
      <w:r>
        <w:fldChar w:fldCharType="begin"/>
      </w:r>
      <w:r>
        <w:instrText xml:space="preserve"> HYPERLINK \l "_Toc19965" </w:instrText>
      </w:r>
      <w:r>
        <w:fldChar w:fldCharType="separate"/>
      </w:r>
      <w:r>
        <w:rPr>
          <w:rFonts w:hint="eastAsia" w:ascii="Times New Roman" w:hAnsi="Times New Roman" w:eastAsia="宋体" w:cs="宋体"/>
          <w:bCs/>
        </w:rPr>
        <w:t>三、联合体协议书（如有）</w:t>
      </w:r>
      <w:r>
        <w:tab/>
      </w:r>
      <w:r>
        <w:fldChar w:fldCharType="begin"/>
      </w:r>
      <w:r>
        <w:instrText xml:space="preserve"> PAGEREF _Toc19965 \h </w:instrText>
      </w:r>
      <w:r>
        <w:fldChar w:fldCharType="separate"/>
      </w:r>
      <w:r>
        <w:t>93</w:t>
      </w:r>
      <w:r>
        <w:fldChar w:fldCharType="end"/>
      </w:r>
      <w:r>
        <w:fldChar w:fldCharType="end"/>
      </w:r>
    </w:p>
    <w:p w14:paraId="4B3C5B3A">
      <w:pPr>
        <w:pStyle w:val="13"/>
        <w:tabs>
          <w:tab w:val="right" w:leader="dot" w:pos="9070"/>
        </w:tabs>
      </w:pPr>
      <w:r>
        <w:fldChar w:fldCharType="begin"/>
      </w:r>
      <w:r>
        <w:instrText xml:space="preserve"> HYPERLINK \l "_Toc2046" </w:instrText>
      </w:r>
      <w:r>
        <w:fldChar w:fldCharType="separate"/>
      </w:r>
      <w:r>
        <w:rPr>
          <w:rFonts w:hint="eastAsia" w:ascii="Times New Roman" w:hAnsi="Times New Roman" w:eastAsia="宋体" w:cs="宋体"/>
          <w:bCs/>
        </w:rPr>
        <w:t>四、投标保证金</w:t>
      </w:r>
      <w:r>
        <w:tab/>
      </w:r>
      <w:r>
        <w:fldChar w:fldCharType="begin"/>
      </w:r>
      <w:r>
        <w:instrText xml:space="preserve"> PAGEREF _Toc2046 \h </w:instrText>
      </w:r>
      <w:r>
        <w:fldChar w:fldCharType="separate"/>
      </w:r>
      <w:r>
        <w:t>95</w:t>
      </w:r>
      <w:r>
        <w:fldChar w:fldCharType="end"/>
      </w:r>
      <w:r>
        <w:fldChar w:fldCharType="end"/>
      </w:r>
    </w:p>
    <w:p w14:paraId="65848D52">
      <w:pPr>
        <w:pStyle w:val="13"/>
        <w:tabs>
          <w:tab w:val="right" w:leader="dot" w:pos="9070"/>
        </w:tabs>
      </w:pPr>
      <w:r>
        <w:fldChar w:fldCharType="begin"/>
      </w:r>
      <w:r>
        <w:instrText xml:space="preserve"> HYPERLINK \l "_Toc14929" </w:instrText>
      </w:r>
      <w:r>
        <w:fldChar w:fldCharType="separate"/>
      </w:r>
      <w:r>
        <w:rPr>
          <w:rFonts w:hint="eastAsia" w:ascii="Times New Roman" w:hAnsi="Times New Roman" w:eastAsia="宋体" w:cs="宋体"/>
          <w:bCs/>
        </w:rPr>
        <w:t>五、商务和技术偏差表</w:t>
      </w:r>
      <w:r>
        <w:tab/>
      </w:r>
      <w:r>
        <w:fldChar w:fldCharType="begin"/>
      </w:r>
      <w:r>
        <w:instrText xml:space="preserve"> PAGEREF _Toc14929 \h </w:instrText>
      </w:r>
      <w:r>
        <w:fldChar w:fldCharType="separate"/>
      </w:r>
      <w:r>
        <w:t>96</w:t>
      </w:r>
      <w:r>
        <w:fldChar w:fldCharType="end"/>
      </w:r>
      <w:r>
        <w:fldChar w:fldCharType="end"/>
      </w:r>
    </w:p>
    <w:p w14:paraId="292E670B">
      <w:pPr>
        <w:pStyle w:val="13"/>
        <w:tabs>
          <w:tab w:val="right" w:leader="dot" w:pos="9070"/>
        </w:tabs>
      </w:pPr>
      <w:r>
        <w:fldChar w:fldCharType="begin"/>
      </w:r>
      <w:r>
        <w:instrText xml:space="preserve"> HYPERLINK \l "_Toc18439" </w:instrText>
      </w:r>
      <w:r>
        <w:fldChar w:fldCharType="separate"/>
      </w:r>
      <w:r>
        <w:rPr>
          <w:rFonts w:hint="eastAsia" w:ascii="Times New Roman" w:hAnsi="Times New Roman" w:eastAsia="宋体" w:cs="宋体"/>
          <w:bCs/>
        </w:rPr>
        <w:t>六、分项报价表</w:t>
      </w:r>
      <w:r>
        <w:tab/>
      </w:r>
      <w:r>
        <w:fldChar w:fldCharType="begin"/>
      </w:r>
      <w:r>
        <w:instrText xml:space="preserve"> PAGEREF _Toc18439 \h </w:instrText>
      </w:r>
      <w:r>
        <w:fldChar w:fldCharType="separate"/>
      </w:r>
      <w:r>
        <w:t>97</w:t>
      </w:r>
      <w:r>
        <w:fldChar w:fldCharType="end"/>
      </w:r>
      <w:r>
        <w:fldChar w:fldCharType="end"/>
      </w:r>
    </w:p>
    <w:p w14:paraId="7433EC2E">
      <w:pPr>
        <w:pStyle w:val="13"/>
        <w:tabs>
          <w:tab w:val="right" w:leader="dot" w:pos="9070"/>
        </w:tabs>
      </w:pPr>
      <w:r>
        <w:fldChar w:fldCharType="begin"/>
      </w:r>
      <w:r>
        <w:instrText xml:space="preserve"> HYPERLINK \l "_Toc8136" </w:instrText>
      </w:r>
      <w:r>
        <w:fldChar w:fldCharType="separate"/>
      </w:r>
      <w:r>
        <w:rPr>
          <w:rFonts w:hint="eastAsia" w:ascii="Times New Roman" w:hAnsi="Times New Roman" w:eastAsia="宋体" w:cs="宋体"/>
          <w:bCs/>
        </w:rPr>
        <w:t>七、资格审查资料</w:t>
      </w:r>
      <w:r>
        <w:tab/>
      </w:r>
      <w:r>
        <w:fldChar w:fldCharType="begin"/>
      </w:r>
      <w:r>
        <w:instrText xml:space="preserve"> PAGEREF _Toc8136 \h </w:instrText>
      </w:r>
      <w:r>
        <w:fldChar w:fldCharType="separate"/>
      </w:r>
      <w:r>
        <w:t>99</w:t>
      </w:r>
      <w:r>
        <w:fldChar w:fldCharType="end"/>
      </w:r>
      <w:r>
        <w:fldChar w:fldCharType="end"/>
      </w:r>
    </w:p>
    <w:p w14:paraId="06F8A317">
      <w:pPr>
        <w:pStyle w:val="13"/>
        <w:tabs>
          <w:tab w:val="right" w:leader="dot" w:pos="9070"/>
        </w:tabs>
      </w:pPr>
      <w:r>
        <w:fldChar w:fldCharType="begin"/>
      </w:r>
      <w:r>
        <w:instrText xml:space="preserve"> HYPERLINK \l "_Toc2315" </w:instrText>
      </w:r>
      <w:r>
        <w:fldChar w:fldCharType="separate"/>
      </w:r>
      <w:r>
        <w:rPr>
          <w:rFonts w:hint="eastAsia" w:ascii="Times New Roman" w:hAnsi="Times New Roman" w:eastAsia="宋体" w:cs="宋体"/>
          <w:bCs/>
        </w:rPr>
        <w:t>八、投标设备技术性能指标的详细描述</w:t>
      </w:r>
      <w:r>
        <w:tab/>
      </w:r>
      <w:r>
        <w:fldChar w:fldCharType="begin"/>
      </w:r>
      <w:r>
        <w:instrText xml:space="preserve"> PAGEREF _Toc2315 \h </w:instrText>
      </w:r>
      <w:r>
        <w:fldChar w:fldCharType="separate"/>
      </w:r>
      <w:r>
        <w:t>109</w:t>
      </w:r>
      <w:r>
        <w:fldChar w:fldCharType="end"/>
      </w:r>
      <w:r>
        <w:fldChar w:fldCharType="end"/>
      </w:r>
    </w:p>
    <w:p w14:paraId="0B955EEF">
      <w:pPr>
        <w:pStyle w:val="13"/>
        <w:tabs>
          <w:tab w:val="right" w:leader="dot" w:pos="9070"/>
        </w:tabs>
      </w:pPr>
      <w:r>
        <w:fldChar w:fldCharType="begin"/>
      </w:r>
      <w:r>
        <w:instrText xml:space="preserve"> HYPERLINK \l "_Toc25118" </w:instrText>
      </w:r>
      <w:r>
        <w:fldChar w:fldCharType="separate"/>
      </w:r>
      <w:r>
        <w:rPr>
          <w:rFonts w:hint="eastAsia" w:ascii="Times New Roman" w:hAnsi="Times New Roman" w:eastAsia="宋体" w:cs="宋体"/>
          <w:bCs/>
        </w:rPr>
        <w:t>九、技术支持资料</w:t>
      </w:r>
      <w:r>
        <w:tab/>
      </w:r>
      <w:r>
        <w:fldChar w:fldCharType="begin"/>
      </w:r>
      <w:r>
        <w:instrText xml:space="preserve"> PAGEREF _Toc25118 \h </w:instrText>
      </w:r>
      <w:r>
        <w:fldChar w:fldCharType="separate"/>
      </w:r>
      <w:r>
        <w:t>110</w:t>
      </w:r>
      <w:r>
        <w:fldChar w:fldCharType="end"/>
      </w:r>
      <w:r>
        <w:fldChar w:fldCharType="end"/>
      </w:r>
    </w:p>
    <w:p w14:paraId="7C67A56D">
      <w:pPr>
        <w:pStyle w:val="13"/>
        <w:tabs>
          <w:tab w:val="right" w:leader="dot" w:pos="9070"/>
        </w:tabs>
      </w:pPr>
      <w:r>
        <w:fldChar w:fldCharType="begin"/>
      </w:r>
      <w:r>
        <w:instrText xml:space="preserve"> HYPERLINK \l "_Toc9474" </w:instrText>
      </w:r>
      <w:r>
        <w:fldChar w:fldCharType="separate"/>
      </w:r>
      <w:r>
        <w:rPr>
          <w:rFonts w:hint="eastAsia" w:ascii="Times New Roman" w:hAnsi="Times New Roman" w:eastAsia="宋体" w:cs="宋体"/>
          <w:bCs/>
        </w:rPr>
        <w:t>十、技术服务和质保期服务计划</w:t>
      </w:r>
      <w:r>
        <w:tab/>
      </w:r>
      <w:r>
        <w:fldChar w:fldCharType="begin"/>
      </w:r>
      <w:r>
        <w:instrText xml:space="preserve"> PAGEREF _Toc9474 \h </w:instrText>
      </w:r>
      <w:r>
        <w:fldChar w:fldCharType="separate"/>
      </w:r>
      <w:r>
        <w:t>111</w:t>
      </w:r>
      <w:r>
        <w:fldChar w:fldCharType="end"/>
      </w:r>
      <w:r>
        <w:fldChar w:fldCharType="end"/>
      </w:r>
    </w:p>
    <w:p w14:paraId="2F42460D">
      <w:pPr>
        <w:pStyle w:val="13"/>
        <w:tabs>
          <w:tab w:val="right" w:leader="dot" w:pos="9070"/>
        </w:tabs>
      </w:pPr>
      <w:r>
        <w:fldChar w:fldCharType="begin"/>
      </w:r>
      <w:r>
        <w:instrText xml:space="preserve"> HYPERLINK \l "_Toc3052" </w:instrText>
      </w:r>
      <w:r>
        <w:fldChar w:fldCharType="separate"/>
      </w:r>
      <w:r>
        <w:rPr>
          <w:rFonts w:hint="eastAsia" w:ascii="Times New Roman" w:hAnsi="Times New Roman" w:eastAsia="宋体" w:cs="宋体"/>
          <w:bCs/>
        </w:rPr>
        <w:t>十一、其它资料</w:t>
      </w:r>
      <w:r>
        <w:tab/>
      </w:r>
      <w:r>
        <w:fldChar w:fldCharType="begin"/>
      </w:r>
      <w:r>
        <w:instrText xml:space="preserve"> PAGEREF _Toc3052 \h </w:instrText>
      </w:r>
      <w:r>
        <w:fldChar w:fldCharType="separate"/>
      </w:r>
      <w:r>
        <w:t>113</w:t>
      </w:r>
      <w:r>
        <w:fldChar w:fldCharType="end"/>
      </w:r>
      <w:r>
        <w:fldChar w:fldCharType="end"/>
      </w:r>
    </w:p>
    <w:p w14:paraId="1C863984">
      <w:pPr>
        <w:pStyle w:val="13"/>
        <w:tabs>
          <w:tab w:val="right" w:leader="dot" w:pos="9070"/>
        </w:tabs>
      </w:pPr>
      <w:r>
        <w:fldChar w:fldCharType="begin"/>
      </w:r>
      <w:r>
        <w:instrText xml:space="preserve"> HYPERLINK \l "_Toc15003" </w:instrText>
      </w:r>
      <w:r>
        <w:fldChar w:fldCharType="separate"/>
      </w:r>
      <w:r>
        <w:rPr>
          <w:rFonts w:hint="eastAsia" w:ascii="Times New Roman" w:hAnsi="Times New Roman" w:eastAsia="宋体" w:cs="宋体"/>
        </w:rPr>
        <w:t>（一）投标人告知承诺函</w:t>
      </w:r>
      <w:r>
        <w:tab/>
      </w:r>
      <w:r>
        <w:fldChar w:fldCharType="begin"/>
      </w:r>
      <w:r>
        <w:instrText xml:space="preserve"> PAGEREF _Toc15003 \h </w:instrText>
      </w:r>
      <w:r>
        <w:fldChar w:fldCharType="separate"/>
      </w:r>
      <w:r>
        <w:t>113</w:t>
      </w:r>
      <w:r>
        <w:fldChar w:fldCharType="end"/>
      </w:r>
      <w:r>
        <w:fldChar w:fldCharType="end"/>
      </w:r>
    </w:p>
    <w:p w14:paraId="645939CB">
      <w:pPr>
        <w:pStyle w:val="13"/>
        <w:tabs>
          <w:tab w:val="right" w:leader="dot" w:pos="9070"/>
        </w:tabs>
      </w:pPr>
      <w:r>
        <w:fldChar w:fldCharType="begin"/>
      </w:r>
      <w:r>
        <w:instrText xml:space="preserve"> HYPERLINK \l "_Toc6792" </w:instrText>
      </w:r>
      <w:r>
        <w:fldChar w:fldCharType="separate"/>
      </w:r>
      <w:r>
        <w:rPr>
          <w:rFonts w:hint="eastAsia" w:ascii="Times New Roman" w:hAnsi="Times New Roman" w:eastAsia="宋体" w:cs="宋体"/>
        </w:rPr>
        <w:t>（二）其它</w:t>
      </w:r>
      <w:r>
        <w:tab/>
      </w:r>
      <w:r>
        <w:fldChar w:fldCharType="begin"/>
      </w:r>
      <w:r>
        <w:instrText xml:space="preserve"> PAGEREF _Toc6792 \h </w:instrText>
      </w:r>
      <w:r>
        <w:fldChar w:fldCharType="separate"/>
      </w:r>
      <w:r>
        <w:t>115</w:t>
      </w:r>
      <w:r>
        <w:fldChar w:fldCharType="end"/>
      </w:r>
      <w:r>
        <w:fldChar w:fldCharType="end"/>
      </w:r>
    </w:p>
    <w:p w14:paraId="4E0B0D77">
      <w:pPr>
        <w:widowControl w:val="0"/>
        <w:adjustRightInd w:val="0"/>
        <w:snapToGrid w:val="0"/>
        <w:spacing w:after="0" w:line="400" w:lineRule="exact"/>
        <w:rPr>
          <w:rFonts w:ascii="Times New Roman" w:hAnsi="Times New Roman" w:eastAsia="宋体" w:cs="宋体"/>
          <w:color w:val="auto"/>
          <w:sz w:val="21"/>
          <w:szCs w:val="21"/>
        </w:rPr>
      </w:pPr>
      <w:r>
        <w:rPr>
          <w:rFonts w:hint="eastAsia" w:ascii="Times New Roman" w:hAnsi="Times New Roman" w:eastAsia="宋体" w:cs="宋体"/>
          <w:color w:val="auto"/>
          <w:szCs w:val="24"/>
        </w:rPr>
        <w:fldChar w:fldCharType="end"/>
      </w:r>
    </w:p>
    <w:p w14:paraId="19107D94">
      <w:pPr>
        <w:widowControl w:val="0"/>
        <w:adjustRightInd w:val="0"/>
        <w:snapToGrid w:val="0"/>
        <w:spacing w:after="0"/>
        <w:rPr>
          <w:rFonts w:ascii="Times New Roman" w:hAnsi="Times New Roman" w:eastAsia="宋体" w:cs="宋体"/>
          <w:color w:val="auto"/>
        </w:rPr>
        <w:sectPr>
          <w:footerReference r:id="rId7" w:type="default"/>
          <w:pgSz w:w="11906" w:h="16838"/>
          <w:pgMar w:top="1701" w:right="1418" w:bottom="1701" w:left="1418" w:header="737" w:footer="850" w:gutter="0"/>
          <w:pgNumType w:start="1"/>
          <w:cols w:space="720" w:num="1"/>
        </w:sectPr>
      </w:pPr>
    </w:p>
    <w:p w14:paraId="28AE4719">
      <w:pPr>
        <w:widowControl w:val="0"/>
        <w:adjustRightInd w:val="0"/>
        <w:snapToGrid w:val="0"/>
        <w:spacing w:after="0"/>
        <w:rPr>
          <w:rFonts w:ascii="Times New Roman" w:hAnsi="Times New Roman" w:eastAsia="宋体" w:cs="宋体"/>
          <w:b/>
          <w:color w:val="auto"/>
          <w:sz w:val="44"/>
        </w:rPr>
      </w:pPr>
      <w:r>
        <w:rPr>
          <w:rFonts w:hint="eastAsia" w:ascii="Times New Roman" w:hAnsi="Times New Roman" w:eastAsia="宋体" w:cs="宋体"/>
          <w:b/>
          <w:color w:val="auto"/>
          <w:sz w:val="44"/>
        </w:rPr>
        <w:t xml:space="preserve"> </w:t>
      </w:r>
    </w:p>
    <w:p w14:paraId="40EA43A1">
      <w:pPr>
        <w:widowControl w:val="0"/>
        <w:adjustRightInd w:val="0"/>
        <w:snapToGrid w:val="0"/>
        <w:spacing w:after="0"/>
        <w:rPr>
          <w:rFonts w:ascii="Times New Roman" w:hAnsi="Times New Roman" w:eastAsia="宋体" w:cs="宋体"/>
          <w:b/>
          <w:color w:val="auto"/>
          <w:sz w:val="44"/>
        </w:rPr>
      </w:pPr>
    </w:p>
    <w:p w14:paraId="76313E25">
      <w:pPr>
        <w:widowControl w:val="0"/>
        <w:adjustRightInd w:val="0"/>
        <w:snapToGrid w:val="0"/>
        <w:spacing w:after="0"/>
        <w:rPr>
          <w:rFonts w:ascii="Times New Roman" w:hAnsi="Times New Roman" w:eastAsia="宋体" w:cs="宋体"/>
          <w:b/>
          <w:color w:val="auto"/>
          <w:sz w:val="44"/>
        </w:rPr>
      </w:pPr>
    </w:p>
    <w:p w14:paraId="5A29F64B">
      <w:pPr>
        <w:widowControl w:val="0"/>
        <w:adjustRightInd w:val="0"/>
        <w:snapToGrid w:val="0"/>
        <w:spacing w:after="0"/>
        <w:rPr>
          <w:rFonts w:ascii="Times New Roman" w:hAnsi="Times New Roman" w:eastAsia="宋体" w:cs="宋体"/>
          <w:b/>
          <w:color w:val="auto"/>
          <w:sz w:val="44"/>
        </w:rPr>
      </w:pPr>
    </w:p>
    <w:p w14:paraId="16DA87F8">
      <w:pPr>
        <w:widowControl w:val="0"/>
        <w:adjustRightInd w:val="0"/>
        <w:snapToGrid w:val="0"/>
        <w:spacing w:after="0"/>
        <w:rPr>
          <w:rFonts w:ascii="Times New Roman" w:hAnsi="Times New Roman" w:eastAsia="宋体" w:cs="宋体"/>
          <w:b/>
          <w:color w:val="auto"/>
          <w:sz w:val="44"/>
        </w:rPr>
      </w:pPr>
    </w:p>
    <w:p w14:paraId="589EFE13">
      <w:pPr>
        <w:widowControl w:val="0"/>
        <w:adjustRightInd w:val="0"/>
        <w:snapToGrid w:val="0"/>
        <w:spacing w:after="0"/>
        <w:rPr>
          <w:rFonts w:ascii="Times New Roman" w:hAnsi="Times New Roman" w:eastAsia="宋体" w:cs="宋体"/>
          <w:b/>
          <w:color w:val="auto"/>
          <w:sz w:val="44"/>
        </w:rPr>
      </w:pPr>
    </w:p>
    <w:p w14:paraId="6685F598">
      <w:pPr>
        <w:widowControl w:val="0"/>
        <w:adjustRightInd w:val="0"/>
        <w:snapToGrid w:val="0"/>
        <w:spacing w:after="0"/>
        <w:rPr>
          <w:rFonts w:ascii="Times New Roman" w:hAnsi="Times New Roman" w:eastAsia="宋体" w:cs="宋体"/>
          <w:b/>
          <w:color w:val="auto"/>
        </w:rPr>
      </w:pPr>
    </w:p>
    <w:p w14:paraId="3C2BA821">
      <w:pPr>
        <w:pStyle w:val="2"/>
        <w:keepNext w:val="0"/>
        <w:keepLines w:val="0"/>
        <w:widowControl w:val="0"/>
        <w:adjustRightInd w:val="0"/>
        <w:snapToGrid w:val="0"/>
        <w:spacing w:after="0"/>
        <w:ind w:left="0" w:right="0"/>
        <w:rPr>
          <w:rFonts w:ascii="Times New Roman" w:hAnsi="Times New Roman" w:eastAsia="宋体" w:cs="宋体"/>
          <w:b/>
          <w:color w:val="auto"/>
          <w:sz w:val="52"/>
          <w:szCs w:val="52"/>
        </w:rPr>
      </w:pPr>
      <w:bookmarkStart w:id="0" w:name="_Toc56792742"/>
      <w:bookmarkStart w:id="1" w:name="_Toc11676"/>
      <w:bookmarkStart w:id="2" w:name="_Toc25646"/>
      <w:bookmarkStart w:id="3" w:name="_Toc17127"/>
      <w:bookmarkStart w:id="4" w:name="_Toc13367"/>
      <w:bookmarkStart w:id="5" w:name="_Toc26641"/>
      <w:bookmarkStart w:id="6" w:name="_Toc2511"/>
      <w:r>
        <w:rPr>
          <w:rFonts w:hint="eastAsia" w:ascii="Times New Roman" w:hAnsi="Times New Roman" w:eastAsia="宋体" w:cs="宋体"/>
          <w:b/>
          <w:color w:val="auto"/>
          <w:sz w:val="52"/>
          <w:szCs w:val="52"/>
        </w:rPr>
        <w:t>第一卷</w:t>
      </w:r>
      <w:bookmarkEnd w:id="0"/>
      <w:bookmarkEnd w:id="1"/>
    </w:p>
    <w:p w14:paraId="71DDC0A5">
      <w:pPr>
        <w:rPr>
          <w:rFonts w:ascii="Times New Roman" w:hAnsi="Times New Roman" w:eastAsia="宋体" w:cs="宋体"/>
          <w:b/>
          <w:color w:val="auto"/>
          <w:sz w:val="52"/>
          <w:szCs w:val="52"/>
        </w:rPr>
      </w:pPr>
    </w:p>
    <w:bookmarkEnd w:id="2"/>
    <w:bookmarkEnd w:id="3"/>
    <w:p w14:paraId="63345ECB">
      <w:pPr>
        <w:rPr>
          <w:color w:val="auto"/>
        </w:rPr>
        <w:sectPr>
          <w:pgSz w:w="11906" w:h="16838"/>
          <w:pgMar w:top="1440" w:right="1800" w:bottom="1440" w:left="1800" w:header="737" w:footer="850" w:gutter="0"/>
          <w:cols w:space="720" w:num="1"/>
          <w:docGrid w:type="lines" w:linePitch="312" w:charSpace="0"/>
        </w:sectPr>
      </w:pPr>
      <w:bookmarkStart w:id="7" w:name="_Toc13909"/>
      <w:bookmarkStart w:id="8" w:name="_Toc22295"/>
      <w:bookmarkStart w:id="9" w:name="_Toc56792743"/>
    </w:p>
    <w:p w14:paraId="6B257E77">
      <w:pPr>
        <w:rPr>
          <w:color w:val="auto"/>
        </w:rPr>
      </w:pPr>
    </w:p>
    <w:bookmarkEnd w:id="4"/>
    <w:bookmarkEnd w:id="5"/>
    <w:bookmarkEnd w:id="6"/>
    <w:bookmarkEnd w:id="7"/>
    <w:bookmarkEnd w:id="8"/>
    <w:bookmarkEnd w:id="9"/>
    <w:p w14:paraId="18718A94">
      <w:pPr>
        <w:pStyle w:val="2"/>
        <w:keepNext w:val="0"/>
        <w:keepLines w:val="0"/>
        <w:widowControl w:val="0"/>
        <w:adjustRightInd w:val="0"/>
        <w:snapToGrid w:val="0"/>
        <w:spacing w:after="0"/>
        <w:ind w:left="0" w:right="0"/>
        <w:rPr>
          <w:rFonts w:ascii="Times New Roman" w:hAnsi="Times New Roman" w:eastAsia="宋体" w:cs="宋体"/>
          <w:b/>
          <w:bCs/>
          <w:color w:val="auto"/>
          <w:sz w:val="36"/>
          <w:szCs w:val="44"/>
        </w:rPr>
      </w:pPr>
      <w:bookmarkStart w:id="10" w:name="_Toc26179"/>
      <w:r>
        <w:rPr>
          <w:rFonts w:hint="eastAsia" w:ascii="Times New Roman" w:hAnsi="Times New Roman" w:eastAsia="宋体" w:cs="宋体"/>
          <w:b/>
          <w:bCs/>
          <w:color w:val="auto"/>
          <w:sz w:val="36"/>
          <w:szCs w:val="44"/>
        </w:rPr>
        <w:t>招标公告</w:t>
      </w:r>
      <w:bookmarkEnd w:id="10"/>
    </w:p>
    <w:p w14:paraId="56DE003E">
      <w:pPr>
        <w:widowControl w:val="0"/>
        <w:adjustRightInd w:val="0"/>
        <w:snapToGrid w:val="0"/>
        <w:spacing w:after="0" w:line="360" w:lineRule="auto"/>
        <w:jc w:val="center"/>
        <w:rPr>
          <w:rFonts w:ascii="Times New Roman" w:hAnsi="Times New Roman" w:eastAsia="宋体" w:cs="宋体"/>
          <w:b/>
          <w:bCs/>
          <w:color w:val="auto"/>
          <w:sz w:val="32"/>
          <w:szCs w:val="32"/>
          <w:u w:val="single" w:color="000000"/>
        </w:rPr>
      </w:pPr>
    </w:p>
    <w:p w14:paraId="1DBC385F">
      <w:pPr>
        <w:widowControl w:val="0"/>
        <w:adjustRightInd w:val="0"/>
        <w:snapToGrid w:val="0"/>
        <w:spacing w:after="0" w:line="360" w:lineRule="auto"/>
        <w:jc w:val="center"/>
        <w:rPr>
          <w:rFonts w:ascii="Times New Roman" w:hAnsi="Times New Roman" w:eastAsia="宋体" w:cs="宋体"/>
          <w:color w:val="auto"/>
          <w:sz w:val="24"/>
        </w:rPr>
      </w:pPr>
      <w:r>
        <w:rPr>
          <w:rFonts w:hint="eastAsia" w:ascii="Times New Roman" w:hAnsi="Times New Roman" w:eastAsia="宋体" w:cs="宋体"/>
          <w:color w:val="auto"/>
          <w:sz w:val="32"/>
          <w:szCs w:val="32"/>
          <w:u w:val="single"/>
        </w:rPr>
        <w:t>大石桥市西部农村供水工程（一期）四标段-八标段工程设备及安装项目</w:t>
      </w:r>
      <w:r>
        <w:rPr>
          <w:rFonts w:hint="eastAsia" w:ascii="Times New Roman" w:hAnsi="Times New Roman" w:eastAsia="宋体" w:cs="宋体"/>
          <w:b/>
          <w:bCs/>
          <w:color w:val="auto"/>
          <w:sz w:val="32"/>
          <w:szCs w:val="32"/>
        </w:rPr>
        <w:t>（项目名称）招标公告</w:t>
      </w:r>
      <w:r>
        <w:rPr>
          <w:rFonts w:hint="eastAsia" w:ascii="Times New Roman" w:hAnsi="Times New Roman" w:eastAsia="宋体" w:cs="宋体"/>
          <w:color w:val="auto"/>
          <w:sz w:val="21"/>
        </w:rPr>
        <w:t xml:space="preserve"> </w:t>
      </w:r>
    </w:p>
    <w:p w14:paraId="58CB52ED">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11" w:name="_Toc28319"/>
      <w:bookmarkStart w:id="12" w:name="_Toc23147"/>
      <w:bookmarkStart w:id="13" w:name="_Toc6971"/>
      <w:bookmarkStart w:id="14" w:name="_Toc40274966"/>
      <w:bookmarkStart w:id="15" w:name="_Toc56792744"/>
      <w:bookmarkStart w:id="16" w:name="_Toc15292"/>
      <w:bookmarkStart w:id="17" w:name="_Toc22569"/>
      <w:bookmarkStart w:id="18" w:name="_Toc38287090"/>
      <w:bookmarkStart w:id="19" w:name="_Toc2863"/>
      <w:bookmarkStart w:id="20" w:name="_Toc27243"/>
      <w:r>
        <w:rPr>
          <w:rFonts w:hint="eastAsia" w:ascii="Times New Roman" w:hAnsi="Times New Roman" w:cs="宋体"/>
          <w:b w:val="0"/>
          <w:color w:val="auto"/>
          <w:szCs w:val="28"/>
        </w:rPr>
        <w:t>1.招标条件</w:t>
      </w:r>
      <w:bookmarkEnd w:id="11"/>
      <w:bookmarkEnd w:id="12"/>
      <w:bookmarkEnd w:id="13"/>
      <w:bookmarkEnd w:id="14"/>
      <w:bookmarkEnd w:id="15"/>
      <w:bookmarkEnd w:id="16"/>
      <w:bookmarkEnd w:id="17"/>
      <w:bookmarkEnd w:id="18"/>
      <w:bookmarkEnd w:id="19"/>
      <w:bookmarkEnd w:id="20"/>
      <w:r>
        <w:rPr>
          <w:rFonts w:hint="eastAsia" w:ascii="Times New Roman" w:hAnsi="Times New Roman" w:cs="宋体"/>
          <w:b w:val="0"/>
          <w:color w:val="auto"/>
          <w:szCs w:val="28"/>
        </w:rPr>
        <w:t xml:space="preserve"> </w:t>
      </w:r>
    </w:p>
    <w:p w14:paraId="0B3933B4">
      <w:pPr>
        <w:spacing w:line="48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本招标项目</w:t>
      </w:r>
      <w:r>
        <w:rPr>
          <w:rFonts w:hint="eastAsia" w:ascii="Times New Roman" w:hAnsi="Times New Roman" w:eastAsia="宋体" w:cs="宋体"/>
          <w:color w:val="auto"/>
          <w:sz w:val="28"/>
          <w:szCs w:val="28"/>
          <w:u w:val="single"/>
        </w:rPr>
        <w:t>大石桥市西部农村供水工程（一期）四标段-八标段工程设备及安装项目</w:t>
      </w:r>
      <w:r>
        <w:rPr>
          <w:rFonts w:hint="eastAsia" w:ascii="Times New Roman" w:hAnsi="Times New Roman" w:eastAsia="宋体" w:cs="宋体"/>
          <w:color w:val="auto"/>
          <w:sz w:val="28"/>
          <w:szCs w:val="28"/>
        </w:rPr>
        <w:t>（项目名称）招标人为</w:t>
      </w:r>
      <w:r>
        <w:rPr>
          <w:rFonts w:hint="eastAsia" w:ascii="Times New Roman" w:hAnsi="Times New Roman" w:eastAsia="宋体" w:cs="宋体"/>
          <w:color w:val="auto"/>
          <w:sz w:val="28"/>
          <w:szCs w:val="28"/>
          <w:u w:val="single"/>
        </w:rPr>
        <w:t>大石桥市清源水务建设有限公司</w:t>
      </w:r>
      <w:r>
        <w:rPr>
          <w:rFonts w:hint="eastAsia" w:ascii="Times New Roman" w:hAnsi="Times New Roman" w:eastAsia="宋体" w:cs="宋体"/>
          <w:color w:val="auto"/>
          <w:sz w:val="28"/>
          <w:szCs w:val="28"/>
        </w:rPr>
        <w:t>。招标项目资金来自</w:t>
      </w:r>
      <w:r>
        <w:rPr>
          <w:rFonts w:hint="eastAsia" w:ascii="Times New Roman" w:hAnsi="Times New Roman" w:eastAsia="宋体" w:cs="宋体"/>
          <w:color w:val="auto"/>
          <w:sz w:val="28"/>
          <w:szCs w:val="28"/>
          <w:u w:val="single"/>
        </w:rPr>
        <w:t>省级补助、市级财政、银行贷款</w:t>
      </w:r>
      <w:r>
        <w:rPr>
          <w:rFonts w:hint="eastAsia" w:ascii="Times New Roman" w:hAnsi="Times New Roman" w:eastAsia="宋体" w:cs="宋体"/>
          <w:color w:val="auto"/>
          <w:sz w:val="28"/>
          <w:szCs w:val="28"/>
        </w:rPr>
        <w:t>（资金来源），出资比例为</w:t>
      </w:r>
      <w:r>
        <w:rPr>
          <w:rFonts w:hint="eastAsia" w:ascii="Times New Roman" w:hAnsi="Times New Roman" w:eastAsia="宋体" w:cs="宋体"/>
          <w:color w:val="auto"/>
          <w:sz w:val="28"/>
          <w:szCs w:val="28"/>
          <w:u w:val="single"/>
        </w:rPr>
        <w:t>省级补助资金40%、营口市级财政资金10%及银行贷款50%。</w:t>
      </w:r>
      <w:r>
        <w:rPr>
          <w:rFonts w:hint="eastAsia" w:ascii="Times New Roman" w:hAnsi="Times New Roman" w:eastAsia="宋体" w:cs="宋体"/>
          <w:color w:val="auto"/>
          <w:sz w:val="28"/>
          <w:szCs w:val="28"/>
        </w:rPr>
        <w:t>该项目已具备招标条件，现对</w:t>
      </w:r>
      <w:r>
        <w:rPr>
          <w:rFonts w:hint="eastAsia" w:ascii="Times New Roman" w:hAnsi="Times New Roman" w:eastAsia="宋体" w:cs="宋体"/>
          <w:color w:val="auto"/>
          <w:sz w:val="28"/>
          <w:szCs w:val="28"/>
          <w:u w:val="single"/>
        </w:rPr>
        <w:t>四标段-八标段工程设备及安装项目1~</w:t>
      </w:r>
      <w:r>
        <w:rPr>
          <w:rFonts w:ascii="Times New Roman" w:hAnsi="Times New Roman" w:eastAsia="宋体" w:cs="宋体"/>
          <w:color w:val="auto"/>
          <w:sz w:val="28"/>
          <w:szCs w:val="28"/>
          <w:u w:val="single"/>
        </w:rPr>
        <w:t>6</w:t>
      </w:r>
      <w:r>
        <w:rPr>
          <w:rFonts w:hint="eastAsia" w:ascii="Times New Roman" w:hAnsi="Times New Roman" w:eastAsia="宋体" w:cs="宋体"/>
          <w:color w:val="auto"/>
          <w:sz w:val="28"/>
          <w:szCs w:val="28"/>
          <w:u w:val="single"/>
        </w:rPr>
        <w:t>标段</w:t>
      </w:r>
      <w:r>
        <w:rPr>
          <w:rFonts w:hint="eastAsia" w:ascii="Times New Roman" w:hAnsi="Times New Roman" w:eastAsia="宋体" w:cs="宋体"/>
          <w:color w:val="auto"/>
          <w:sz w:val="28"/>
          <w:szCs w:val="28"/>
        </w:rPr>
        <w:t>采购进行公开招标。</w:t>
      </w:r>
    </w:p>
    <w:p w14:paraId="2C813F8F">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21" w:name="_Toc14389"/>
      <w:bookmarkStart w:id="22" w:name="_Toc3133"/>
      <w:bookmarkStart w:id="23" w:name="_Toc4860"/>
      <w:bookmarkStart w:id="24" w:name="_Toc29849"/>
      <w:bookmarkStart w:id="25" w:name="_Toc25843"/>
      <w:bookmarkStart w:id="26" w:name="_Toc38287091"/>
      <w:bookmarkStart w:id="27" w:name="_Toc22717"/>
      <w:bookmarkStart w:id="28" w:name="_Toc40274967"/>
      <w:bookmarkStart w:id="29" w:name="_Toc56792745"/>
      <w:bookmarkStart w:id="30" w:name="_Toc895"/>
      <w:r>
        <w:rPr>
          <w:rFonts w:hint="eastAsia" w:ascii="Times New Roman" w:hAnsi="Times New Roman" w:cs="宋体"/>
          <w:b w:val="0"/>
          <w:color w:val="auto"/>
          <w:szCs w:val="28"/>
        </w:rPr>
        <w:t>2.项目概况与招标范围</w:t>
      </w:r>
      <w:bookmarkEnd w:id="21"/>
      <w:bookmarkEnd w:id="22"/>
      <w:bookmarkEnd w:id="23"/>
      <w:bookmarkEnd w:id="24"/>
      <w:bookmarkEnd w:id="25"/>
      <w:bookmarkEnd w:id="26"/>
      <w:bookmarkEnd w:id="27"/>
      <w:bookmarkEnd w:id="28"/>
      <w:bookmarkEnd w:id="29"/>
      <w:bookmarkEnd w:id="30"/>
      <w:r>
        <w:rPr>
          <w:rFonts w:hint="eastAsia" w:ascii="Times New Roman" w:hAnsi="Times New Roman" w:cs="宋体"/>
          <w:b w:val="0"/>
          <w:color w:val="auto"/>
          <w:szCs w:val="28"/>
        </w:rPr>
        <w:t xml:space="preserve"> </w:t>
      </w:r>
    </w:p>
    <w:p w14:paraId="7570092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bookmarkStart w:id="31" w:name="_Toc32634"/>
      <w:r>
        <w:rPr>
          <w:rFonts w:hint="eastAsia" w:ascii="Times New Roman" w:hAnsi="Times New Roman" w:eastAsia="宋体" w:cs="宋体"/>
          <w:color w:val="auto"/>
          <w:sz w:val="28"/>
          <w:szCs w:val="28"/>
        </w:rPr>
        <w:t>2.1 项目概况：</w:t>
      </w:r>
      <w:r>
        <w:rPr>
          <w:rFonts w:hint="eastAsia" w:ascii="Times New Roman" w:hAnsi="Times New Roman" w:eastAsia="宋体" w:cs="宋体"/>
          <w:color w:val="auto"/>
          <w:sz w:val="28"/>
          <w:szCs w:val="28"/>
          <w:u w:val="single"/>
        </w:rPr>
        <w:t>工程涉及大石桥市西部农村供水工程（一期）四标段-八标段工程设备及安装项目涉及5个镇89个行政村，设计供水用户65780户，受益总人口197348人。设计供水规模15824.46m3/d，工程类型为Ⅰ型供水工程。主要建设内容：输水管道、净水厂、配水管网及配套设施，中途加压泵站，61个村内蓄水池及加压泵站，25个村村内及入户管线改造，自控与信息化设施及NB-IOT远控物联网水表安装</w:t>
      </w:r>
      <w:r>
        <w:rPr>
          <w:rFonts w:hint="eastAsia" w:ascii="Times New Roman" w:hAnsi="Times New Roman" w:eastAsia="宋体" w:cs="宋体"/>
          <w:color w:val="auto"/>
          <w:sz w:val="28"/>
          <w:szCs w:val="28"/>
        </w:rPr>
        <w:t>。</w:t>
      </w:r>
    </w:p>
    <w:p w14:paraId="661BB31F">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2.2 招标范围：</w:t>
      </w:r>
      <w:r>
        <w:rPr>
          <w:rFonts w:hint="eastAsia" w:ascii="Times New Roman" w:hAnsi="Times New Roman" w:eastAsia="宋体" w:cs="宋体"/>
          <w:color w:val="auto"/>
          <w:sz w:val="28"/>
          <w:szCs w:val="28"/>
          <w:u w:val="single"/>
        </w:rPr>
        <w:t>工程设备采购及安装</w:t>
      </w:r>
    </w:p>
    <w:bookmarkEnd w:id="31"/>
    <w:p w14:paraId="4FB38EA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2.3标段划分：</w:t>
      </w:r>
    </w:p>
    <w:p w14:paraId="36741660">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（1）第一标段</w:t>
      </w:r>
    </w:p>
    <w:p w14:paraId="1E8B30D3">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w:t>
      </w:r>
      <w:r>
        <w:rPr>
          <w:rFonts w:hint="eastAsia" w:ascii="Times New Roman" w:hAnsi="Times New Roman" w:eastAsia="宋体" w:cs="宋体"/>
          <w:color w:val="auto"/>
          <w:sz w:val="28"/>
          <w:szCs w:val="28"/>
          <w:highlight w:val="yellow"/>
          <w:u w:val="single"/>
        </w:rPr>
        <w:t>智慧水务系统等设备采购安装</w:t>
      </w:r>
      <w:r>
        <w:rPr>
          <w:rFonts w:hint="eastAsia" w:ascii="Times New Roman" w:hAnsi="Times New Roman" w:eastAsia="宋体" w:cs="宋体"/>
          <w:color w:val="auto"/>
          <w:sz w:val="28"/>
          <w:szCs w:val="28"/>
          <w:u w:val="single"/>
        </w:rPr>
        <w:t>。</w:t>
      </w:r>
    </w:p>
    <w:p w14:paraId="5CDCE139">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（2）第二标段</w:t>
      </w:r>
    </w:p>
    <w:p w14:paraId="20B927F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w:t>
      </w:r>
      <w:bookmarkStart w:id="32" w:name="_Hlk208309605"/>
      <w:r>
        <w:rPr>
          <w:rFonts w:ascii="Times New Roman" w:hAnsi="Times New Roman" w:eastAsia="宋体" w:cs="宋体"/>
          <w:color w:val="auto"/>
          <w:sz w:val="28"/>
          <w:szCs w:val="28"/>
          <w:u w:val="single"/>
        </w:rPr>
        <w:t>NB-IOT</w:t>
      </w:r>
      <w:r>
        <w:rPr>
          <w:rFonts w:hint="eastAsia" w:ascii="Times New Roman" w:hAnsi="Times New Roman" w:eastAsia="宋体" w:cs="宋体"/>
          <w:color w:val="auto"/>
          <w:sz w:val="28"/>
          <w:szCs w:val="28"/>
          <w:u w:val="single"/>
        </w:rPr>
        <w:t>远控物联网水表</w:t>
      </w:r>
      <w:r>
        <w:rPr>
          <w:rFonts w:ascii="Times New Roman" w:hAnsi="Times New Roman" w:eastAsia="宋体" w:cs="宋体"/>
          <w:color w:val="auto"/>
          <w:sz w:val="28"/>
          <w:szCs w:val="28"/>
          <w:u w:val="single"/>
        </w:rPr>
        <w:t>(DN20)</w:t>
      </w:r>
      <w:r>
        <w:rPr>
          <w:rFonts w:hint="eastAsia" w:ascii="Times New Roman" w:hAnsi="Times New Roman" w:eastAsia="宋体" w:cs="宋体"/>
          <w:color w:val="auto"/>
          <w:sz w:val="28"/>
          <w:szCs w:val="28"/>
          <w:u w:val="single"/>
        </w:rPr>
        <w:t>购置（一）</w:t>
      </w:r>
      <w:bookmarkEnd w:id="32"/>
      <w:r>
        <w:rPr>
          <w:rFonts w:hint="eastAsia" w:ascii="Times New Roman" w:hAnsi="Times New Roman" w:eastAsia="宋体" w:cs="宋体"/>
          <w:color w:val="auto"/>
          <w:sz w:val="28"/>
          <w:szCs w:val="28"/>
          <w:u w:val="single"/>
        </w:rPr>
        <w:t>。</w:t>
      </w:r>
    </w:p>
    <w:p w14:paraId="7A3FFE68">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（3）第三标段</w:t>
      </w:r>
    </w:p>
    <w:p w14:paraId="040FD26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主要采购内容：NB-IOT远控物联网水表(DN20)购置（二）。</w:t>
      </w:r>
    </w:p>
    <w:p w14:paraId="6E0734D8">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（4）第四标段</w:t>
      </w:r>
    </w:p>
    <w:p w14:paraId="25833F9A">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主要采购内容：水表井（钢制）购置（一）。</w:t>
      </w:r>
    </w:p>
    <w:p w14:paraId="372BB79C">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（5）第五标段</w:t>
      </w:r>
    </w:p>
    <w:p w14:paraId="232FAC2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主要采购内容：水表井（钢制）购置（二）。</w:t>
      </w:r>
    </w:p>
    <w:p w14:paraId="76EBE46D">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（6）第六标段</w:t>
      </w:r>
    </w:p>
    <w:p w14:paraId="52A71365">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w:t>
      </w:r>
      <w:r>
        <w:rPr>
          <w:rFonts w:hint="eastAsia" w:ascii="Times New Roman" w:hAnsi="Times New Roman" w:eastAsia="宋体" w:cs="宋体"/>
          <w:color w:val="auto"/>
          <w:sz w:val="28"/>
          <w:szCs w:val="28"/>
          <w:highlight w:val="yellow"/>
          <w:u w:val="single"/>
        </w:rPr>
        <w:t>村内配电柜等机电设备采购及安装</w:t>
      </w:r>
      <w:r>
        <w:rPr>
          <w:rFonts w:hint="eastAsia" w:ascii="Times New Roman" w:hAnsi="Times New Roman" w:eastAsia="宋体" w:cs="宋体"/>
          <w:color w:val="auto"/>
          <w:sz w:val="28"/>
          <w:szCs w:val="28"/>
          <w:u w:val="single"/>
        </w:rPr>
        <w:t>。</w:t>
      </w:r>
    </w:p>
    <w:p w14:paraId="7367EC59">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（注：本项目允许兼投不兼中）</w:t>
      </w:r>
    </w:p>
    <w:p w14:paraId="74E30412">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2.4 交货期：</w:t>
      </w:r>
      <w:r>
        <w:rPr>
          <w:rFonts w:hint="eastAsia" w:ascii="Times New Roman" w:hAnsi="Times New Roman" w:eastAsia="宋体" w:cs="宋体"/>
          <w:color w:val="auto"/>
          <w:sz w:val="28"/>
          <w:szCs w:val="28"/>
          <w:u w:val="single"/>
        </w:rPr>
        <w:t>自签订合同之日起，供货商开始备货，设备出厂具体时间由业主按项目进度决定；供货商须接到设备出厂通知7日内发货，从设备出厂到安装完成，工期为1个月（特殊情况除外）；涉及到净水厂相关设备进场时，设备供应商须与该标段土建施工方做好协调工作（具体按建设单位要求）</w:t>
      </w:r>
      <w:r>
        <w:rPr>
          <w:rFonts w:hint="eastAsia" w:ascii="Times New Roman" w:hAnsi="Times New Roman" w:eastAsia="宋体" w:cs="宋体"/>
          <w:color w:val="auto"/>
          <w:sz w:val="28"/>
          <w:szCs w:val="28"/>
        </w:rPr>
        <w:t>。</w:t>
      </w:r>
    </w:p>
    <w:p w14:paraId="44201C8D">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2.5交货地点及方式：</w:t>
      </w:r>
      <w:r>
        <w:rPr>
          <w:rFonts w:hint="eastAsia" w:ascii="Times New Roman" w:hAnsi="Times New Roman" w:eastAsia="宋体" w:cs="宋体"/>
          <w:color w:val="auto"/>
          <w:sz w:val="28"/>
          <w:szCs w:val="28"/>
          <w:u w:val="single"/>
        </w:rPr>
        <w:t>大石桥市（具体按建设单位指定地点）</w:t>
      </w:r>
      <w:r>
        <w:rPr>
          <w:rFonts w:hint="eastAsia" w:ascii="Times New Roman" w:hAnsi="Times New Roman" w:eastAsia="宋体" w:cs="宋体"/>
          <w:color w:val="auto"/>
          <w:sz w:val="28"/>
          <w:szCs w:val="28"/>
        </w:rPr>
        <w:t>。</w:t>
      </w:r>
    </w:p>
    <w:p w14:paraId="1EF42A5C">
      <w:pPr>
        <w:widowControl w:val="0"/>
        <w:adjustRightInd w:val="0"/>
        <w:snapToGrid w:val="0"/>
        <w:spacing w:after="0" w:line="480" w:lineRule="exact"/>
        <w:ind w:firstLine="560" w:firstLineChars="200"/>
        <w:jc w:val="both"/>
        <w:rPr>
          <w:rFonts w:ascii="Times New Roman" w:hAnsi="Times New Roman" w:eastAsia="宋体"/>
          <w:bCs/>
          <w:color w:val="auto"/>
          <w:sz w:val="28"/>
          <w:szCs w:val="28"/>
        </w:rPr>
      </w:pPr>
      <w:r>
        <w:rPr>
          <w:rFonts w:hint="eastAsia" w:ascii="Times New Roman" w:hAnsi="Times New Roman" w:eastAsia="宋体" w:cs="宋体"/>
          <w:color w:val="auto"/>
          <w:sz w:val="28"/>
          <w:szCs w:val="28"/>
        </w:rPr>
        <w:t>2.6</w:t>
      </w:r>
      <w:r>
        <w:rPr>
          <w:rFonts w:hint="eastAsia" w:ascii="Times New Roman" w:hAnsi="Times New Roman" w:eastAsia="宋体"/>
          <w:bCs/>
          <w:color w:val="auto"/>
          <w:sz w:val="28"/>
          <w:szCs w:val="28"/>
        </w:rPr>
        <w:t>投标保证金</w:t>
      </w:r>
      <w:r>
        <w:rPr>
          <w:rFonts w:ascii="Times New Roman" w:hAnsi="Times New Roman" w:eastAsia="宋体"/>
          <w:bCs/>
          <w:color w:val="auto"/>
          <w:sz w:val="28"/>
          <w:szCs w:val="28"/>
        </w:rPr>
        <w:t>：</w:t>
      </w:r>
    </w:p>
    <w:p w14:paraId="1809DCCC">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bookmarkStart w:id="33" w:name="_Toc38287092"/>
      <w:bookmarkStart w:id="34" w:name="_Toc2859"/>
      <w:bookmarkStart w:id="35" w:name="_Toc10349"/>
      <w:bookmarkStart w:id="36" w:name="_Toc56792746"/>
      <w:bookmarkStart w:id="37" w:name="_Toc40274968"/>
      <w:bookmarkStart w:id="38" w:name="_Toc13239"/>
      <w:bookmarkStart w:id="39" w:name="_Toc31048"/>
      <w:bookmarkStart w:id="40" w:name="_Toc12991"/>
      <w:r>
        <w:rPr>
          <w:rFonts w:hint="eastAsia" w:ascii="Times New Roman" w:hAnsi="Times New Roman" w:eastAsia="宋体" w:cs="宋体"/>
          <w:color w:val="auto"/>
          <w:sz w:val="28"/>
          <w:szCs w:val="28"/>
          <w:u w:val="single"/>
        </w:rPr>
        <w:t xml:space="preserve">第一标段: </w:t>
      </w:r>
      <w:r>
        <w:rPr>
          <w:rFonts w:ascii="Times New Roman" w:hAnsi="Times New Roman" w:eastAsia="宋体" w:cs="宋体"/>
          <w:color w:val="auto"/>
          <w:sz w:val="28"/>
          <w:szCs w:val="28"/>
          <w:u w:val="single"/>
        </w:rPr>
        <w:t>6</w:t>
      </w:r>
      <w:r>
        <w:rPr>
          <w:rFonts w:hint="eastAsia" w:ascii="Times New Roman" w:hAnsi="Times New Roman" w:eastAsia="宋体" w:cs="宋体"/>
          <w:color w:val="auto"/>
          <w:sz w:val="28"/>
          <w:szCs w:val="28"/>
          <w:u w:val="single"/>
        </w:rPr>
        <w:t>.</w:t>
      </w:r>
      <w:r>
        <w:rPr>
          <w:rFonts w:ascii="Times New Roman" w:hAnsi="Times New Roman" w:eastAsia="宋体" w:cs="宋体"/>
          <w:color w:val="auto"/>
          <w:sz w:val="28"/>
          <w:szCs w:val="28"/>
          <w:u w:val="single"/>
        </w:rPr>
        <w:t>6</w:t>
      </w:r>
      <w:r>
        <w:rPr>
          <w:rFonts w:hint="eastAsia" w:ascii="Times New Roman" w:hAnsi="Times New Roman" w:eastAsia="宋体" w:cs="宋体"/>
          <w:color w:val="auto"/>
          <w:sz w:val="28"/>
          <w:szCs w:val="28"/>
          <w:u w:val="single"/>
        </w:rPr>
        <w:t>万元人民币</w:t>
      </w:r>
    </w:p>
    <w:p w14:paraId="4D683BA0">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第二标段: </w:t>
      </w:r>
      <w:r>
        <w:rPr>
          <w:rFonts w:ascii="Times New Roman" w:hAnsi="Times New Roman" w:eastAsia="宋体" w:cs="宋体"/>
          <w:color w:val="auto"/>
          <w:sz w:val="28"/>
          <w:szCs w:val="28"/>
          <w:u w:val="single"/>
        </w:rPr>
        <w:t>17</w:t>
      </w:r>
      <w:r>
        <w:rPr>
          <w:rFonts w:hint="eastAsia" w:ascii="Times New Roman" w:hAnsi="Times New Roman" w:eastAsia="宋体" w:cs="宋体"/>
          <w:color w:val="auto"/>
          <w:sz w:val="28"/>
          <w:szCs w:val="28"/>
          <w:u w:val="single"/>
        </w:rPr>
        <w:t>万元人民币</w:t>
      </w:r>
    </w:p>
    <w:p w14:paraId="32C447D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第三标段: </w:t>
      </w:r>
      <w:r>
        <w:rPr>
          <w:rFonts w:ascii="Times New Roman" w:hAnsi="Times New Roman" w:eastAsia="宋体" w:cs="宋体"/>
          <w:color w:val="auto"/>
          <w:sz w:val="28"/>
          <w:szCs w:val="28"/>
          <w:u w:val="single"/>
        </w:rPr>
        <w:t>18.3</w:t>
      </w:r>
      <w:r>
        <w:rPr>
          <w:rFonts w:hint="eastAsia" w:ascii="Times New Roman" w:hAnsi="Times New Roman" w:eastAsia="宋体" w:cs="宋体"/>
          <w:color w:val="auto"/>
          <w:sz w:val="28"/>
          <w:szCs w:val="28"/>
          <w:u w:val="single"/>
        </w:rPr>
        <w:t>万元人民币</w:t>
      </w:r>
    </w:p>
    <w:p w14:paraId="2F04A6FF">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第四标段: </w:t>
      </w:r>
      <w:r>
        <w:rPr>
          <w:rFonts w:ascii="Times New Roman" w:hAnsi="Times New Roman" w:eastAsia="宋体" w:cs="宋体"/>
          <w:color w:val="auto"/>
          <w:sz w:val="28"/>
          <w:szCs w:val="28"/>
          <w:u w:val="single"/>
        </w:rPr>
        <w:t>13.6</w:t>
      </w:r>
      <w:r>
        <w:rPr>
          <w:rFonts w:hint="eastAsia" w:ascii="Times New Roman" w:hAnsi="Times New Roman" w:eastAsia="宋体" w:cs="宋体"/>
          <w:color w:val="auto"/>
          <w:sz w:val="28"/>
          <w:szCs w:val="28"/>
          <w:u w:val="single"/>
        </w:rPr>
        <w:t>万元人民币</w:t>
      </w:r>
    </w:p>
    <w:p w14:paraId="60875EB3">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第五标段: </w:t>
      </w:r>
      <w:r>
        <w:rPr>
          <w:rFonts w:ascii="Times New Roman" w:hAnsi="Times New Roman" w:eastAsia="宋体" w:cs="宋体"/>
          <w:color w:val="auto"/>
          <w:sz w:val="28"/>
          <w:szCs w:val="28"/>
          <w:u w:val="single"/>
        </w:rPr>
        <w:t>14.3</w:t>
      </w:r>
      <w:r>
        <w:rPr>
          <w:rFonts w:hint="eastAsia" w:ascii="Times New Roman" w:hAnsi="Times New Roman" w:eastAsia="宋体" w:cs="宋体"/>
          <w:color w:val="auto"/>
          <w:sz w:val="28"/>
          <w:szCs w:val="28"/>
          <w:u w:val="single"/>
        </w:rPr>
        <w:t>万元人民币</w:t>
      </w:r>
    </w:p>
    <w:p w14:paraId="4448DF9B">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第六标段: </w:t>
      </w:r>
      <w:r>
        <w:rPr>
          <w:rFonts w:ascii="Times New Roman" w:hAnsi="Times New Roman" w:eastAsia="宋体" w:cs="宋体"/>
          <w:color w:val="auto"/>
          <w:sz w:val="28"/>
          <w:szCs w:val="28"/>
          <w:u w:val="single"/>
        </w:rPr>
        <w:t>5</w:t>
      </w:r>
      <w:r>
        <w:rPr>
          <w:rFonts w:hint="eastAsia" w:ascii="Times New Roman" w:hAnsi="Times New Roman" w:eastAsia="宋体" w:cs="宋体"/>
          <w:color w:val="auto"/>
          <w:sz w:val="28"/>
          <w:szCs w:val="28"/>
          <w:u w:val="single"/>
        </w:rPr>
        <w:t>.9万元人民币</w:t>
      </w:r>
    </w:p>
    <w:p w14:paraId="7A0541FC">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r>
        <w:rPr>
          <w:rFonts w:hint="eastAsia" w:ascii="Times New Roman" w:hAnsi="Times New Roman" w:cs="宋体"/>
          <w:b w:val="0"/>
          <w:color w:val="auto"/>
          <w:szCs w:val="28"/>
        </w:rPr>
        <w:t>3.投标人资格要求</w:t>
      </w:r>
      <w:bookmarkEnd w:id="33"/>
      <w:bookmarkEnd w:id="34"/>
      <w:bookmarkEnd w:id="35"/>
      <w:bookmarkEnd w:id="36"/>
      <w:bookmarkEnd w:id="37"/>
      <w:bookmarkEnd w:id="38"/>
      <w:bookmarkEnd w:id="39"/>
      <w:bookmarkEnd w:id="40"/>
      <w:r>
        <w:rPr>
          <w:rFonts w:hint="eastAsia" w:ascii="Times New Roman" w:hAnsi="Times New Roman" w:cs="宋体"/>
          <w:b w:val="0"/>
          <w:color w:val="auto"/>
          <w:szCs w:val="28"/>
        </w:rPr>
        <w:t xml:space="preserve"> </w:t>
      </w:r>
    </w:p>
    <w:p w14:paraId="36C15CB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3.1 资质要求：</w:t>
      </w:r>
    </w:p>
    <w:p w14:paraId="330E3E7B">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3.1.1投标人必须为中华人民共和国境内注册的具有独立法人资格的设备制造商（包括软件）或其代理商，且有能力提供本次采购货物并提供相关服务；</w:t>
      </w:r>
    </w:p>
    <w:p w14:paraId="447FCD6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3.1.2如果投标人为软件设备的生产制造商，必须具有相应设备生产许可及安装能力；</w:t>
      </w:r>
    </w:p>
    <w:p w14:paraId="75F79E4A">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3.1.3如果投标人为代理商，必须提供制造商厂家开具的授权书；</w:t>
      </w:r>
    </w:p>
    <w:p w14:paraId="37806DBA">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3.2财务要求：</w:t>
      </w:r>
      <w:r>
        <w:rPr>
          <w:rFonts w:hint="eastAsia" w:ascii="Times New Roman" w:hAnsi="Times New Roman" w:eastAsia="宋体" w:cs="宋体"/>
          <w:color w:val="auto"/>
          <w:sz w:val="28"/>
          <w:szCs w:val="28"/>
          <w:u w:val="single"/>
        </w:rPr>
        <w:t>无</w:t>
      </w:r>
      <w:r>
        <w:rPr>
          <w:rFonts w:hint="eastAsia" w:ascii="Times New Roman" w:hAnsi="Times New Roman" w:eastAsia="宋体" w:cs="宋体"/>
          <w:color w:val="auto"/>
          <w:sz w:val="28"/>
          <w:szCs w:val="28"/>
        </w:rPr>
        <w:t>。</w:t>
      </w:r>
    </w:p>
    <w:p w14:paraId="54FE4153">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3.3业绩要求：</w:t>
      </w:r>
      <w:r>
        <w:rPr>
          <w:rFonts w:hint="eastAsia" w:ascii="Times New Roman" w:hAnsi="Times New Roman" w:eastAsia="宋体" w:cs="宋体"/>
          <w:color w:val="auto"/>
          <w:sz w:val="28"/>
          <w:szCs w:val="28"/>
          <w:u w:val="single"/>
        </w:rPr>
        <w:t>无</w:t>
      </w:r>
      <w:r>
        <w:rPr>
          <w:rFonts w:hint="eastAsia" w:ascii="Times New Roman" w:hAnsi="Times New Roman" w:eastAsia="宋体" w:cs="宋体"/>
          <w:color w:val="auto"/>
          <w:sz w:val="28"/>
          <w:szCs w:val="28"/>
        </w:rPr>
        <w:t>。</w:t>
      </w:r>
    </w:p>
    <w:p w14:paraId="391CF54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3.4信誉要求：</w:t>
      </w:r>
      <w:r>
        <w:rPr>
          <w:rFonts w:hint="eastAsia" w:ascii="Times New Roman" w:hAnsi="Times New Roman" w:eastAsia="宋体" w:cs="宋体"/>
          <w:color w:val="auto"/>
          <w:sz w:val="28"/>
          <w:szCs w:val="28"/>
          <w:u w:val="single"/>
        </w:rPr>
        <w:t>投标人（代理商投标时，包括被代理的制造商）不得为列入失信被执行人、重大税收违法案件当事人名单、政府采购严重违法失信行为记录名单的投标人</w:t>
      </w:r>
      <w:r>
        <w:rPr>
          <w:rFonts w:hint="eastAsia" w:ascii="Times New Roman" w:hAnsi="Times New Roman" w:eastAsia="宋体" w:cs="宋体"/>
          <w:color w:val="auto"/>
          <w:sz w:val="28"/>
          <w:szCs w:val="28"/>
        </w:rPr>
        <w:t>。</w:t>
      </w:r>
    </w:p>
    <w:p w14:paraId="26FB773F">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 本次招标</w:t>
      </w:r>
      <w:r>
        <w:rPr>
          <w:rFonts w:hint="eastAsia" w:ascii="Times New Roman" w:hAnsi="Times New Roman" w:eastAsia="宋体" w:cs="宋体"/>
          <w:color w:val="auto"/>
          <w:sz w:val="28"/>
          <w:szCs w:val="28"/>
          <w:u w:val="single"/>
        </w:rPr>
        <w:t xml:space="preserve"> 不接受 </w:t>
      </w:r>
      <w:r>
        <w:rPr>
          <w:rFonts w:hint="eastAsia" w:ascii="Times New Roman" w:hAnsi="Times New Roman" w:eastAsia="宋体" w:cs="宋体"/>
          <w:color w:val="auto"/>
          <w:sz w:val="28"/>
          <w:szCs w:val="28"/>
        </w:rPr>
        <w:t>联合体投标。</w:t>
      </w:r>
    </w:p>
    <w:p w14:paraId="181A716C">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 其他要求：</w:t>
      </w:r>
      <w:r>
        <w:rPr>
          <w:rFonts w:hint="eastAsia" w:ascii="Times New Roman" w:hAnsi="Times New Roman" w:eastAsia="宋体" w:cs="宋体"/>
          <w:color w:val="auto"/>
          <w:sz w:val="28"/>
          <w:szCs w:val="28"/>
          <w:u w:val="single"/>
        </w:rPr>
        <w:t>无</w:t>
      </w:r>
      <w:r>
        <w:rPr>
          <w:rFonts w:hint="eastAsia" w:ascii="Times New Roman" w:hAnsi="Times New Roman" w:eastAsia="宋体" w:cs="宋体"/>
          <w:color w:val="auto"/>
          <w:sz w:val="28"/>
          <w:szCs w:val="28"/>
        </w:rPr>
        <w:t>。</w:t>
      </w:r>
    </w:p>
    <w:p w14:paraId="497E054A">
      <w:pPr>
        <w:pStyle w:val="3"/>
        <w:keepNext w:val="0"/>
        <w:keepLines w:val="0"/>
        <w:widowControl w:val="0"/>
        <w:adjustRightInd w:val="0"/>
        <w:snapToGrid w:val="0"/>
        <w:spacing w:line="480" w:lineRule="exact"/>
        <w:ind w:left="0" w:right="0" w:firstLine="562" w:firstLineChars="200"/>
        <w:jc w:val="both"/>
        <w:rPr>
          <w:rFonts w:ascii="Times New Roman" w:hAnsi="Times New Roman" w:cs="宋体"/>
          <w:color w:val="auto"/>
          <w:szCs w:val="28"/>
        </w:rPr>
      </w:pPr>
      <w:bookmarkStart w:id="41" w:name="_Toc25894"/>
      <w:r>
        <w:rPr>
          <w:rFonts w:hint="eastAsia" w:ascii="Times New Roman" w:hAnsi="Times New Roman" w:cs="宋体"/>
          <w:color w:val="auto"/>
          <w:szCs w:val="28"/>
        </w:rPr>
        <w:t>4.投标人入库须知</w:t>
      </w:r>
      <w:bookmarkEnd w:id="41"/>
    </w:p>
    <w:p w14:paraId="029DC58C">
      <w:pPr>
        <w:wordWrap w:val="0"/>
        <w:spacing w:after="0" w:line="48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参加辽宁省水利工程投标活动的投标人未进入辽宁省水利建设市场主体数据库的，请登录“辽宁省公共资源交易网”，“首页—公共资源一网交易登录入口—水利工程交易系统—交易主体注册”，主体数据库信息录入操作方法详见《辽宁省水利建设市场主体数据库信息录入操作手册》( 操作手册下载网站：https://slt.ln.gov.cn/slt/zxpd/tzgg/2023011013315528876/index.shtml)”，及时办理入库手续。具体规定详见《关于开展全省水利建设市场主体数据库信息录入工作的通知》。其他交易平台项目按照各交易平台的要求执行。</w:t>
      </w:r>
    </w:p>
    <w:p w14:paraId="79B04148">
      <w:pPr>
        <w:pStyle w:val="3"/>
        <w:keepNext w:val="0"/>
        <w:keepLines w:val="0"/>
        <w:widowControl w:val="0"/>
        <w:adjustRightInd w:val="0"/>
        <w:snapToGrid w:val="0"/>
        <w:spacing w:line="480" w:lineRule="exact"/>
        <w:ind w:left="0" w:right="0" w:firstLine="562" w:firstLineChars="200"/>
        <w:jc w:val="both"/>
        <w:rPr>
          <w:rFonts w:ascii="Times New Roman" w:hAnsi="Times New Roman" w:cs="宋体"/>
          <w:color w:val="auto"/>
          <w:szCs w:val="28"/>
        </w:rPr>
      </w:pPr>
      <w:bookmarkStart w:id="42" w:name="_Toc13148"/>
      <w:r>
        <w:rPr>
          <w:rFonts w:hint="eastAsia" w:ascii="Times New Roman" w:hAnsi="Times New Roman" w:cs="宋体"/>
          <w:color w:val="auto"/>
          <w:szCs w:val="28"/>
        </w:rPr>
        <w:t>5.招标文件的获取及修改、澄清答疑发布</w:t>
      </w:r>
      <w:bookmarkEnd w:id="42"/>
    </w:p>
    <w:p w14:paraId="79C5548D">
      <w:pPr>
        <w:pStyle w:val="15"/>
        <w:adjustRightInd w:val="0"/>
        <w:snapToGrid w:val="0"/>
        <w:spacing w:line="480" w:lineRule="exact"/>
        <w:ind w:firstLine="560" w:firstLineChars="200"/>
        <w:rPr>
          <w:rFonts w:cs="宋体"/>
          <w:sz w:val="28"/>
          <w:szCs w:val="28"/>
        </w:rPr>
      </w:pPr>
      <w:r>
        <w:rPr>
          <w:rFonts w:hint="eastAsia" w:cs="宋体"/>
          <w:sz w:val="28"/>
          <w:szCs w:val="28"/>
        </w:rPr>
        <w:t>5.1 请有意参加的投标人自</w:t>
      </w:r>
      <w:r>
        <w:rPr>
          <w:rFonts w:hint="eastAsia" w:cs="宋体"/>
          <w:sz w:val="28"/>
          <w:szCs w:val="28"/>
          <w:highlight w:val="yellow"/>
          <w:u w:val="single"/>
        </w:rPr>
        <w:t>2025</w:t>
      </w:r>
      <w:r>
        <w:rPr>
          <w:rFonts w:hint="eastAsia" w:cs="宋体"/>
          <w:sz w:val="28"/>
          <w:szCs w:val="28"/>
          <w:highlight w:val="yellow"/>
        </w:rPr>
        <w:t>年</w:t>
      </w:r>
      <w:r>
        <w:rPr>
          <w:rFonts w:hint="eastAsia" w:cs="宋体"/>
          <w:sz w:val="28"/>
          <w:szCs w:val="28"/>
          <w:highlight w:val="yellow"/>
          <w:u w:val="single"/>
        </w:rPr>
        <w:t>5</w:t>
      </w:r>
      <w:r>
        <w:rPr>
          <w:rFonts w:hint="eastAsia" w:cs="宋体"/>
          <w:sz w:val="28"/>
          <w:szCs w:val="28"/>
          <w:highlight w:val="yellow"/>
        </w:rPr>
        <w:t>月</w:t>
      </w:r>
      <w:r>
        <w:rPr>
          <w:rFonts w:hint="eastAsia" w:cs="宋体"/>
          <w:sz w:val="28"/>
          <w:szCs w:val="28"/>
          <w:highlight w:val="yellow"/>
          <w:u w:val="single"/>
        </w:rPr>
        <w:t xml:space="preserve">     22</w:t>
      </w:r>
      <w:r>
        <w:rPr>
          <w:rFonts w:hint="eastAsia" w:cs="宋体"/>
          <w:sz w:val="28"/>
          <w:szCs w:val="28"/>
          <w:highlight w:val="yellow"/>
        </w:rPr>
        <w:t>日</w:t>
      </w:r>
      <w:r>
        <w:rPr>
          <w:rFonts w:hint="eastAsia" w:cs="宋体"/>
          <w:sz w:val="28"/>
          <w:szCs w:val="28"/>
          <w:highlight w:val="yellow"/>
          <w:u w:val="single"/>
        </w:rPr>
        <w:t>08</w:t>
      </w:r>
      <w:r>
        <w:rPr>
          <w:rFonts w:hint="eastAsia" w:cs="宋体"/>
          <w:sz w:val="28"/>
          <w:szCs w:val="28"/>
          <w:highlight w:val="yellow"/>
        </w:rPr>
        <w:t>时</w:t>
      </w:r>
      <w:r>
        <w:rPr>
          <w:rFonts w:hint="eastAsia" w:cs="宋体"/>
          <w:sz w:val="28"/>
          <w:szCs w:val="28"/>
          <w:highlight w:val="yellow"/>
          <w:u w:val="single"/>
        </w:rPr>
        <w:t>30</w:t>
      </w:r>
      <w:r>
        <w:rPr>
          <w:rFonts w:hint="eastAsia" w:cs="宋体"/>
          <w:sz w:val="28"/>
          <w:szCs w:val="28"/>
          <w:highlight w:val="yellow"/>
        </w:rPr>
        <w:t>分—</w:t>
      </w:r>
      <w:r>
        <w:rPr>
          <w:rFonts w:hint="eastAsia" w:cs="宋体"/>
          <w:sz w:val="28"/>
          <w:szCs w:val="28"/>
          <w:highlight w:val="yellow"/>
          <w:u w:val="single"/>
        </w:rPr>
        <w:t>2025</w:t>
      </w:r>
      <w:r>
        <w:rPr>
          <w:rFonts w:hint="eastAsia" w:cs="宋体"/>
          <w:sz w:val="28"/>
          <w:szCs w:val="28"/>
          <w:highlight w:val="yellow"/>
        </w:rPr>
        <w:t>年</w:t>
      </w:r>
      <w:r>
        <w:rPr>
          <w:rFonts w:hint="eastAsia" w:cs="宋体"/>
          <w:sz w:val="28"/>
          <w:szCs w:val="28"/>
          <w:highlight w:val="yellow"/>
          <w:u w:val="single"/>
        </w:rPr>
        <w:t>5</w:t>
      </w:r>
      <w:r>
        <w:rPr>
          <w:rFonts w:hint="eastAsia" w:cs="宋体"/>
          <w:sz w:val="28"/>
          <w:szCs w:val="28"/>
          <w:highlight w:val="yellow"/>
        </w:rPr>
        <w:t>月</w:t>
      </w:r>
      <w:r>
        <w:rPr>
          <w:rFonts w:hint="eastAsia" w:cs="宋体"/>
          <w:sz w:val="28"/>
          <w:szCs w:val="28"/>
          <w:highlight w:val="yellow"/>
          <w:u w:val="single"/>
        </w:rPr>
        <w:t>29</w:t>
      </w:r>
      <w:r>
        <w:rPr>
          <w:rFonts w:hint="eastAsia" w:cs="宋体"/>
          <w:sz w:val="28"/>
          <w:szCs w:val="28"/>
          <w:highlight w:val="yellow"/>
        </w:rPr>
        <w:t>日</w:t>
      </w:r>
      <w:r>
        <w:rPr>
          <w:rFonts w:hint="eastAsia" w:cs="宋体"/>
          <w:sz w:val="28"/>
          <w:szCs w:val="28"/>
          <w:highlight w:val="yellow"/>
          <w:u w:val="single"/>
        </w:rPr>
        <w:t>16</w:t>
      </w:r>
      <w:r>
        <w:rPr>
          <w:rFonts w:hint="eastAsia" w:cs="宋体"/>
          <w:sz w:val="28"/>
          <w:szCs w:val="28"/>
          <w:highlight w:val="yellow"/>
        </w:rPr>
        <w:t>时</w:t>
      </w:r>
      <w:r>
        <w:rPr>
          <w:rFonts w:hint="eastAsia" w:cs="宋体"/>
          <w:sz w:val="28"/>
          <w:szCs w:val="28"/>
          <w:highlight w:val="yellow"/>
          <w:u w:val="single"/>
        </w:rPr>
        <w:t>30</w:t>
      </w:r>
      <w:r>
        <w:rPr>
          <w:rFonts w:hint="eastAsia" w:cs="宋体"/>
          <w:sz w:val="28"/>
          <w:szCs w:val="28"/>
          <w:highlight w:val="yellow"/>
        </w:rPr>
        <w:t>分止</w:t>
      </w:r>
      <w:r>
        <w:rPr>
          <w:rFonts w:hint="eastAsia" w:cs="宋体"/>
          <w:sz w:val="28"/>
          <w:szCs w:val="28"/>
        </w:rPr>
        <w:t>（北京时间）在</w:t>
      </w:r>
      <w:r>
        <w:rPr>
          <w:rFonts w:hint="eastAsia"/>
          <w:bCs/>
          <w:sz w:val="28"/>
          <w:szCs w:val="32"/>
          <w:u w:val="single"/>
        </w:rPr>
        <w:t>辽宁省公共资源交易一张网电子化平台</w:t>
      </w:r>
      <w:r>
        <w:rPr>
          <w:bCs/>
          <w:sz w:val="28"/>
          <w:szCs w:val="32"/>
        </w:rPr>
        <w:t>（网址：</w:t>
      </w:r>
      <w:r>
        <w:rPr>
          <w:rFonts w:hint="eastAsia"/>
          <w:bCs/>
          <w:sz w:val="28"/>
          <w:szCs w:val="32"/>
          <w:u w:val="single"/>
        </w:rPr>
        <w:t>https://www.lnsggzy.com/EpointSSO/login/oauth2login</w:t>
      </w:r>
      <w:r>
        <w:rPr>
          <w:bCs/>
          <w:sz w:val="28"/>
          <w:szCs w:val="32"/>
        </w:rPr>
        <w:t>）上下载获取招标文件、</w:t>
      </w:r>
      <w:r>
        <w:rPr>
          <w:rFonts w:hint="eastAsia"/>
          <w:bCs/>
          <w:sz w:val="28"/>
          <w:szCs w:val="32"/>
        </w:rPr>
        <w:t>招标</w:t>
      </w:r>
      <w:r>
        <w:rPr>
          <w:bCs/>
          <w:sz w:val="28"/>
          <w:szCs w:val="32"/>
        </w:rPr>
        <w:t>图纸</w:t>
      </w:r>
      <w:r>
        <w:rPr>
          <w:rFonts w:hint="eastAsia"/>
          <w:bCs/>
          <w:sz w:val="28"/>
          <w:szCs w:val="32"/>
        </w:rPr>
        <w:t>等招标资料</w:t>
      </w:r>
      <w:r>
        <w:rPr>
          <w:bCs/>
          <w:sz w:val="28"/>
          <w:szCs w:val="32"/>
        </w:rPr>
        <w:t>。</w:t>
      </w:r>
    </w:p>
    <w:p w14:paraId="22499DA2">
      <w:pPr>
        <w:pStyle w:val="15"/>
        <w:wordWrap w:val="0"/>
        <w:snapToGrid w:val="0"/>
        <w:spacing w:line="480" w:lineRule="exact"/>
        <w:ind w:firstLine="560" w:firstLineChars="200"/>
        <w:rPr>
          <w:rFonts w:cs="宋体"/>
          <w:sz w:val="28"/>
          <w:szCs w:val="28"/>
        </w:rPr>
      </w:pPr>
      <w:r>
        <w:rPr>
          <w:rFonts w:hint="eastAsia" w:cs="宋体"/>
          <w:sz w:val="28"/>
          <w:szCs w:val="28"/>
        </w:rPr>
        <w:t>5.2 招标人对招标文件的修改、澄清答疑采用在</w:t>
      </w:r>
      <w:r>
        <w:rPr>
          <w:rFonts w:hint="eastAsia"/>
          <w:bCs/>
          <w:sz w:val="28"/>
          <w:szCs w:val="32"/>
          <w:u w:val="single"/>
        </w:rPr>
        <w:t>辽宁省公共资源交易一张网电子化平台</w:t>
      </w:r>
      <w:r>
        <w:rPr>
          <w:bCs/>
          <w:sz w:val="28"/>
          <w:szCs w:val="32"/>
        </w:rPr>
        <w:t>网址：</w:t>
      </w:r>
      <w:r>
        <w:rPr>
          <w:rFonts w:hint="eastAsia"/>
          <w:bCs/>
          <w:sz w:val="28"/>
          <w:szCs w:val="32"/>
          <w:u w:val="single"/>
        </w:rPr>
        <w:t>https://www.lnsggzy.com/EpointSSO/login/oauth2login</w:t>
      </w:r>
      <w:r>
        <w:rPr>
          <w:bCs/>
          <w:sz w:val="28"/>
          <w:szCs w:val="32"/>
        </w:rPr>
        <w:t>）</w:t>
      </w:r>
      <w:r>
        <w:rPr>
          <w:rFonts w:hint="eastAsia" w:cs="宋体"/>
          <w:sz w:val="28"/>
          <w:szCs w:val="28"/>
        </w:rPr>
        <w:t>上发布，投标人在交易平台中自行下载。</w:t>
      </w:r>
    </w:p>
    <w:p w14:paraId="7D3125CA">
      <w:pPr>
        <w:pStyle w:val="3"/>
        <w:keepNext w:val="0"/>
        <w:keepLines w:val="0"/>
        <w:widowControl w:val="0"/>
        <w:adjustRightInd w:val="0"/>
        <w:snapToGrid w:val="0"/>
        <w:spacing w:line="480" w:lineRule="exact"/>
        <w:ind w:left="0" w:right="0" w:firstLine="562" w:firstLineChars="200"/>
        <w:jc w:val="both"/>
        <w:rPr>
          <w:rFonts w:ascii="Times New Roman" w:hAnsi="Times New Roman" w:cs="宋体"/>
          <w:color w:val="auto"/>
          <w:szCs w:val="28"/>
        </w:rPr>
      </w:pPr>
      <w:bookmarkStart w:id="43" w:name="_Toc21223"/>
      <w:r>
        <w:rPr>
          <w:rFonts w:hint="eastAsia" w:ascii="Times New Roman" w:hAnsi="Times New Roman" w:cs="宋体"/>
          <w:color w:val="auto"/>
          <w:szCs w:val="28"/>
        </w:rPr>
        <w:t>6.投标文件的递交</w:t>
      </w:r>
      <w:bookmarkEnd w:id="43"/>
    </w:p>
    <w:p w14:paraId="6183C3B2">
      <w:pPr>
        <w:pStyle w:val="15"/>
        <w:snapToGrid w:val="0"/>
        <w:spacing w:line="480" w:lineRule="exact"/>
        <w:ind w:firstLine="560" w:firstLineChars="200"/>
        <w:rPr>
          <w:rFonts w:cs="宋体"/>
          <w:bCs/>
          <w:sz w:val="28"/>
          <w:szCs w:val="28"/>
        </w:rPr>
      </w:pPr>
      <w:r>
        <w:rPr>
          <w:rFonts w:hint="eastAsia" w:cs="宋体"/>
          <w:bCs/>
          <w:sz w:val="28"/>
          <w:szCs w:val="28"/>
        </w:rPr>
        <w:t>6.1投标文件递交截止时间（投标截止时间，下同）为</w:t>
      </w:r>
      <w:r>
        <w:rPr>
          <w:rFonts w:hint="eastAsia" w:cs="宋体"/>
          <w:bCs/>
          <w:sz w:val="28"/>
          <w:szCs w:val="28"/>
          <w:highlight w:val="yellow"/>
          <w:u w:val="single"/>
        </w:rPr>
        <w:t>2025</w:t>
      </w:r>
      <w:r>
        <w:rPr>
          <w:rFonts w:hint="eastAsia" w:cs="宋体"/>
          <w:bCs/>
          <w:sz w:val="28"/>
          <w:szCs w:val="28"/>
          <w:highlight w:val="yellow"/>
        </w:rPr>
        <w:t>年</w:t>
      </w:r>
      <w:r>
        <w:rPr>
          <w:rFonts w:hint="eastAsia" w:cs="宋体"/>
          <w:bCs/>
          <w:sz w:val="28"/>
          <w:szCs w:val="28"/>
          <w:highlight w:val="yellow"/>
          <w:u w:val="single"/>
        </w:rPr>
        <w:t>6</w:t>
      </w:r>
      <w:r>
        <w:rPr>
          <w:rFonts w:hint="eastAsia" w:cs="宋体"/>
          <w:bCs/>
          <w:sz w:val="28"/>
          <w:szCs w:val="28"/>
          <w:highlight w:val="yellow"/>
        </w:rPr>
        <w:t>月</w:t>
      </w:r>
      <w:r>
        <w:rPr>
          <w:rFonts w:hint="eastAsia" w:cs="宋体"/>
          <w:bCs/>
          <w:sz w:val="28"/>
          <w:szCs w:val="28"/>
          <w:highlight w:val="yellow"/>
          <w:u w:val="single"/>
        </w:rPr>
        <w:t>13</w:t>
      </w:r>
      <w:r>
        <w:rPr>
          <w:rFonts w:hint="eastAsia" w:cs="宋体"/>
          <w:bCs/>
          <w:sz w:val="28"/>
          <w:szCs w:val="28"/>
          <w:highlight w:val="yellow"/>
        </w:rPr>
        <w:t>日</w:t>
      </w:r>
      <w:r>
        <w:rPr>
          <w:rFonts w:hint="eastAsia" w:cs="宋体"/>
          <w:bCs/>
          <w:sz w:val="28"/>
          <w:szCs w:val="28"/>
          <w:highlight w:val="yellow"/>
          <w:u w:val="single"/>
        </w:rPr>
        <w:t>09</w:t>
      </w:r>
      <w:r>
        <w:rPr>
          <w:rFonts w:hint="eastAsia" w:cs="宋体"/>
          <w:bCs/>
          <w:sz w:val="28"/>
          <w:szCs w:val="28"/>
          <w:highlight w:val="yellow"/>
        </w:rPr>
        <w:t>时</w:t>
      </w:r>
      <w:r>
        <w:rPr>
          <w:rFonts w:hint="eastAsia" w:cs="宋体"/>
          <w:bCs/>
          <w:sz w:val="28"/>
          <w:szCs w:val="28"/>
          <w:highlight w:val="yellow"/>
          <w:u w:val="single"/>
        </w:rPr>
        <w:t>30</w:t>
      </w:r>
      <w:r>
        <w:rPr>
          <w:rFonts w:hint="eastAsia" w:cs="宋体"/>
          <w:bCs/>
          <w:sz w:val="28"/>
          <w:szCs w:val="28"/>
          <w:highlight w:val="yellow"/>
        </w:rPr>
        <w:t>分</w:t>
      </w:r>
      <w:r>
        <w:rPr>
          <w:rFonts w:hint="eastAsia" w:cs="宋体"/>
          <w:bCs/>
          <w:sz w:val="28"/>
          <w:szCs w:val="28"/>
        </w:rPr>
        <w:t>，投标人应在投标截止时间前通过</w:t>
      </w:r>
      <w:r>
        <w:rPr>
          <w:rFonts w:hint="eastAsia" w:cs="宋体"/>
          <w:bCs/>
          <w:sz w:val="28"/>
          <w:szCs w:val="28"/>
          <w:u w:val="single"/>
        </w:rPr>
        <w:t>辽宁省公共资源交易一张网电子化平台</w:t>
      </w:r>
      <w:r>
        <w:rPr>
          <w:rFonts w:hint="eastAsia" w:cs="宋体"/>
          <w:bCs/>
          <w:sz w:val="28"/>
          <w:szCs w:val="28"/>
        </w:rPr>
        <w:t>（网址：</w:t>
      </w:r>
      <w:r>
        <w:rPr>
          <w:rFonts w:hint="eastAsia" w:cs="宋体"/>
          <w:bCs/>
          <w:sz w:val="28"/>
          <w:szCs w:val="28"/>
          <w:u w:val="single"/>
        </w:rPr>
        <w:t>https://www.lnsggzy.com/EpointSSO/login/oauth2login</w:t>
      </w:r>
      <w:r>
        <w:rPr>
          <w:rFonts w:hint="eastAsia" w:cs="宋体"/>
          <w:bCs/>
          <w:sz w:val="28"/>
          <w:szCs w:val="28"/>
        </w:rPr>
        <w:t>）在线递交投标文件。</w:t>
      </w:r>
    </w:p>
    <w:p w14:paraId="16F773AF">
      <w:pPr>
        <w:pStyle w:val="15"/>
        <w:snapToGrid w:val="0"/>
        <w:spacing w:line="480" w:lineRule="exact"/>
        <w:ind w:firstLine="560" w:firstLineChars="200"/>
        <w:rPr>
          <w:rFonts w:cs="宋体"/>
          <w:bCs/>
          <w:sz w:val="28"/>
          <w:szCs w:val="28"/>
        </w:rPr>
      </w:pPr>
      <w:r>
        <w:rPr>
          <w:rFonts w:hint="eastAsia" w:cs="宋体"/>
          <w:bCs/>
          <w:sz w:val="28"/>
          <w:szCs w:val="28"/>
        </w:rPr>
        <w:t>6.2投标截止时间前未完成投标文件传输递交，视为撤回投标文件。</w:t>
      </w:r>
    </w:p>
    <w:p w14:paraId="2E1DC942">
      <w:pPr>
        <w:pStyle w:val="15"/>
        <w:snapToGrid w:val="0"/>
        <w:spacing w:line="480" w:lineRule="exact"/>
        <w:ind w:firstLine="560" w:firstLineChars="200"/>
        <w:rPr>
          <w:rFonts w:cs="宋体"/>
          <w:bCs/>
          <w:sz w:val="28"/>
          <w:szCs w:val="28"/>
          <w:u w:val="single"/>
        </w:rPr>
      </w:pPr>
      <w:r>
        <w:rPr>
          <w:rFonts w:hint="eastAsia" w:cs="宋体"/>
          <w:bCs/>
          <w:sz w:val="28"/>
          <w:szCs w:val="28"/>
        </w:rPr>
        <w:t>6.3开标时间：</w:t>
      </w:r>
      <w:r>
        <w:rPr>
          <w:rFonts w:hint="eastAsia" w:cs="宋体"/>
          <w:bCs/>
          <w:sz w:val="28"/>
          <w:szCs w:val="28"/>
          <w:highlight w:val="yellow"/>
          <w:u w:val="single"/>
        </w:rPr>
        <w:t>2025</w:t>
      </w:r>
      <w:r>
        <w:rPr>
          <w:rFonts w:hint="eastAsia" w:cs="宋体"/>
          <w:bCs/>
          <w:sz w:val="28"/>
          <w:szCs w:val="28"/>
          <w:highlight w:val="yellow"/>
        </w:rPr>
        <w:t>年</w:t>
      </w:r>
      <w:r>
        <w:rPr>
          <w:rFonts w:hint="eastAsia" w:cs="宋体"/>
          <w:bCs/>
          <w:sz w:val="28"/>
          <w:szCs w:val="28"/>
          <w:highlight w:val="yellow"/>
          <w:u w:val="single"/>
        </w:rPr>
        <w:t>6</w:t>
      </w:r>
      <w:r>
        <w:rPr>
          <w:rFonts w:hint="eastAsia" w:cs="宋体"/>
          <w:bCs/>
          <w:sz w:val="28"/>
          <w:szCs w:val="28"/>
          <w:highlight w:val="yellow"/>
        </w:rPr>
        <w:t>月</w:t>
      </w:r>
      <w:r>
        <w:rPr>
          <w:rFonts w:hint="eastAsia" w:cs="宋体"/>
          <w:bCs/>
          <w:sz w:val="28"/>
          <w:szCs w:val="28"/>
          <w:highlight w:val="yellow"/>
          <w:u w:val="single"/>
        </w:rPr>
        <w:t>13</w:t>
      </w:r>
      <w:r>
        <w:rPr>
          <w:rFonts w:hint="eastAsia" w:cs="宋体"/>
          <w:bCs/>
          <w:sz w:val="28"/>
          <w:szCs w:val="28"/>
          <w:highlight w:val="yellow"/>
        </w:rPr>
        <w:t>日</w:t>
      </w:r>
      <w:r>
        <w:rPr>
          <w:rFonts w:hint="eastAsia" w:cs="宋体"/>
          <w:bCs/>
          <w:sz w:val="28"/>
          <w:szCs w:val="28"/>
          <w:highlight w:val="yellow"/>
          <w:u w:val="single"/>
        </w:rPr>
        <w:t>09</w:t>
      </w:r>
      <w:r>
        <w:rPr>
          <w:rFonts w:hint="eastAsia" w:cs="宋体"/>
          <w:bCs/>
          <w:sz w:val="28"/>
          <w:szCs w:val="28"/>
          <w:highlight w:val="yellow"/>
        </w:rPr>
        <w:t>时</w:t>
      </w:r>
      <w:r>
        <w:rPr>
          <w:rFonts w:hint="eastAsia" w:cs="宋体"/>
          <w:bCs/>
          <w:sz w:val="28"/>
          <w:szCs w:val="28"/>
          <w:highlight w:val="yellow"/>
          <w:u w:val="single"/>
        </w:rPr>
        <w:t>30</w:t>
      </w:r>
      <w:r>
        <w:rPr>
          <w:rFonts w:hint="eastAsia" w:cs="宋体"/>
          <w:bCs/>
          <w:sz w:val="28"/>
          <w:szCs w:val="28"/>
          <w:highlight w:val="yellow"/>
        </w:rPr>
        <w:t>分</w:t>
      </w:r>
      <w:r>
        <w:rPr>
          <w:rFonts w:hint="eastAsia" w:cs="宋体"/>
          <w:bCs/>
          <w:sz w:val="28"/>
          <w:szCs w:val="28"/>
        </w:rPr>
        <w:t>。</w:t>
      </w:r>
    </w:p>
    <w:p w14:paraId="47BEA3CC">
      <w:pPr>
        <w:pStyle w:val="15"/>
        <w:snapToGrid w:val="0"/>
        <w:spacing w:line="480" w:lineRule="exact"/>
        <w:ind w:firstLine="560" w:firstLineChars="200"/>
        <w:rPr>
          <w:rFonts w:cs="宋体"/>
          <w:bCs/>
          <w:sz w:val="28"/>
          <w:szCs w:val="28"/>
        </w:rPr>
      </w:pPr>
      <w:r>
        <w:rPr>
          <w:rFonts w:hint="eastAsia" w:cs="宋体"/>
          <w:bCs/>
          <w:sz w:val="28"/>
          <w:szCs w:val="28"/>
        </w:rPr>
        <w:t>6.4开标方式：不见面开标。</w:t>
      </w:r>
    </w:p>
    <w:p w14:paraId="779E9323">
      <w:pPr>
        <w:pStyle w:val="15"/>
        <w:wordWrap w:val="0"/>
        <w:snapToGrid w:val="0"/>
        <w:spacing w:line="480" w:lineRule="exact"/>
        <w:ind w:firstLine="560" w:firstLineChars="200"/>
        <w:jc w:val="left"/>
        <w:rPr>
          <w:rFonts w:cs="宋体"/>
          <w:bCs/>
          <w:sz w:val="28"/>
          <w:szCs w:val="28"/>
        </w:rPr>
      </w:pPr>
      <w:r>
        <w:rPr>
          <w:rFonts w:hint="eastAsia" w:cs="宋体"/>
          <w:bCs/>
          <w:sz w:val="28"/>
          <w:szCs w:val="28"/>
        </w:rPr>
        <w:t>6.5开标说明：投标人请按招标文件规定时间登录</w:t>
      </w:r>
      <w:r>
        <w:rPr>
          <w:rFonts w:hint="eastAsia" w:cs="宋体"/>
          <w:bCs/>
          <w:sz w:val="28"/>
          <w:szCs w:val="28"/>
          <w:u w:val="single"/>
        </w:rPr>
        <w:t>不见面交易系统</w:t>
      </w:r>
      <w:r>
        <w:rPr>
          <w:rFonts w:hint="eastAsia" w:cs="宋体"/>
          <w:bCs/>
          <w:sz w:val="28"/>
          <w:szCs w:val="28"/>
        </w:rPr>
        <w:t xml:space="preserve"> （网址：</w:t>
      </w:r>
      <w:r>
        <w:rPr>
          <w:rFonts w:hint="eastAsia" w:cs="宋体"/>
          <w:bCs/>
          <w:sz w:val="28"/>
          <w:szCs w:val="28"/>
          <w:u w:val="single"/>
        </w:rPr>
        <w:t>https://www.lnsggzy.com/BidOpeningHall/bidhall/dqliaoning/login</w:t>
      </w:r>
      <w:r>
        <w:rPr>
          <w:rFonts w:hint="eastAsia" w:cs="宋体"/>
          <w:bCs/>
          <w:sz w:val="28"/>
          <w:szCs w:val="28"/>
        </w:rPr>
        <w:t>）进行远程在线解密。</w:t>
      </w:r>
    </w:p>
    <w:p w14:paraId="197F913D">
      <w:pPr>
        <w:pStyle w:val="15"/>
        <w:snapToGrid w:val="0"/>
        <w:spacing w:line="480" w:lineRule="exact"/>
        <w:ind w:firstLine="560" w:firstLineChars="200"/>
        <w:rPr>
          <w:rFonts w:cs="宋体"/>
          <w:bCs/>
          <w:sz w:val="28"/>
          <w:szCs w:val="28"/>
        </w:rPr>
      </w:pPr>
      <w:r>
        <w:rPr>
          <w:rFonts w:hint="eastAsia" w:cs="宋体"/>
          <w:bCs/>
          <w:sz w:val="28"/>
          <w:szCs w:val="28"/>
        </w:rPr>
        <w:t>6.6其他：</w:t>
      </w:r>
      <w:r>
        <w:rPr>
          <w:rFonts w:hint="eastAsia" w:cs="宋体"/>
          <w:bCs/>
          <w:sz w:val="28"/>
          <w:szCs w:val="28"/>
          <w:u w:val="single"/>
        </w:rPr>
        <w:t>电子投标文件在辽宁省公共资源交易网http://ggzy.ln.gov.cn/指定栏目上传投标文件采用远程解密、远程直播开标。开标网址：https://www.lnsggzy.com/BidOpeningHall/bidhall/dqliaoning/login。投标文件需要用实体CA数字证书或移动CA数字证书生成上传。解密时限为递交投标文件截止时间起30分钟内（因开标系统发生不可抗力产生延误解密时间的，招标人将延长相应的解密时长，其他原因不予延长解密时间），登录交易系统进入所投开标项目，使用CA数字证书解密。未在规定时间内完成解密的投标人，视为放弃本次投标，招标人不再接收</w:t>
      </w:r>
      <w:r>
        <w:rPr>
          <w:rFonts w:hint="eastAsia" w:cs="宋体"/>
          <w:bCs/>
          <w:sz w:val="28"/>
          <w:szCs w:val="28"/>
        </w:rPr>
        <w:t>。</w:t>
      </w:r>
    </w:p>
    <w:p w14:paraId="4DF39DD0">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44" w:name="_Toc56792751"/>
      <w:bookmarkStart w:id="45" w:name="_Toc38287096"/>
      <w:bookmarkStart w:id="46" w:name="_Toc40274973"/>
      <w:bookmarkStart w:id="47" w:name="_Toc26860"/>
      <w:bookmarkStart w:id="48" w:name="_Toc20174"/>
      <w:bookmarkStart w:id="49" w:name="_Toc26225"/>
      <w:bookmarkStart w:id="50" w:name="_Toc32367"/>
      <w:bookmarkStart w:id="51" w:name="_Toc28154"/>
      <w:r>
        <w:rPr>
          <w:rFonts w:hint="eastAsia" w:ascii="Times New Roman" w:hAnsi="Times New Roman" w:cs="宋体"/>
          <w:b w:val="0"/>
          <w:color w:val="auto"/>
          <w:szCs w:val="28"/>
        </w:rPr>
        <w:t>7</w:t>
      </w:r>
      <w:r>
        <w:rPr>
          <w:rFonts w:hint="eastAsia" w:ascii="Times New Roman" w:hAnsi="Times New Roman" w:cs="宋体"/>
          <w:color w:val="auto"/>
          <w:szCs w:val="28"/>
        </w:rPr>
        <w:t>.</w:t>
      </w:r>
      <w:r>
        <w:rPr>
          <w:rFonts w:hint="eastAsia" w:ascii="Times New Roman" w:hAnsi="Times New Roman" w:cs="宋体"/>
          <w:b w:val="0"/>
          <w:color w:val="auto"/>
          <w:szCs w:val="28"/>
        </w:rPr>
        <w:t>资格审查与评标办法</w:t>
      </w:r>
      <w:bookmarkEnd w:id="44"/>
      <w:bookmarkEnd w:id="45"/>
      <w:bookmarkEnd w:id="46"/>
      <w:bookmarkEnd w:id="47"/>
      <w:bookmarkEnd w:id="48"/>
      <w:bookmarkEnd w:id="49"/>
      <w:bookmarkEnd w:id="50"/>
      <w:bookmarkEnd w:id="51"/>
      <w:r>
        <w:rPr>
          <w:rFonts w:hint="eastAsia" w:ascii="Times New Roman" w:hAnsi="Times New Roman" w:cs="宋体"/>
          <w:b w:val="0"/>
          <w:color w:val="auto"/>
          <w:szCs w:val="28"/>
        </w:rPr>
        <w:t xml:space="preserve"> </w:t>
      </w:r>
    </w:p>
    <w:p w14:paraId="15FA0770">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7.1 本次招标实行资格后审。</w:t>
      </w:r>
    </w:p>
    <w:p w14:paraId="33FC031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7.2本项目评标办法采用</w:t>
      </w:r>
      <w:r>
        <w:rPr>
          <w:rFonts w:hint="eastAsia" w:ascii="Times New Roman" w:hAnsi="Times New Roman" w:eastAsia="宋体" w:cs="宋体"/>
          <w:color w:val="auto"/>
          <w:sz w:val="28"/>
          <w:szCs w:val="28"/>
          <w:u w:val="single"/>
        </w:rPr>
        <w:t>综合评分法</w:t>
      </w:r>
      <w:r>
        <w:rPr>
          <w:rFonts w:hint="eastAsia" w:ascii="Times New Roman" w:hAnsi="Times New Roman" w:eastAsia="宋体" w:cs="宋体"/>
          <w:color w:val="auto"/>
          <w:sz w:val="28"/>
          <w:szCs w:val="28"/>
        </w:rPr>
        <w:t xml:space="preserve"> 。</w:t>
      </w:r>
    </w:p>
    <w:p w14:paraId="66106EE9">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52" w:name="_Toc56792752"/>
      <w:bookmarkStart w:id="53" w:name="_Toc21089"/>
      <w:bookmarkStart w:id="54" w:name="_Toc40274974"/>
      <w:bookmarkStart w:id="55" w:name="_Toc38287098"/>
      <w:bookmarkStart w:id="56" w:name="_Toc31168"/>
      <w:bookmarkStart w:id="57" w:name="_Toc25409"/>
      <w:bookmarkStart w:id="58" w:name="_Toc12521"/>
      <w:bookmarkStart w:id="59" w:name="_Toc5828"/>
      <w:r>
        <w:rPr>
          <w:rFonts w:hint="eastAsia" w:ascii="Times New Roman" w:hAnsi="Times New Roman" w:cs="宋体"/>
          <w:b w:val="0"/>
          <w:color w:val="auto"/>
          <w:szCs w:val="28"/>
        </w:rPr>
        <w:t>8</w:t>
      </w:r>
      <w:r>
        <w:rPr>
          <w:rFonts w:hint="eastAsia" w:ascii="Times New Roman" w:hAnsi="Times New Roman" w:cs="宋体"/>
          <w:color w:val="auto"/>
          <w:szCs w:val="28"/>
        </w:rPr>
        <w:t>.</w:t>
      </w:r>
      <w:r>
        <w:rPr>
          <w:rFonts w:hint="eastAsia" w:ascii="Times New Roman" w:hAnsi="Times New Roman" w:cs="宋体"/>
          <w:b w:val="0"/>
          <w:color w:val="auto"/>
          <w:szCs w:val="28"/>
        </w:rPr>
        <w:t>发布公告的媒介</w:t>
      </w:r>
      <w:bookmarkEnd w:id="52"/>
      <w:bookmarkEnd w:id="53"/>
      <w:bookmarkEnd w:id="54"/>
      <w:bookmarkEnd w:id="55"/>
      <w:bookmarkEnd w:id="56"/>
      <w:bookmarkEnd w:id="57"/>
      <w:bookmarkEnd w:id="58"/>
      <w:bookmarkEnd w:id="59"/>
    </w:p>
    <w:p w14:paraId="1F7BD8C2">
      <w:pPr>
        <w:widowControl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本次招标公告同时在</w:t>
      </w:r>
      <w:r>
        <w:rPr>
          <w:rFonts w:hint="eastAsia" w:ascii="Times New Roman" w:hAnsi="Times New Roman" w:eastAsia="宋体" w:cs="宋体"/>
          <w:color w:val="auto"/>
          <w:sz w:val="28"/>
          <w:szCs w:val="28"/>
          <w:u w:val="single"/>
        </w:rPr>
        <w:t>辽宁省招标投标监管网、辽宁省公共资源交易网</w:t>
      </w:r>
      <w:r>
        <w:rPr>
          <w:rFonts w:hint="eastAsia" w:ascii="Times New Roman" w:hAnsi="Times New Roman" w:eastAsia="宋体" w:cs="宋体"/>
          <w:color w:val="auto"/>
          <w:sz w:val="28"/>
          <w:szCs w:val="28"/>
        </w:rPr>
        <w:t>（发布公告的媒介名称）上发布。</w:t>
      </w:r>
    </w:p>
    <w:p w14:paraId="6D374478">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60" w:name="_Toc56792753"/>
      <w:bookmarkStart w:id="61" w:name="_Toc38287099"/>
      <w:bookmarkStart w:id="62" w:name="_Toc15983"/>
      <w:bookmarkStart w:id="63" w:name="_Toc17509"/>
      <w:bookmarkStart w:id="64" w:name="_Toc40274975"/>
      <w:bookmarkStart w:id="65" w:name="_Toc17056"/>
      <w:bookmarkStart w:id="66" w:name="_Toc2743"/>
      <w:bookmarkStart w:id="67" w:name="_Toc23730"/>
      <w:r>
        <w:rPr>
          <w:rFonts w:hint="eastAsia" w:ascii="Times New Roman" w:hAnsi="Times New Roman" w:cs="宋体"/>
          <w:b w:val="0"/>
          <w:color w:val="auto"/>
          <w:szCs w:val="28"/>
        </w:rPr>
        <w:t>9</w:t>
      </w:r>
      <w:r>
        <w:rPr>
          <w:rFonts w:hint="eastAsia" w:ascii="Times New Roman" w:hAnsi="Times New Roman" w:cs="宋体"/>
          <w:color w:val="auto"/>
          <w:szCs w:val="28"/>
        </w:rPr>
        <w:t>.</w:t>
      </w:r>
      <w:r>
        <w:rPr>
          <w:rFonts w:hint="eastAsia" w:ascii="Times New Roman" w:hAnsi="Times New Roman" w:cs="宋体"/>
          <w:b w:val="0"/>
          <w:color w:val="auto"/>
          <w:szCs w:val="28"/>
        </w:rPr>
        <w:t>行政监督</w:t>
      </w:r>
      <w:bookmarkEnd w:id="60"/>
      <w:bookmarkEnd w:id="61"/>
      <w:bookmarkEnd w:id="62"/>
      <w:bookmarkEnd w:id="63"/>
      <w:bookmarkEnd w:id="64"/>
      <w:bookmarkEnd w:id="65"/>
      <w:bookmarkEnd w:id="66"/>
      <w:bookmarkEnd w:id="67"/>
    </w:p>
    <w:p w14:paraId="7C4AA00F">
      <w:pPr>
        <w:pStyle w:val="15"/>
        <w:adjustRightInd w:val="0"/>
        <w:snapToGrid w:val="0"/>
        <w:spacing w:line="480" w:lineRule="exact"/>
        <w:ind w:firstLine="560" w:firstLineChars="200"/>
        <w:rPr>
          <w:rFonts w:cs="宋体"/>
          <w:sz w:val="28"/>
          <w:szCs w:val="28"/>
        </w:rPr>
      </w:pPr>
      <w:r>
        <w:rPr>
          <w:rFonts w:hint="eastAsia" w:cs="宋体"/>
          <w:sz w:val="28"/>
          <w:szCs w:val="28"/>
        </w:rPr>
        <w:t>本次招标行政监督部门为</w:t>
      </w:r>
      <w:r>
        <w:rPr>
          <w:rFonts w:hint="eastAsia" w:cs="宋体"/>
          <w:sz w:val="28"/>
          <w:szCs w:val="28"/>
          <w:u w:val="single"/>
        </w:rPr>
        <w:t>大石桥市水利局</w:t>
      </w:r>
      <w:r>
        <w:rPr>
          <w:rFonts w:hint="eastAsia" w:cs="宋体"/>
          <w:sz w:val="28"/>
          <w:szCs w:val="28"/>
        </w:rPr>
        <w:t>，办公电话：</w:t>
      </w:r>
      <w:r>
        <w:rPr>
          <w:rFonts w:hint="eastAsia" w:cs="宋体"/>
          <w:sz w:val="28"/>
          <w:szCs w:val="28"/>
          <w:u w:val="single"/>
        </w:rPr>
        <w:t>0417-5813639</w:t>
      </w:r>
      <w:r>
        <w:rPr>
          <w:rFonts w:hint="eastAsia" w:cs="宋体"/>
          <w:sz w:val="28"/>
          <w:szCs w:val="28"/>
        </w:rPr>
        <w:t>。</w:t>
      </w:r>
    </w:p>
    <w:p w14:paraId="55EB5203">
      <w:pPr>
        <w:pStyle w:val="3"/>
        <w:keepNext w:val="0"/>
        <w:keepLines w:val="0"/>
        <w:widowControl w:val="0"/>
        <w:numPr>
          <w:ilvl w:val="0"/>
          <w:numId w:val="1"/>
        </w:numPr>
        <w:adjustRightInd w:val="0"/>
        <w:snapToGrid w:val="0"/>
        <w:spacing w:line="480" w:lineRule="exact"/>
        <w:ind w:left="0" w:right="0" w:firstLine="560" w:firstLineChars="200"/>
        <w:jc w:val="both"/>
        <w:rPr>
          <w:rFonts w:ascii="Times New Roman" w:hAnsi="Times New Roman" w:cs="宋体"/>
          <w:color w:val="auto"/>
          <w:szCs w:val="28"/>
        </w:rPr>
      </w:pPr>
      <w:bookmarkStart w:id="68" w:name="_Toc17886"/>
      <w:bookmarkStart w:id="69" w:name="_Toc56792754"/>
      <w:bookmarkStart w:id="70" w:name="_Toc7726"/>
      <w:bookmarkStart w:id="71" w:name="_Toc18284"/>
      <w:bookmarkStart w:id="72" w:name="_Toc32157"/>
      <w:bookmarkStart w:id="73" w:name="_Toc40274976"/>
      <w:bookmarkStart w:id="74" w:name="_Toc38287100"/>
      <w:bookmarkStart w:id="75" w:name="_Toc22102"/>
      <w:r>
        <w:rPr>
          <w:rFonts w:hint="eastAsia" w:ascii="Times New Roman" w:hAnsi="Times New Roman" w:cs="宋体"/>
          <w:b w:val="0"/>
          <w:color w:val="auto"/>
          <w:szCs w:val="28"/>
        </w:rPr>
        <w:t>联系方式</w:t>
      </w:r>
      <w:bookmarkEnd w:id="68"/>
      <w:bookmarkEnd w:id="69"/>
      <w:bookmarkEnd w:id="70"/>
      <w:bookmarkEnd w:id="71"/>
      <w:bookmarkEnd w:id="72"/>
      <w:bookmarkEnd w:id="73"/>
      <w:bookmarkEnd w:id="74"/>
      <w:bookmarkEnd w:id="75"/>
      <w:r>
        <w:rPr>
          <w:rFonts w:hint="eastAsia" w:ascii="Times New Roman" w:hAnsi="Times New Roman" w:cs="宋体"/>
          <w:color w:val="auto"/>
          <w:szCs w:val="28"/>
        </w:rPr>
        <w:t xml:space="preserve"> </w:t>
      </w:r>
    </w:p>
    <w:p w14:paraId="3FB632F4">
      <w:pPr>
        <w:snapToGrid w:val="0"/>
        <w:spacing w:after="0" w:line="480" w:lineRule="exact"/>
        <w:ind w:firstLine="560" w:firstLineChars="200"/>
        <w:rPr>
          <w:rFonts w:ascii="Times New Roman" w:hAnsi="Times New Roman" w:eastAsia="宋体"/>
          <w:color w:val="auto"/>
          <w:sz w:val="28"/>
          <w:szCs w:val="28"/>
        </w:rPr>
      </w:pPr>
      <w:r>
        <w:rPr>
          <w:rFonts w:ascii="Times New Roman" w:hAnsi="Times New Roman" w:eastAsia="宋体"/>
          <w:color w:val="auto"/>
          <w:sz w:val="28"/>
          <w:szCs w:val="28"/>
        </w:rPr>
        <w:t>（1）招标人：</w:t>
      </w:r>
      <w:r>
        <w:rPr>
          <w:rFonts w:hint="eastAsia" w:ascii="Times New Roman" w:hAnsi="Times New Roman" w:eastAsia="宋体"/>
          <w:color w:val="auto"/>
          <w:sz w:val="28"/>
          <w:szCs w:val="28"/>
          <w:u w:val="single"/>
        </w:rPr>
        <w:t>大石桥市清源水务建设有限公司</w:t>
      </w:r>
    </w:p>
    <w:p w14:paraId="4BCD89C4">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地址：</w:t>
      </w:r>
      <w:r>
        <w:rPr>
          <w:rFonts w:hint="eastAsia" w:ascii="Times New Roman" w:hAnsi="Times New Roman" w:eastAsia="宋体"/>
          <w:color w:val="auto"/>
          <w:sz w:val="28"/>
          <w:szCs w:val="28"/>
          <w:u w:val="single"/>
        </w:rPr>
        <w:t>辽宁省营口市大石桥市荣华街8号201室</w:t>
      </w:r>
    </w:p>
    <w:p w14:paraId="272AF6DA">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联系人：</w:t>
      </w:r>
      <w:r>
        <w:rPr>
          <w:rFonts w:hint="eastAsia" w:ascii="Times New Roman" w:hAnsi="Times New Roman" w:eastAsia="宋体"/>
          <w:color w:val="auto"/>
          <w:sz w:val="28"/>
          <w:szCs w:val="28"/>
          <w:u w:val="single"/>
        </w:rPr>
        <w:t>刘先生</w:t>
      </w:r>
    </w:p>
    <w:p w14:paraId="364CCA16">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电话：</w:t>
      </w:r>
      <w:r>
        <w:rPr>
          <w:rFonts w:hint="eastAsia" w:ascii="Times New Roman" w:hAnsi="Times New Roman" w:eastAsia="宋体"/>
          <w:color w:val="auto"/>
          <w:sz w:val="28"/>
          <w:szCs w:val="28"/>
          <w:u w:val="single"/>
        </w:rPr>
        <w:t>0417-5988079</w:t>
      </w:r>
    </w:p>
    <w:p w14:paraId="3AF16D02">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传真：</w:t>
      </w:r>
      <w:r>
        <w:rPr>
          <w:rFonts w:hint="eastAsia" w:ascii="Times New Roman" w:hAnsi="Times New Roman" w:eastAsia="宋体"/>
          <w:color w:val="auto"/>
          <w:sz w:val="28"/>
          <w:szCs w:val="28"/>
          <w:u w:val="single"/>
        </w:rPr>
        <w:t>/</w:t>
      </w:r>
    </w:p>
    <w:p w14:paraId="5AEFB659">
      <w:pPr>
        <w:snapToGrid w:val="0"/>
        <w:spacing w:after="0" w:line="480" w:lineRule="exact"/>
        <w:ind w:firstLine="1120" w:firstLineChars="400"/>
        <w:rPr>
          <w:rFonts w:ascii="Times New Roman" w:hAnsi="Times New Roman" w:eastAsia="宋体"/>
          <w:color w:val="auto"/>
          <w:kern w:val="0"/>
          <w:sz w:val="28"/>
          <w:szCs w:val="28"/>
        </w:rPr>
      </w:pPr>
      <w:r>
        <w:rPr>
          <w:rFonts w:ascii="Times New Roman" w:hAnsi="Times New Roman" w:eastAsia="宋体"/>
          <w:color w:val="auto"/>
          <w:kern w:val="0"/>
          <w:sz w:val="28"/>
          <w:szCs w:val="28"/>
        </w:rPr>
        <w:t>电子邮件：</w:t>
      </w:r>
      <w:r>
        <w:rPr>
          <w:rFonts w:hint="eastAsia" w:ascii="Times New Roman" w:hAnsi="Times New Roman" w:eastAsia="宋体"/>
          <w:color w:val="auto"/>
          <w:kern w:val="0"/>
          <w:sz w:val="28"/>
          <w:szCs w:val="28"/>
          <w:u w:val="single"/>
        </w:rPr>
        <w:t>/</w:t>
      </w:r>
      <w:r>
        <w:rPr>
          <w:rFonts w:ascii="Times New Roman" w:hAnsi="Times New Roman" w:eastAsia="宋体"/>
          <w:color w:val="auto"/>
          <w:kern w:val="0"/>
          <w:sz w:val="28"/>
          <w:szCs w:val="28"/>
        </w:rPr>
        <w:t xml:space="preserve">    </w:t>
      </w:r>
    </w:p>
    <w:p w14:paraId="39335F41">
      <w:pPr>
        <w:snapToGrid w:val="0"/>
        <w:spacing w:after="0" w:line="480" w:lineRule="exact"/>
        <w:ind w:firstLine="560" w:firstLineChars="200"/>
        <w:rPr>
          <w:rFonts w:ascii="Times New Roman" w:hAnsi="Times New Roman" w:eastAsia="宋体"/>
          <w:color w:val="auto"/>
          <w:sz w:val="28"/>
          <w:szCs w:val="28"/>
        </w:rPr>
      </w:pPr>
      <w:r>
        <w:rPr>
          <w:rFonts w:ascii="Times New Roman" w:hAnsi="Times New Roman" w:eastAsia="宋体"/>
          <w:color w:val="auto"/>
          <w:sz w:val="28"/>
          <w:szCs w:val="28"/>
        </w:rPr>
        <w:t>（2）招标代理机构：</w:t>
      </w:r>
      <w:r>
        <w:rPr>
          <w:rFonts w:hint="eastAsia" w:ascii="Times New Roman" w:hAnsi="Times New Roman" w:eastAsia="宋体"/>
          <w:color w:val="auto"/>
          <w:sz w:val="28"/>
          <w:szCs w:val="28"/>
          <w:u w:val="single"/>
        </w:rPr>
        <w:t>中招国际招标有限公司</w:t>
      </w:r>
    </w:p>
    <w:p w14:paraId="02DA222D">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地址：</w:t>
      </w:r>
      <w:r>
        <w:rPr>
          <w:rFonts w:hint="eastAsia" w:ascii="Times New Roman" w:hAnsi="Times New Roman" w:eastAsia="宋体"/>
          <w:color w:val="auto"/>
          <w:sz w:val="28"/>
          <w:szCs w:val="28"/>
          <w:u w:val="single"/>
        </w:rPr>
        <w:t>沈阳市和平区天津南街46号城开中心T3楼2301室</w:t>
      </w:r>
    </w:p>
    <w:p w14:paraId="055DB87F">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联系人：</w:t>
      </w:r>
      <w:r>
        <w:rPr>
          <w:rFonts w:hint="eastAsia" w:ascii="Times New Roman" w:hAnsi="Times New Roman" w:eastAsia="宋体"/>
          <w:color w:val="auto"/>
          <w:sz w:val="28"/>
          <w:szCs w:val="28"/>
          <w:u w:val="single"/>
        </w:rPr>
        <w:t>王惊宇、陈宇飞、马志强</w:t>
      </w:r>
    </w:p>
    <w:p w14:paraId="777B90B1">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电话：</w:t>
      </w:r>
      <w:r>
        <w:rPr>
          <w:rFonts w:hint="eastAsia" w:ascii="Times New Roman" w:hAnsi="Times New Roman" w:eastAsia="宋体"/>
          <w:color w:val="auto"/>
          <w:sz w:val="28"/>
          <w:szCs w:val="28"/>
          <w:u w:val="single"/>
        </w:rPr>
        <w:t>024-31338828、13889106313、13810613858</w:t>
      </w:r>
    </w:p>
    <w:p w14:paraId="5A6ABBBE">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传真：</w:t>
      </w:r>
      <w:r>
        <w:rPr>
          <w:rFonts w:hint="eastAsia" w:ascii="Times New Roman" w:hAnsi="Times New Roman" w:eastAsia="宋体"/>
          <w:color w:val="auto"/>
          <w:sz w:val="28"/>
          <w:szCs w:val="28"/>
          <w:u w:val="single"/>
        </w:rPr>
        <w:t>/</w:t>
      </w:r>
    </w:p>
    <w:p w14:paraId="4BB156D8">
      <w:pPr>
        <w:snapToGrid w:val="0"/>
        <w:spacing w:after="0" w:line="480" w:lineRule="exact"/>
        <w:ind w:firstLine="1120" w:firstLineChars="400"/>
        <w:rPr>
          <w:rFonts w:ascii="Times New Roman" w:hAnsi="Times New Roman" w:eastAsia="宋体"/>
          <w:color w:val="auto"/>
          <w:kern w:val="0"/>
          <w:sz w:val="28"/>
          <w:szCs w:val="28"/>
        </w:rPr>
      </w:pPr>
      <w:r>
        <w:rPr>
          <w:rFonts w:ascii="Times New Roman" w:hAnsi="Times New Roman" w:eastAsia="宋体"/>
          <w:color w:val="auto"/>
          <w:kern w:val="0"/>
          <w:sz w:val="28"/>
          <w:szCs w:val="28"/>
        </w:rPr>
        <w:t>电子邮件：</w:t>
      </w:r>
      <w:r>
        <w:rPr>
          <w:rFonts w:hint="eastAsia" w:ascii="Times New Roman" w:hAnsi="Times New Roman" w:eastAsia="宋体"/>
          <w:color w:val="auto"/>
          <w:kern w:val="0"/>
          <w:sz w:val="28"/>
          <w:szCs w:val="28"/>
          <w:u w:val="single"/>
        </w:rPr>
        <w:t>chenyufei@cntcitc.com.cn</w:t>
      </w:r>
      <w:r>
        <w:rPr>
          <w:rFonts w:ascii="Times New Roman" w:hAnsi="Times New Roman" w:eastAsia="宋体"/>
          <w:color w:val="auto"/>
          <w:kern w:val="0"/>
          <w:sz w:val="28"/>
          <w:szCs w:val="28"/>
        </w:rPr>
        <w:t xml:space="preserve"> </w:t>
      </w:r>
    </w:p>
    <w:p w14:paraId="6D5D68BE">
      <w:pPr>
        <w:spacing w:after="0" w:line="480" w:lineRule="exact"/>
        <w:ind w:firstLine="560" w:firstLineChars="200"/>
        <w:rPr>
          <w:rFonts w:ascii="Times New Roman" w:hAnsi="Times New Roman" w:eastAsia="宋体"/>
          <w:color w:val="auto"/>
          <w:kern w:val="0"/>
          <w:sz w:val="28"/>
          <w:szCs w:val="28"/>
          <w:u w:val="single"/>
        </w:rPr>
      </w:pPr>
      <w:r>
        <w:rPr>
          <w:rFonts w:hint="eastAsia" w:ascii="Times New Roman" w:hAnsi="Times New Roman" w:eastAsia="宋体"/>
          <w:color w:val="auto"/>
          <w:sz w:val="28"/>
          <w:szCs w:val="28"/>
        </w:rPr>
        <w:t>（3）异议处理联系人：王惊宇</w:t>
      </w:r>
    </w:p>
    <w:p w14:paraId="33883DC8">
      <w:pPr>
        <w:spacing w:after="0" w:line="480" w:lineRule="exact"/>
        <w:ind w:firstLine="1120" w:firstLineChars="400"/>
        <w:rPr>
          <w:rFonts w:ascii="Times New Roman" w:hAnsi="Times New Roman" w:eastAsia="宋体"/>
          <w:color w:val="auto"/>
          <w:kern w:val="0"/>
          <w:sz w:val="28"/>
          <w:szCs w:val="28"/>
          <w:u w:val="single"/>
        </w:rPr>
      </w:pPr>
      <w:r>
        <w:rPr>
          <w:rFonts w:hint="eastAsia" w:ascii="Times New Roman" w:hAnsi="Times New Roman" w:eastAsia="宋体"/>
          <w:color w:val="auto"/>
          <w:sz w:val="28"/>
          <w:szCs w:val="28"/>
        </w:rPr>
        <w:t xml:space="preserve">联系方式： </w:t>
      </w:r>
      <w:r>
        <w:rPr>
          <w:rFonts w:hint="eastAsia" w:ascii="Times New Roman" w:hAnsi="Times New Roman" w:eastAsia="宋体"/>
          <w:color w:val="auto"/>
          <w:sz w:val="28"/>
          <w:szCs w:val="28"/>
          <w:u w:val="single"/>
        </w:rPr>
        <w:t>024-31338828、13889106313</w:t>
      </w:r>
    </w:p>
    <w:p w14:paraId="0CB6E5C5">
      <w:pPr>
        <w:spacing w:after="0" w:line="480" w:lineRule="exact"/>
        <w:ind w:firstLine="560" w:firstLineChars="200"/>
        <w:rPr>
          <w:rFonts w:ascii="Times New Roman" w:hAnsi="Times New Roman" w:eastAsia="宋体"/>
          <w:color w:val="auto"/>
          <w:kern w:val="0"/>
          <w:sz w:val="28"/>
          <w:szCs w:val="28"/>
          <w:u w:val="single"/>
        </w:rPr>
      </w:pPr>
      <w:r>
        <w:rPr>
          <w:rFonts w:hint="eastAsia" w:ascii="Times New Roman" w:hAnsi="Times New Roman" w:eastAsia="宋体"/>
          <w:color w:val="auto"/>
          <w:sz w:val="28"/>
          <w:szCs w:val="28"/>
        </w:rPr>
        <w:t>（4）交易平台技术问题联系人：</w:t>
      </w:r>
      <w:r>
        <w:rPr>
          <w:rFonts w:hint="eastAsia" w:ascii="Times New Roman" w:hAnsi="Times New Roman" w:eastAsia="宋体"/>
          <w:color w:val="auto"/>
          <w:kern w:val="0"/>
          <w:sz w:val="28"/>
          <w:szCs w:val="28"/>
          <w:u w:val="single"/>
        </w:rPr>
        <w:t>技术服务</w:t>
      </w:r>
    </w:p>
    <w:p w14:paraId="5F996E50">
      <w:pPr>
        <w:pStyle w:val="5"/>
        <w:ind w:firstLine="560"/>
      </w:pPr>
      <w:r>
        <w:rPr>
          <w:rFonts w:hint="eastAsia"/>
          <w:sz w:val="28"/>
          <w:szCs w:val="32"/>
        </w:rPr>
        <w:t xml:space="preserve">联系方式： </w:t>
      </w:r>
      <w:r>
        <w:rPr>
          <w:rFonts w:hint="eastAsia"/>
          <w:kern w:val="0"/>
          <w:sz w:val="28"/>
          <w:szCs w:val="32"/>
          <w:u w:val="single"/>
        </w:rPr>
        <w:t>400-998-0000</w:t>
      </w:r>
      <w:r>
        <w:rPr>
          <w:rFonts w:hint="eastAsia"/>
          <w:sz w:val="28"/>
          <w:szCs w:val="28"/>
        </w:rPr>
        <w:t xml:space="preserve"> </w:t>
      </w:r>
    </w:p>
    <w:p w14:paraId="1C29D24D">
      <w:pPr>
        <w:widowControl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8"/>
          <w:szCs w:val="28"/>
        </w:rPr>
        <w:br w:type="page"/>
      </w:r>
    </w:p>
    <w:p w14:paraId="0B758248">
      <w:pPr>
        <w:pStyle w:val="2"/>
        <w:keepNext w:val="0"/>
        <w:keepLines w:val="0"/>
        <w:widowControl w:val="0"/>
        <w:adjustRightInd w:val="0"/>
        <w:snapToGrid w:val="0"/>
        <w:spacing w:after="0"/>
        <w:ind w:left="0" w:right="0"/>
        <w:rPr>
          <w:rFonts w:ascii="Times New Roman" w:hAnsi="Times New Roman" w:eastAsia="宋体" w:cs="宋体"/>
          <w:b/>
          <w:bCs/>
          <w:color w:val="auto"/>
          <w:sz w:val="36"/>
        </w:rPr>
      </w:pPr>
      <w:bookmarkStart w:id="76" w:name="_Toc24430"/>
      <w:bookmarkStart w:id="77" w:name="_Toc11532"/>
      <w:bookmarkStart w:id="78" w:name="_Toc24628"/>
      <w:bookmarkStart w:id="79" w:name="_Toc16073"/>
      <w:bookmarkStart w:id="80" w:name="_Toc11759"/>
      <w:bookmarkStart w:id="81" w:name="_Toc56792755"/>
      <w:bookmarkStart w:id="82" w:name="_Toc22349"/>
      <w:r>
        <w:rPr>
          <w:rFonts w:hint="eastAsia" w:ascii="Times New Roman" w:hAnsi="Times New Roman" w:eastAsia="宋体" w:cs="宋体"/>
          <w:b/>
          <w:bCs/>
          <w:color w:val="auto"/>
          <w:sz w:val="36"/>
          <w:szCs w:val="44"/>
        </w:rPr>
        <w:t>第二章  投标人须知</w:t>
      </w:r>
      <w:bookmarkEnd w:id="76"/>
      <w:bookmarkEnd w:id="77"/>
      <w:bookmarkEnd w:id="78"/>
      <w:bookmarkEnd w:id="79"/>
      <w:bookmarkEnd w:id="80"/>
      <w:bookmarkEnd w:id="81"/>
      <w:bookmarkEnd w:id="82"/>
    </w:p>
    <w:p w14:paraId="3613C160">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rPr>
      </w:pPr>
      <w:bookmarkStart w:id="83" w:name="_Toc7683"/>
      <w:bookmarkStart w:id="84" w:name="_Toc16842"/>
      <w:bookmarkStart w:id="85" w:name="_Toc18633"/>
      <w:bookmarkStart w:id="86" w:name="_Toc10746"/>
      <w:bookmarkStart w:id="87" w:name="_Toc15266"/>
      <w:bookmarkStart w:id="88" w:name="_Toc17443"/>
      <w:bookmarkStart w:id="89" w:name="_Toc56792756"/>
      <w:r>
        <w:rPr>
          <w:rFonts w:hint="eastAsia" w:ascii="Times New Roman" w:hAnsi="Times New Roman" w:cs="宋体"/>
          <w:b w:val="0"/>
          <w:bCs/>
          <w:color w:val="auto"/>
        </w:rPr>
        <w:t>投标人须知前附表</w:t>
      </w:r>
      <w:bookmarkEnd w:id="83"/>
      <w:bookmarkEnd w:id="84"/>
      <w:bookmarkEnd w:id="85"/>
      <w:bookmarkEnd w:id="86"/>
      <w:bookmarkEnd w:id="87"/>
      <w:bookmarkEnd w:id="88"/>
      <w:bookmarkEnd w:id="89"/>
    </w:p>
    <w:tbl>
      <w:tblPr>
        <w:tblStyle w:val="17"/>
        <w:tblW w:w="52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85" w:type="dxa"/>
          <w:bottom w:w="57" w:type="dxa"/>
          <w:right w:w="85" w:type="dxa"/>
        </w:tblCellMar>
      </w:tblPr>
      <w:tblGrid>
        <w:gridCol w:w="1059"/>
        <w:gridCol w:w="2434"/>
        <w:gridCol w:w="5331"/>
      </w:tblGrid>
      <w:tr w14:paraId="083CC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tblHeader/>
          <w:jc w:val="center"/>
        </w:trPr>
        <w:tc>
          <w:tcPr>
            <w:tcW w:w="600" w:type="pct"/>
            <w:tcBorders>
              <w:tl2br w:val="nil"/>
              <w:tr2bl w:val="nil"/>
            </w:tcBorders>
            <w:vAlign w:val="center"/>
          </w:tcPr>
          <w:p w14:paraId="2EEE42B6">
            <w:pPr>
              <w:widowControl w:val="0"/>
              <w:adjustRightInd w:val="0"/>
              <w:snapToGrid w:val="0"/>
              <w:spacing w:after="0" w:line="380" w:lineRule="exact"/>
              <w:jc w:val="center"/>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条款号</w:t>
            </w:r>
          </w:p>
        </w:tc>
        <w:tc>
          <w:tcPr>
            <w:tcW w:w="1379" w:type="pct"/>
            <w:tcBorders>
              <w:tl2br w:val="nil"/>
              <w:tr2bl w:val="nil"/>
            </w:tcBorders>
            <w:vAlign w:val="center"/>
          </w:tcPr>
          <w:p w14:paraId="05821ADC">
            <w:pPr>
              <w:widowControl w:val="0"/>
              <w:adjustRightInd w:val="0"/>
              <w:snapToGrid w:val="0"/>
              <w:spacing w:after="0" w:line="380" w:lineRule="exact"/>
              <w:jc w:val="center"/>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条款名称</w:t>
            </w:r>
          </w:p>
        </w:tc>
        <w:tc>
          <w:tcPr>
            <w:tcW w:w="3020" w:type="pct"/>
            <w:tcBorders>
              <w:tl2br w:val="nil"/>
              <w:tr2bl w:val="nil"/>
            </w:tcBorders>
            <w:vAlign w:val="center"/>
          </w:tcPr>
          <w:p w14:paraId="6B4D1C1F">
            <w:pPr>
              <w:widowControl w:val="0"/>
              <w:adjustRightInd w:val="0"/>
              <w:snapToGrid w:val="0"/>
              <w:spacing w:after="0" w:line="380" w:lineRule="exact"/>
              <w:jc w:val="center"/>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编列内容</w:t>
            </w:r>
          </w:p>
        </w:tc>
      </w:tr>
      <w:tr w14:paraId="6D09D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E81E7E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w:t>
            </w:r>
          </w:p>
        </w:tc>
        <w:tc>
          <w:tcPr>
            <w:tcW w:w="1379" w:type="pct"/>
            <w:tcBorders>
              <w:tl2br w:val="nil"/>
              <w:tr2bl w:val="nil"/>
            </w:tcBorders>
            <w:vAlign w:val="center"/>
          </w:tcPr>
          <w:p w14:paraId="78AA0B0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招标人</w:t>
            </w:r>
          </w:p>
        </w:tc>
        <w:tc>
          <w:tcPr>
            <w:tcW w:w="3020" w:type="pct"/>
            <w:tcBorders>
              <w:tl2br w:val="nil"/>
              <w:tr2bl w:val="nil"/>
            </w:tcBorders>
            <w:vAlign w:val="center"/>
          </w:tcPr>
          <w:p w14:paraId="2E757597">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名    称： </w:t>
            </w:r>
            <w:r>
              <w:rPr>
                <w:rFonts w:hint="eastAsia" w:ascii="Times New Roman" w:hAnsi="Times New Roman" w:eastAsia="宋体" w:cs="宋体"/>
                <w:color w:val="auto"/>
                <w:sz w:val="24"/>
                <w:szCs w:val="24"/>
                <w:u w:val="single"/>
              </w:rPr>
              <w:t>大石桥市清源水务建设有限公司</w:t>
            </w:r>
            <w:r>
              <w:rPr>
                <w:rFonts w:hint="eastAsia" w:ascii="Times New Roman" w:hAnsi="Times New Roman" w:eastAsia="宋体" w:cs="宋体"/>
                <w:color w:val="auto"/>
                <w:sz w:val="24"/>
                <w:szCs w:val="24"/>
              </w:rPr>
              <w:t xml:space="preserve">                    </w:t>
            </w:r>
          </w:p>
          <w:p w14:paraId="6B2CF34D">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地    址： </w:t>
            </w:r>
            <w:r>
              <w:rPr>
                <w:rFonts w:hint="eastAsia" w:ascii="Times New Roman" w:hAnsi="Times New Roman" w:eastAsia="宋体" w:cs="宋体"/>
                <w:color w:val="auto"/>
                <w:sz w:val="24"/>
                <w:szCs w:val="24"/>
                <w:u w:val="single"/>
              </w:rPr>
              <w:t>辽宁省营口市大石桥市荣华街8号201室</w:t>
            </w:r>
            <w:r>
              <w:rPr>
                <w:rFonts w:hint="eastAsia" w:ascii="Times New Roman" w:hAnsi="Times New Roman" w:eastAsia="宋体" w:cs="宋体"/>
                <w:color w:val="auto"/>
                <w:sz w:val="24"/>
                <w:szCs w:val="24"/>
              </w:rPr>
              <w:t xml:space="preserve">                    </w:t>
            </w:r>
          </w:p>
          <w:p w14:paraId="367EBBD2">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联 系 人： </w:t>
            </w:r>
            <w:r>
              <w:rPr>
                <w:rFonts w:hint="eastAsia" w:ascii="Times New Roman" w:hAnsi="Times New Roman" w:eastAsia="宋体" w:cs="宋体"/>
                <w:color w:val="auto"/>
                <w:sz w:val="24"/>
                <w:szCs w:val="24"/>
                <w:u w:val="single"/>
              </w:rPr>
              <w:t>刘先生</w:t>
            </w:r>
            <w:r>
              <w:rPr>
                <w:rFonts w:hint="eastAsia" w:ascii="Times New Roman" w:hAnsi="Times New Roman" w:eastAsia="宋体" w:cs="宋体"/>
                <w:color w:val="auto"/>
                <w:sz w:val="24"/>
                <w:szCs w:val="24"/>
              </w:rPr>
              <w:t xml:space="preserve">                     </w:t>
            </w:r>
          </w:p>
          <w:p w14:paraId="36F84207">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电    话： </w:t>
            </w:r>
            <w:r>
              <w:rPr>
                <w:rFonts w:hint="eastAsia" w:ascii="Times New Roman" w:hAnsi="Times New Roman" w:eastAsia="宋体" w:cs="宋体"/>
                <w:color w:val="auto"/>
                <w:sz w:val="24"/>
                <w:szCs w:val="24"/>
                <w:u w:val="single"/>
              </w:rPr>
              <w:t>0417-5988079</w:t>
            </w:r>
            <w:r>
              <w:rPr>
                <w:rFonts w:hint="eastAsia" w:ascii="Times New Roman" w:hAnsi="Times New Roman" w:eastAsia="宋体" w:cs="宋体"/>
                <w:color w:val="auto"/>
                <w:sz w:val="24"/>
                <w:szCs w:val="24"/>
              </w:rPr>
              <w:t xml:space="preserve">                     </w:t>
            </w:r>
          </w:p>
        </w:tc>
      </w:tr>
      <w:tr w14:paraId="75A00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EC1037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w:t>
            </w:r>
          </w:p>
        </w:tc>
        <w:tc>
          <w:tcPr>
            <w:tcW w:w="1379" w:type="pct"/>
            <w:tcBorders>
              <w:tl2br w:val="nil"/>
              <w:tr2bl w:val="nil"/>
            </w:tcBorders>
            <w:vAlign w:val="center"/>
          </w:tcPr>
          <w:p w14:paraId="3DAF0BC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招标代理机构</w:t>
            </w:r>
          </w:p>
        </w:tc>
        <w:tc>
          <w:tcPr>
            <w:tcW w:w="3020" w:type="pct"/>
            <w:tcBorders>
              <w:tl2br w:val="nil"/>
              <w:tr2bl w:val="nil"/>
            </w:tcBorders>
            <w:vAlign w:val="center"/>
          </w:tcPr>
          <w:p w14:paraId="7F62B9EF">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名    称： </w:t>
            </w:r>
            <w:r>
              <w:rPr>
                <w:rFonts w:hint="eastAsia" w:ascii="Times New Roman" w:hAnsi="Times New Roman" w:eastAsia="宋体" w:cs="宋体"/>
                <w:color w:val="auto"/>
                <w:sz w:val="24"/>
                <w:szCs w:val="24"/>
                <w:u w:val="single"/>
              </w:rPr>
              <w:t>中招国际招标有限公司</w:t>
            </w:r>
            <w:r>
              <w:rPr>
                <w:rFonts w:hint="eastAsia" w:ascii="Times New Roman" w:hAnsi="Times New Roman" w:eastAsia="宋体" w:cs="宋体"/>
                <w:color w:val="auto"/>
                <w:sz w:val="24"/>
                <w:szCs w:val="24"/>
              </w:rPr>
              <w:t xml:space="preserve">                    </w:t>
            </w:r>
          </w:p>
          <w:p w14:paraId="09840954">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地    址： </w:t>
            </w:r>
            <w:r>
              <w:rPr>
                <w:rFonts w:hint="eastAsia" w:ascii="Times New Roman" w:hAnsi="Times New Roman" w:eastAsia="宋体" w:cs="宋体"/>
                <w:color w:val="auto"/>
                <w:sz w:val="24"/>
                <w:szCs w:val="24"/>
                <w:u w:val="single"/>
              </w:rPr>
              <w:t>沈阳市和平区天津南街46号城开中心T3楼2301室</w:t>
            </w:r>
            <w:r>
              <w:rPr>
                <w:rFonts w:hint="eastAsia" w:ascii="Times New Roman" w:hAnsi="Times New Roman" w:eastAsia="宋体" w:cs="宋体"/>
                <w:color w:val="auto"/>
                <w:sz w:val="24"/>
                <w:szCs w:val="24"/>
              </w:rPr>
              <w:t xml:space="preserve">                    </w:t>
            </w:r>
          </w:p>
          <w:p w14:paraId="2966869A">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联 系 人： </w:t>
            </w:r>
            <w:r>
              <w:rPr>
                <w:rFonts w:hint="eastAsia" w:ascii="Times New Roman" w:hAnsi="Times New Roman" w:eastAsia="宋体" w:cs="宋体"/>
                <w:color w:val="auto"/>
                <w:sz w:val="24"/>
                <w:szCs w:val="24"/>
                <w:u w:val="single"/>
              </w:rPr>
              <w:t>王惊宇、陈宇飞、马志强</w:t>
            </w:r>
            <w:r>
              <w:rPr>
                <w:rFonts w:hint="eastAsia" w:ascii="Times New Roman" w:hAnsi="Times New Roman" w:eastAsia="宋体" w:cs="宋体"/>
                <w:color w:val="auto"/>
                <w:sz w:val="24"/>
                <w:szCs w:val="24"/>
              </w:rPr>
              <w:t xml:space="preserve">                </w:t>
            </w:r>
          </w:p>
          <w:p w14:paraId="5D46866E">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电    话： </w:t>
            </w:r>
            <w:r>
              <w:rPr>
                <w:rFonts w:hint="eastAsia" w:ascii="Times New Roman" w:hAnsi="Times New Roman" w:eastAsia="宋体" w:cs="宋体"/>
                <w:color w:val="auto"/>
                <w:sz w:val="24"/>
                <w:szCs w:val="24"/>
                <w:u w:val="single"/>
              </w:rPr>
              <w:t>024-31338828、13889106313、13810613858</w:t>
            </w:r>
            <w:r>
              <w:rPr>
                <w:rFonts w:hint="eastAsia" w:ascii="Times New Roman" w:hAnsi="Times New Roman" w:eastAsia="宋体" w:cs="宋体"/>
                <w:color w:val="auto"/>
                <w:sz w:val="24"/>
                <w:szCs w:val="24"/>
              </w:rPr>
              <w:t xml:space="preserve">                          </w:t>
            </w:r>
          </w:p>
        </w:tc>
      </w:tr>
      <w:tr w14:paraId="63E74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restart"/>
            <w:tcBorders>
              <w:tl2br w:val="nil"/>
              <w:tr2bl w:val="nil"/>
            </w:tcBorders>
            <w:vAlign w:val="center"/>
          </w:tcPr>
          <w:p w14:paraId="16DB5FD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w:t>
            </w:r>
          </w:p>
        </w:tc>
        <w:tc>
          <w:tcPr>
            <w:tcW w:w="1379" w:type="pct"/>
            <w:vMerge w:val="restart"/>
            <w:tcBorders>
              <w:tl2br w:val="nil"/>
              <w:tr2bl w:val="nil"/>
            </w:tcBorders>
            <w:vAlign w:val="center"/>
          </w:tcPr>
          <w:p w14:paraId="78F904BC">
            <w:pPr>
              <w:jc w:val="center"/>
              <w:rPr>
                <w:rFonts w:ascii="Times New Roman" w:hAnsi="Times New Roman" w:eastAsia="宋体" w:cs="宋体"/>
                <w:color w:val="auto"/>
                <w:sz w:val="24"/>
                <w:szCs w:val="24"/>
              </w:rPr>
            </w:pPr>
            <w:r>
              <w:rPr>
                <w:rFonts w:hint="eastAsia"/>
                <w:color w:val="auto"/>
                <w:sz w:val="24"/>
                <w:szCs w:val="24"/>
              </w:rPr>
              <w:t>项目</w:t>
            </w:r>
            <w:r>
              <w:rPr>
                <w:color w:val="auto"/>
                <w:sz w:val="24"/>
                <w:szCs w:val="24"/>
              </w:rPr>
              <w:t>名称</w:t>
            </w:r>
            <w:r>
              <w:rPr>
                <w:rFonts w:hint="eastAsia"/>
                <w:color w:val="auto"/>
                <w:sz w:val="24"/>
                <w:szCs w:val="24"/>
              </w:rPr>
              <w:t>及标段</w:t>
            </w:r>
            <w:r>
              <w:rPr>
                <w:color w:val="auto"/>
                <w:sz w:val="24"/>
                <w:szCs w:val="24"/>
              </w:rPr>
              <w:t>名称</w:t>
            </w:r>
          </w:p>
        </w:tc>
        <w:tc>
          <w:tcPr>
            <w:tcW w:w="3020" w:type="pct"/>
            <w:tcBorders>
              <w:tl2br w:val="nil"/>
              <w:tr2bl w:val="nil"/>
            </w:tcBorders>
            <w:vAlign w:val="center"/>
          </w:tcPr>
          <w:p w14:paraId="043798A3">
            <w:pPr>
              <w:jc w:val="both"/>
              <w:rPr>
                <w:color w:val="auto"/>
                <w:sz w:val="24"/>
                <w:szCs w:val="24"/>
                <w:u w:val="single"/>
              </w:rPr>
            </w:pPr>
            <w:r>
              <w:rPr>
                <w:rFonts w:hint="eastAsia"/>
                <w:color w:val="auto"/>
                <w:sz w:val="24"/>
                <w:szCs w:val="24"/>
              </w:rPr>
              <w:t>项目名称：</w:t>
            </w:r>
            <w:r>
              <w:rPr>
                <w:rFonts w:hint="eastAsia"/>
                <w:color w:val="auto"/>
                <w:sz w:val="24"/>
                <w:szCs w:val="24"/>
                <w:u w:val="single"/>
              </w:rPr>
              <w:t>大石桥市西部农村供水工程（一期）四标段-八标段工程设备及安装项目</w:t>
            </w:r>
          </w:p>
        </w:tc>
      </w:tr>
      <w:tr w14:paraId="1109C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continue"/>
            <w:tcBorders>
              <w:tl2br w:val="nil"/>
              <w:tr2bl w:val="nil"/>
            </w:tcBorders>
            <w:vAlign w:val="center"/>
          </w:tcPr>
          <w:p w14:paraId="3BA46299">
            <w:pPr>
              <w:rPr>
                <w:color w:val="auto"/>
                <w:sz w:val="24"/>
                <w:szCs w:val="24"/>
              </w:rPr>
            </w:pPr>
          </w:p>
        </w:tc>
        <w:tc>
          <w:tcPr>
            <w:tcW w:w="1379" w:type="pct"/>
            <w:vMerge w:val="continue"/>
            <w:tcBorders>
              <w:tl2br w:val="nil"/>
              <w:tr2bl w:val="nil"/>
            </w:tcBorders>
            <w:vAlign w:val="center"/>
          </w:tcPr>
          <w:p w14:paraId="2C674C98">
            <w:pPr>
              <w:rPr>
                <w:color w:val="auto"/>
                <w:sz w:val="24"/>
                <w:szCs w:val="24"/>
              </w:rPr>
            </w:pPr>
          </w:p>
        </w:tc>
        <w:tc>
          <w:tcPr>
            <w:tcW w:w="3020" w:type="pct"/>
            <w:tcBorders>
              <w:tl2br w:val="nil"/>
              <w:tr2bl w:val="nil"/>
            </w:tcBorders>
            <w:vAlign w:val="center"/>
          </w:tcPr>
          <w:p w14:paraId="11F221DD">
            <w:pPr>
              <w:jc w:val="both"/>
              <w:rPr>
                <w:color w:val="auto"/>
                <w:sz w:val="24"/>
                <w:szCs w:val="24"/>
                <w:u w:val="single"/>
              </w:rPr>
            </w:pPr>
            <w:r>
              <w:rPr>
                <w:rFonts w:hint="eastAsia"/>
                <w:color w:val="auto"/>
                <w:sz w:val="24"/>
                <w:szCs w:val="24"/>
              </w:rPr>
              <w:t>标段名称：</w:t>
            </w:r>
            <w:r>
              <w:rPr>
                <w:color w:val="auto"/>
                <w:sz w:val="24"/>
                <w:szCs w:val="24"/>
                <w:u w:val="single"/>
              </w:rPr>
              <w:t>6</w:t>
            </w:r>
            <w:r>
              <w:rPr>
                <w:rFonts w:hint="eastAsia"/>
                <w:color w:val="auto"/>
                <w:sz w:val="24"/>
                <w:szCs w:val="24"/>
                <w:u w:val="single"/>
              </w:rPr>
              <w:t>标段</w:t>
            </w:r>
          </w:p>
        </w:tc>
      </w:tr>
      <w:tr w14:paraId="05A6A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F736A5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1.2.1</w:t>
            </w:r>
          </w:p>
        </w:tc>
        <w:tc>
          <w:tcPr>
            <w:tcW w:w="1379" w:type="pct"/>
            <w:tcBorders>
              <w:tl2br w:val="nil"/>
              <w:tr2bl w:val="nil"/>
            </w:tcBorders>
            <w:vAlign w:val="center"/>
          </w:tcPr>
          <w:p w14:paraId="49C36B4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资金来源</w:t>
            </w:r>
          </w:p>
        </w:tc>
        <w:tc>
          <w:tcPr>
            <w:tcW w:w="3020" w:type="pct"/>
            <w:tcBorders>
              <w:tl2br w:val="nil"/>
              <w:tr2bl w:val="nil"/>
            </w:tcBorders>
            <w:vAlign w:val="center"/>
          </w:tcPr>
          <w:p w14:paraId="68F7CDF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省级补助、市级财政、银行贷款</w:t>
            </w:r>
          </w:p>
        </w:tc>
      </w:tr>
      <w:tr w14:paraId="2EE11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475B6A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1.2.2</w:t>
            </w:r>
          </w:p>
        </w:tc>
        <w:tc>
          <w:tcPr>
            <w:tcW w:w="1379" w:type="pct"/>
            <w:tcBorders>
              <w:tl2br w:val="nil"/>
              <w:tr2bl w:val="nil"/>
            </w:tcBorders>
            <w:vAlign w:val="center"/>
          </w:tcPr>
          <w:p w14:paraId="12EC9D8E">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资金落实情况</w:t>
            </w:r>
          </w:p>
        </w:tc>
        <w:tc>
          <w:tcPr>
            <w:tcW w:w="3020" w:type="pct"/>
            <w:tcBorders>
              <w:tl2br w:val="nil"/>
              <w:tr2bl w:val="nil"/>
            </w:tcBorders>
            <w:vAlign w:val="center"/>
          </w:tcPr>
          <w:p w14:paraId="1A64FA40">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已落实</w:t>
            </w:r>
          </w:p>
        </w:tc>
      </w:tr>
      <w:tr w14:paraId="42683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D0C5DC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1.3.1</w:t>
            </w:r>
          </w:p>
        </w:tc>
        <w:tc>
          <w:tcPr>
            <w:tcW w:w="1379" w:type="pct"/>
            <w:tcBorders>
              <w:tl2br w:val="nil"/>
              <w:tr2bl w:val="nil"/>
            </w:tcBorders>
            <w:vAlign w:val="center"/>
          </w:tcPr>
          <w:p w14:paraId="2E75C55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招标范围</w:t>
            </w:r>
          </w:p>
        </w:tc>
        <w:tc>
          <w:tcPr>
            <w:tcW w:w="3020" w:type="pct"/>
            <w:tcBorders>
              <w:tl2br w:val="nil"/>
              <w:tr2bl w:val="nil"/>
            </w:tcBorders>
            <w:vAlign w:val="center"/>
          </w:tcPr>
          <w:p w14:paraId="7720DA6B">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详见招标公告</w:t>
            </w:r>
          </w:p>
        </w:tc>
      </w:tr>
      <w:tr w14:paraId="064F8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3AF19A6">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1.3.2</w:t>
            </w:r>
          </w:p>
        </w:tc>
        <w:tc>
          <w:tcPr>
            <w:tcW w:w="1379" w:type="pct"/>
            <w:tcBorders>
              <w:tl2br w:val="nil"/>
              <w:tr2bl w:val="nil"/>
            </w:tcBorders>
            <w:vAlign w:val="center"/>
          </w:tcPr>
          <w:p w14:paraId="5F77D5A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交货期</w:t>
            </w:r>
          </w:p>
        </w:tc>
        <w:tc>
          <w:tcPr>
            <w:tcW w:w="3020" w:type="pct"/>
            <w:tcBorders>
              <w:tl2br w:val="nil"/>
              <w:tr2bl w:val="nil"/>
            </w:tcBorders>
            <w:vAlign w:val="center"/>
          </w:tcPr>
          <w:p w14:paraId="134CA4DD">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□交货期：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日历天；</w:t>
            </w:r>
          </w:p>
          <w:p w14:paraId="7E5D7E69">
            <w:pPr>
              <w:widowControl w:val="0"/>
              <w:adjustRightInd w:val="0"/>
              <w:snapToGrid w:val="0"/>
              <w:spacing w:after="0" w:line="380" w:lineRule="exact"/>
              <w:ind w:firstLine="240" w:firstLineChars="1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计划开始交货日期：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63C770F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□本项目分</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批次交货，每批次交货时间：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545801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它方式：自签订合同之日起，供货商开始备货，设备出厂具体时间由业主按项目进度决定；供货商须接到设备出厂通知7日内发货，从设备出厂到安装完成，工期为1个月（特殊情况除外）；相关设备进场时，设备供应商须与涉及四、五、六、七、八标段土建施工方做好协调工作。</w:t>
            </w:r>
          </w:p>
        </w:tc>
      </w:tr>
      <w:tr w14:paraId="6CA4D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3610A5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1.3.3</w:t>
            </w:r>
          </w:p>
        </w:tc>
        <w:tc>
          <w:tcPr>
            <w:tcW w:w="1379" w:type="pct"/>
            <w:tcBorders>
              <w:tl2br w:val="nil"/>
              <w:tr2bl w:val="nil"/>
            </w:tcBorders>
            <w:vAlign w:val="center"/>
          </w:tcPr>
          <w:p w14:paraId="2CD66AB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交货地点及方式</w:t>
            </w:r>
          </w:p>
        </w:tc>
        <w:tc>
          <w:tcPr>
            <w:tcW w:w="3020" w:type="pct"/>
            <w:tcBorders>
              <w:tl2br w:val="nil"/>
              <w:tr2bl w:val="nil"/>
            </w:tcBorders>
            <w:vAlign w:val="center"/>
          </w:tcPr>
          <w:p w14:paraId="38C80642">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大石桥市（具体按建设单位指定地点）</w:t>
            </w:r>
          </w:p>
        </w:tc>
      </w:tr>
      <w:tr w14:paraId="4FC32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A290E7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1.3.4</w:t>
            </w:r>
          </w:p>
        </w:tc>
        <w:tc>
          <w:tcPr>
            <w:tcW w:w="1379" w:type="pct"/>
            <w:tcBorders>
              <w:tl2br w:val="nil"/>
              <w:tr2bl w:val="nil"/>
            </w:tcBorders>
            <w:vAlign w:val="center"/>
          </w:tcPr>
          <w:p w14:paraId="641BC81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技术性能指标</w:t>
            </w:r>
          </w:p>
        </w:tc>
        <w:tc>
          <w:tcPr>
            <w:tcW w:w="3020" w:type="pct"/>
            <w:tcBorders>
              <w:tl2br w:val="nil"/>
              <w:tr2bl w:val="nil"/>
            </w:tcBorders>
            <w:vAlign w:val="center"/>
          </w:tcPr>
          <w:p w14:paraId="18D8C9D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详见供货要求部分内容</w:t>
            </w:r>
          </w:p>
        </w:tc>
      </w:tr>
      <w:tr w14:paraId="1521B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C27786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w:t>
            </w:r>
          </w:p>
        </w:tc>
        <w:tc>
          <w:tcPr>
            <w:tcW w:w="1379" w:type="pct"/>
            <w:tcBorders>
              <w:tl2br w:val="nil"/>
              <w:tr2bl w:val="nil"/>
            </w:tcBorders>
            <w:vAlign w:val="center"/>
          </w:tcPr>
          <w:p w14:paraId="614342A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投标人资质条件、能力、信誉</w:t>
            </w:r>
          </w:p>
        </w:tc>
        <w:tc>
          <w:tcPr>
            <w:tcW w:w="3020" w:type="pct"/>
            <w:tcBorders>
              <w:tl2br w:val="nil"/>
              <w:tr2bl w:val="nil"/>
            </w:tcBorders>
            <w:vAlign w:val="center"/>
          </w:tcPr>
          <w:p w14:paraId="6C614A86">
            <w:pPr>
              <w:widowControl w:val="0"/>
              <w:numPr>
                <w:ilvl w:val="0"/>
                <w:numId w:val="2"/>
              </w:numPr>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资质要求（对制造商资质有要求的，应分别列出并注明）：</w:t>
            </w:r>
          </w:p>
          <w:p w14:paraId="6B74DD8E">
            <w:pPr>
              <w:widowControl w:val="0"/>
              <w:adjustRightInd w:val="0"/>
              <w:snapToGrid w:val="0"/>
              <w:spacing w:after="0" w:line="380" w:lineRule="exact"/>
              <w:jc w:val="both"/>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u w:val="single"/>
              </w:rPr>
              <w:t>1.1投标人必须为中华人民共和国境内注册的具有独立法人资格的设备制造商（包括软件）或其代理商，且有能力提供本次采购货物并提供相关服务；</w:t>
            </w:r>
          </w:p>
          <w:p w14:paraId="7D64798F">
            <w:pPr>
              <w:widowControl w:val="0"/>
              <w:adjustRightInd w:val="0"/>
              <w:snapToGrid w:val="0"/>
              <w:spacing w:after="0" w:line="380" w:lineRule="exact"/>
              <w:jc w:val="both"/>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u w:val="single"/>
              </w:rPr>
              <w:t>1.2如果投标人为软件设备的生产制造商，必须具有相应设备生产许可及安装能力；</w:t>
            </w:r>
          </w:p>
          <w:p w14:paraId="12984F39">
            <w:pPr>
              <w:widowControl w:val="0"/>
              <w:adjustRightInd w:val="0"/>
              <w:snapToGrid w:val="0"/>
              <w:spacing w:after="0" w:line="380" w:lineRule="exact"/>
              <w:jc w:val="both"/>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u w:val="single"/>
              </w:rPr>
              <w:t>1.3如果投标人为代理商，必须提供制造商厂家开具的授权书；</w:t>
            </w:r>
          </w:p>
          <w:p w14:paraId="78240350">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（2）财务要求：</w:t>
            </w:r>
            <w:r>
              <w:rPr>
                <w:rFonts w:hint="eastAsia" w:ascii="Times New Roman" w:hAnsi="Times New Roman" w:eastAsia="宋体" w:cs="宋体"/>
                <w:color w:val="auto"/>
                <w:sz w:val="24"/>
                <w:szCs w:val="24"/>
                <w:u w:val="single"/>
              </w:rPr>
              <w:t>无</w:t>
            </w:r>
          </w:p>
          <w:p w14:paraId="18A00A7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（3）业绩要求：</w:t>
            </w:r>
            <w:r>
              <w:rPr>
                <w:rFonts w:hint="eastAsia" w:ascii="Times New Roman" w:hAnsi="Times New Roman" w:eastAsia="宋体" w:cs="宋体"/>
                <w:color w:val="auto"/>
                <w:sz w:val="24"/>
                <w:szCs w:val="24"/>
                <w:u w:val="single"/>
              </w:rPr>
              <w:t>无</w:t>
            </w:r>
          </w:p>
          <w:p w14:paraId="4EBDB75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（4）信誉要求：</w:t>
            </w:r>
            <w:r>
              <w:rPr>
                <w:rFonts w:hint="eastAsia" w:ascii="Times New Roman" w:hAnsi="Times New Roman" w:eastAsia="宋体" w:cs="宋体"/>
                <w:color w:val="auto"/>
                <w:sz w:val="24"/>
                <w:szCs w:val="24"/>
                <w:u w:val="single"/>
              </w:rPr>
              <w:t>投标人（代理商投标时，包括被代理的制造商）不得为列入失信被执行人、重大税收违法案件当事人名单、政府采购严重违法失信行为记录名单的投标人</w:t>
            </w:r>
          </w:p>
          <w:p w14:paraId="5F2E7A9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（5）其他要求：</w:t>
            </w:r>
            <w:r>
              <w:rPr>
                <w:rFonts w:hint="eastAsia" w:ascii="Times New Roman" w:hAnsi="Times New Roman" w:eastAsia="宋体" w:cs="宋体"/>
                <w:color w:val="auto"/>
                <w:sz w:val="24"/>
                <w:szCs w:val="24"/>
                <w:u w:val="single"/>
              </w:rPr>
              <w:t>无</w:t>
            </w:r>
          </w:p>
        </w:tc>
      </w:tr>
      <w:tr w14:paraId="4BEB4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95E00E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w:t>
            </w:r>
          </w:p>
        </w:tc>
        <w:tc>
          <w:tcPr>
            <w:tcW w:w="1379" w:type="pct"/>
            <w:tcBorders>
              <w:tl2br w:val="nil"/>
              <w:tr2bl w:val="nil"/>
            </w:tcBorders>
            <w:vAlign w:val="center"/>
          </w:tcPr>
          <w:p w14:paraId="36546B37">
            <w:pPr>
              <w:spacing w:after="0" w:line="380" w:lineRule="exact"/>
              <w:ind w:left="4"/>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是否接受联合体投标</w:t>
            </w:r>
          </w:p>
        </w:tc>
        <w:tc>
          <w:tcPr>
            <w:tcW w:w="3020" w:type="pct"/>
            <w:tcBorders>
              <w:tl2br w:val="nil"/>
              <w:tr2bl w:val="nil"/>
            </w:tcBorders>
            <w:vAlign w:val="center"/>
          </w:tcPr>
          <w:p w14:paraId="5FA1EEA7">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☑不接受</w:t>
            </w:r>
          </w:p>
          <w:p w14:paraId="624D560E">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□接受，应满足下列要求：</w:t>
            </w:r>
          </w:p>
        </w:tc>
      </w:tr>
      <w:tr w14:paraId="4672F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CC2F79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1.4.3</w:t>
            </w:r>
          </w:p>
        </w:tc>
        <w:tc>
          <w:tcPr>
            <w:tcW w:w="1379" w:type="pct"/>
            <w:tcBorders>
              <w:tl2br w:val="nil"/>
              <w:tr2bl w:val="nil"/>
            </w:tcBorders>
            <w:vAlign w:val="center"/>
          </w:tcPr>
          <w:p w14:paraId="7EA19AE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投标人不得存在的其他情形</w:t>
            </w:r>
          </w:p>
        </w:tc>
        <w:tc>
          <w:tcPr>
            <w:tcW w:w="3020" w:type="pct"/>
            <w:tcBorders>
              <w:tl2br w:val="nil"/>
              <w:tr2bl w:val="nil"/>
            </w:tcBorders>
            <w:vAlign w:val="center"/>
          </w:tcPr>
          <w:p w14:paraId="18C1309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rPr>
              <w:t>无</w:t>
            </w:r>
            <w:r>
              <w:rPr>
                <w:rFonts w:hint="eastAsia" w:ascii="Times New Roman" w:hAnsi="Times New Roman" w:eastAsia="宋体" w:cs="宋体"/>
                <w:color w:val="auto"/>
                <w:sz w:val="24"/>
                <w:szCs w:val="24"/>
              </w:rPr>
              <w:t>。</w:t>
            </w:r>
          </w:p>
        </w:tc>
      </w:tr>
      <w:tr w14:paraId="5CF33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2BA79E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1.9.1</w:t>
            </w:r>
          </w:p>
        </w:tc>
        <w:tc>
          <w:tcPr>
            <w:tcW w:w="1379" w:type="pct"/>
            <w:tcBorders>
              <w:tl2br w:val="nil"/>
              <w:tr2bl w:val="nil"/>
            </w:tcBorders>
            <w:vAlign w:val="center"/>
          </w:tcPr>
          <w:p w14:paraId="06E2C06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投标预备会</w:t>
            </w:r>
          </w:p>
        </w:tc>
        <w:tc>
          <w:tcPr>
            <w:tcW w:w="3020" w:type="pct"/>
            <w:tcBorders>
              <w:tl2br w:val="nil"/>
              <w:tr2bl w:val="nil"/>
            </w:tcBorders>
            <w:vAlign w:val="center"/>
          </w:tcPr>
          <w:p w14:paraId="43FCC99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☑不召开</w:t>
            </w:r>
          </w:p>
          <w:p w14:paraId="53CECEAB">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□召开，召开时间：</w:t>
            </w:r>
            <w:r>
              <w:rPr>
                <w:rFonts w:hint="eastAsia" w:ascii="Times New Roman" w:hAnsi="Times New Roman" w:eastAsia="宋体" w:cs="宋体"/>
                <w:color w:val="auto"/>
                <w:sz w:val="24"/>
                <w:szCs w:val="24"/>
                <w:u w:val="single"/>
              </w:rPr>
              <w:t xml:space="preserve">                     </w:t>
            </w:r>
          </w:p>
          <w:p w14:paraId="3FDB5907">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召开地点：</w:t>
            </w:r>
            <w:r>
              <w:rPr>
                <w:rFonts w:hint="eastAsia" w:ascii="Times New Roman" w:hAnsi="Times New Roman" w:eastAsia="宋体" w:cs="宋体"/>
                <w:color w:val="auto"/>
                <w:sz w:val="24"/>
                <w:szCs w:val="24"/>
                <w:u w:val="single"/>
              </w:rPr>
              <w:t xml:space="preserve">                     </w:t>
            </w:r>
          </w:p>
        </w:tc>
      </w:tr>
      <w:tr w14:paraId="11AA2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restart"/>
            <w:tcBorders>
              <w:tl2br w:val="nil"/>
              <w:tr2bl w:val="nil"/>
            </w:tcBorders>
            <w:vAlign w:val="center"/>
          </w:tcPr>
          <w:p w14:paraId="78E0FFC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1.9.2</w:t>
            </w:r>
          </w:p>
        </w:tc>
        <w:tc>
          <w:tcPr>
            <w:tcW w:w="1379" w:type="pct"/>
            <w:vMerge w:val="restart"/>
            <w:tcBorders>
              <w:tl2br w:val="nil"/>
              <w:tr2bl w:val="nil"/>
            </w:tcBorders>
            <w:vAlign w:val="center"/>
          </w:tcPr>
          <w:p w14:paraId="6AC1E3F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投标人在投标预备会前提出问题</w:t>
            </w:r>
          </w:p>
        </w:tc>
        <w:tc>
          <w:tcPr>
            <w:tcW w:w="3020" w:type="pct"/>
            <w:tcBorders>
              <w:tl2br w:val="nil"/>
              <w:tr2bl w:val="nil"/>
            </w:tcBorders>
            <w:vAlign w:val="center"/>
          </w:tcPr>
          <w:p w14:paraId="2B525C42">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时间：在投标预备会召开前</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tc>
      </w:tr>
      <w:tr w14:paraId="7D0A5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continue"/>
            <w:tcBorders>
              <w:tl2br w:val="nil"/>
              <w:tr2bl w:val="nil"/>
            </w:tcBorders>
            <w:vAlign w:val="center"/>
          </w:tcPr>
          <w:p w14:paraId="4718F3D9">
            <w:pPr>
              <w:widowControl w:val="0"/>
              <w:adjustRightInd w:val="0"/>
              <w:snapToGrid w:val="0"/>
              <w:spacing w:after="0" w:line="380" w:lineRule="exact"/>
              <w:jc w:val="center"/>
              <w:rPr>
                <w:rFonts w:ascii="Times New Roman" w:hAnsi="Times New Roman" w:eastAsia="宋体" w:cs="宋体"/>
                <w:color w:val="auto"/>
                <w:sz w:val="24"/>
                <w:szCs w:val="24"/>
              </w:rPr>
            </w:pPr>
          </w:p>
        </w:tc>
        <w:tc>
          <w:tcPr>
            <w:tcW w:w="1379" w:type="pct"/>
            <w:vMerge w:val="continue"/>
            <w:tcBorders>
              <w:tl2br w:val="nil"/>
              <w:tr2bl w:val="nil"/>
            </w:tcBorders>
            <w:vAlign w:val="center"/>
          </w:tcPr>
          <w:p w14:paraId="234FB27C">
            <w:pPr>
              <w:widowControl w:val="0"/>
              <w:adjustRightInd w:val="0"/>
              <w:snapToGrid w:val="0"/>
              <w:spacing w:after="0" w:line="380" w:lineRule="exact"/>
              <w:jc w:val="center"/>
              <w:rPr>
                <w:rFonts w:ascii="Times New Roman" w:hAnsi="Times New Roman" w:eastAsia="宋体" w:cs="宋体"/>
                <w:color w:val="auto"/>
                <w:sz w:val="24"/>
                <w:szCs w:val="24"/>
              </w:rPr>
            </w:pPr>
          </w:p>
        </w:tc>
        <w:tc>
          <w:tcPr>
            <w:tcW w:w="3020" w:type="pct"/>
            <w:tcBorders>
              <w:tl2br w:val="nil"/>
              <w:tr2bl w:val="nil"/>
            </w:tcBorders>
            <w:vAlign w:val="center"/>
          </w:tcPr>
          <w:p w14:paraId="437F130B">
            <w:pPr>
              <w:widowControl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形式：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（网址：</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）提问。</w:t>
            </w:r>
          </w:p>
        </w:tc>
      </w:tr>
      <w:tr w14:paraId="1DFC3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0E76AA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1.10.1</w:t>
            </w:r>
          </w:p>
        </w:tc>
        <w:tc>
          <w:tcPr>
            <w:tcW w:w="1379" w:type="pct"/>
            <w:tcBorders>
              <w:tl2br w:val="nil"/>
              <w:tr2bl w:val="nil"/>
            </w:tcBorders>
            <w:vAlign w:val="center"/>
          </w:tcPr>
          <w:p w14:paraId="18F2A04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分包</w:t>
            </w:r>
          </w:p>
        </w:tc>
        <w:tc>
          <w:tcPr>
            <w:tcW w:w="3020" w:type="pct"/>
            <w:tcBorders>
              <w:tl2br w:val="nil"/>
              <w:tr2bl w:val="nil"/>
            </w:tcBorders>
            <w:vAlign w:val="center"/>
          </w:tcPr>
          <w:p w14:paraId="2EFC361D">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□不允许</w:t>
            </w:r>
          </w:p>
          <w:p w14:paraId="1CB4BA5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☑允许，分包内容要求：</w:t>
            </w:r>
            <w:r>
              <w:rPr>
                <w:rFonts w:hint="eastAsia" w:ascii="Times New Roman" w:hAnsi="Times New Roman" w:eastAsia="宋体" w:cs="宋体"/>
                <w:color w:val="auto"/>
                <w:sz w:val="24"/>
                <w:szCs w:val="24"/>
                <w:u w:val="single"/>
              </w:rPr>
              <w:t>货物交付后，安装或实施部分如确需具有资质的企业完成的，将按照相关资质管理办法要求分包完成，但对所采购货物、设施、设备的质量及安装的安全负总责。</w:t>
            </w:r>
          </w:p>
          <w:p w14:paraId="5C5DAA91">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分包金额要求：</w:t>
            </w:r>
            <w:r>
              <w:rPr>
                <w:rFonts w:hint="eastAsia" w:ascii="Times New Roman" w:hAnsi="Times New Roman" w:eastAsia="宋体" w:cs="宋体"/>
                <w:color w:val="auto"/>
                <w:sz w:val="24"/>
                <w:szCs w:val="24"/>
                <w:u w:val="single"/>
              </w:rPr>
              <w:t xml:space="preserve">                     </w:t>
            </w:r>
          </w:p>
          <w:p w14:paraId="10656C66">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对分包人的资质要求：</w:t>
            </w:r>
            <w:r>
              <w:rPr>
                <w:rFonts w:hint="eastAsia" w:ascii="Times New Roman" w:hAnsi="Times New Roman" w:eastAsia="宋体" w:cs="宋体"/>
                <w:color w:val="auto"/>
                <w:sz w:val="24"/>
                <w:szCs w:val="24"/>
                <w:u w:val="single"/>
              </w:rPr>
              <w:t xml:space="preserve">                     </w:t>
            </w:r>
          </w:p>
        </w:tc>
      </w:tr>
      <w:tr w14:paraId="5D124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F11B696">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w:t>
            </w:r>
          </w:p>
        </w:tc>
        <w:tc>
          <w:tcPr>
            <w:tcW w:w="1379" w:type="pct"/>
            <w:tcBorders>
              <w:tl2br w:val="nil"/>
              <w:tr2bl w:val="nil"/>
            </w:tcBorders>
            <w:vAlign w:val="center"/>
          </w:tcPr>
          <w:p w14:paraId="1596876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实质性要求和条件</w:t>
            </w:r>
          </w:p>
        </w:tc>
        <w:tc>
          <w:tcPr>
            <w:tcW w:w="3020" w:type="pct"/>
            <w:tcBorders>
              <w:tl2br w:val="nil"/>
              <w:tr2bl w:val="nil"/>
            </w:tcBorders>
            <w:vAlign w:val="center"/>
          </w:tcPr>
          <w:p w14:paraId="4AD4B43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符合招标文件“评标办法”初步评审（形式评审、资格评审、响应性评审）的各项要求</w:t>
            </w:r>
          </w:p>
        </w:tc>
      </w:tr>
      <w:tr w14:paraId="40592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242E83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w:t>
            </w:r>
          </w:p>
        </w:tc>
        <w:tc>
          <w:tcPr>
            <w:tcW w:w="1379" w:type="pct"/>
            <w:tcBorders>
              <w:tl2br w:val="nil"/>
              <w:tr2bl w:val="nil"/>
            </w:tcBorders>
            <w:vAlign w:val="center"/>
          </w:tcPr>
          <w:p w14:paraId="7BD43FC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其他可以被接受的技术支持资料</w:t>
            </w:r>
          </w:p>
        </w:tc>
        <w:tc>
          <w:tcPr>
            <w:tcW w:w="3020" w:type="pct"/>
            <w:tcBorders>
              <w:tl2br w:val="nil"/>
              <w:tr2bl w:val="nil"/>
            </w:tcBorders>
            <w:vAlign w:val="center"/>
          </w:tcPr>
          <w:p w14:paraId="189FAA6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无</w:t>
            </w:r>
          </w:p>
        </w:tc>
      </w:tr>
      <w:tr w14:paraId="54912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84778A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1.11.4</w:t>
            </w:r>
          </w:p>
        </w:tc>
        <w:tc>
          <w:tcPr>
            <w:tcW w:w="1379" w:type="pct"/>
            <w:tcBorders>
              <w:tl2br w:val="nil"/>
              <w:tr2bl w:val="nil"/>
            </w:tcBorders>
            <w:vAlign w:val="center"/>
          </w:tcPr>
          <w:p w14:paraId="28EC0AF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偏差</w:t>
            </w:r>
          </w:p>
        </w:tc>
        <w:tc>
          <w:tcPr>
            <w:tcW w:w="3020" w:type="pct"/>
            <w:tcBorders>
              <w:tl2br w:val="nil"/>
              <w:tr2bl w:val="nil"/>
            </w:tcBorders>
            <w:vAlign w:val="center"/>
          </w:tcPr>
          <w:p w14:paraId="026D61FA">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☑不允许</w:t>
            </w:r>
          </w:p>
          <w:p w14:paraId="395468C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□允许，偏差范围：</w:t>
            </w:r>
            <w:r>
              <w:rPr>
                <w:rFonts w:hint="eastAsia" w:ascii="Times New Roman" w:hAnsi="Times New Roman" w:eastAsia="宋体" w:cs="宋体"/>
                <w:color w:val="auto"/>
                <w:sz w:val="24"/>
                <w:szCs w:val="24"/>
                <w:u w:val="single"/>
              </w:rPr>
              <w:t xml:space="preserve">                    </w:t>
            </w:r>
          </w:p>
          <w:p w14:paraId="76451DB2">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最高项数：</w:t>
            </w:r>
            <w:r>
              <w:rPr>
                <w:rFonts w:hint="eastAsia" w:ascii="Times New Roman" w:hAnsi="Times New Roman" w:eastAsia="宋体" w:cs="宋体"/>
                <w:color w:val="auto"/>
                <w:sz w:val="24"/>
                <w:szCs w:val="24"/>
                <w:u w:val="single"/>
              </w:rPr>
              <w:t xml:space="preserve">                     </w:t>
            </w:r>
          </w:p>
        </w:tc>
      </w:tr>
      <w:tr w14:paraId="23FC2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5E935C6F">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2.1</w:t>
            </w:r>
          </w:p>
        </w:tc>
        <w:tc>
          <w:tcPr>
            <w:tcW w:w="1379" w:type="pct"/>
            <w:tcBorders>
              <w:tl2br w:val="nil"/>
              <w:tr2bl w:val="nil"/>
            </w:tcBorders>
            <w:vAlign w:val="center"/>
          </w:tcPr>
          <w:p w14:paraId="564E078F">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构成招标文件的其他资料</w:t>
            </w:r>
          </w:p>
        </w:tc>
        <w:tc>
          <w:tcPr>
            <w:tcW w:w="3020" w:type="pct"/>
            <w:tcBorders>
              <w:tl2br w:val="nil"/>
              <w:tr2bl w:val="nil"/>
            </w:tcBorders>
            <w:vAlign w:val="center"/>
          </w:tcPr>
          <w:p w14:paraId="0A84CEBF">
            <w:pPr>
              <w:widowControl w:val="0"/>
              <w:adjustRightInd w:val="0"/>
              <w:snapToGrid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招标文件的修改、澄清答疑、</w:t>
            </w:r>
            <w:r>
              <w:rPr>
                <w:rFonts w:hint="eastAsia" w:ascii="Times New Roman" w:hAnsi="Times New Roman" w:eastAsia="宋体" w:cs="宋体"/>
                <w:color w:val="auto"/>
                <w:sz w:val="24"/>
                <w:szCs w:val="24"/>
                <w:u w:val="single"/>
              </w:rPr>
              <w:t>各标段设备采购及安装需求、技术要求一览表</w:t>
            </w:r>
            <w:r>
              <w:rPr>
                <w:rFonts w:hint="eastAsia" w:ascii="Times New Roman" w:hAnsi="Times New Roman" w:eastAsia="宋体" w:cs="宋体"/>
                <w:color w:val="auto"/>
                <w:sz w:val="24"/>
                <w:szCs w:val="24"/>
              </w:rPr>
              <w:t>等。</w:t>
            </w:r>
          </w:p>
        </w:tc>
      </w:tr>
      <w:tr w14:paraId="6ED95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restart"/>
            <w:tcBorders>
              <w:tl2br w:val="nil"/>
              <w:tr2bl w:val="nil"/>
            </w:tcBorders>
            <w:vAlign w:val="center"/>
          </w:tcPr>
          <w:p w14:paraId="1B98D96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2.2.1</w:t>
            </w:r>
          </w:p>
        </w:tc>
        <w:tc>
          <w:tcPr>
            <w:tcW w:w="1379" w:type="pct"/>
            <w:vMerge w:val="restart"/>
            <w:tcBorders>
              <w:tl2br w:val="nil"/>
              <w:tr2bl w:val="nil"/>
            </w:tcBorders>
            <w:vAlign w:val="center"/>
          </w:tcPr>
          <w:p w14:paraId="51D83E9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投标人要求澄清招标文件</w:t>
            </w:r>
          </w:p>
        </w:tc>
        <w:tc>
          <w:tcPr>
            <w:tcW w:w="3020" w:type="pct"/>
            <w:tcBorders>
              <w:tl2br w:val="nil"/>
              <w:tr2bl w:val="nil"/>
            </w:tcBorders>
            <w:vAlign w:val="center"/>
          </w:tcPr>
          <w:p w14:paraId="6FE63DA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截止时间：在投标截止时间</w:t>
            </w:r>
            <w:r>
              <w:rPr>
                <w:rFonts w:hint="eastAsia" w:ascii="Times New Roman" w:hAnsi="Times New Roman" w:eastAsia="宋体" w:cs="宋体"/>
                <w:color w:val="auto"/>
                <w:sz w:val="24"/>
                <w:szCs w:val="24"/>
                <w:u w:val="single"/>
              </w:rPr>
              <w:t xml:space="preserve"> 10 </w:t>
            </w:r>
            <w:r>
              <w:rPr>
                <w:rFonts w:hint="eastAsia" w:ascii="Times New Roman" w:hAnsi="Times New Roman" w:eastAsia="宋体" w:cs="宋体"/>
                <w:color w:val="auto"/>
                <w:sz w:val="24"/>
                <w:szCs w:val="24"/>
              </w:rPr>
              <w:t>日前</w:t>
            </w:r>
          </w:p>
        </w:tc>
      </w:tr>
      <w:tr w14:paraId="2C387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continue"/>
            <w:tcBorders>
              <w:tl2br w:val="nil"/>
              <w:tr2bl w:val="nil"/>
            </w:tcBorders>
            <w:vAlign w:val="center"/>
          </w:tcPr>
          <w:p w14:paraId="22A135A2">
            <w:pPr>
              <w:widowControl w:val="0"/>
              <w:adjustRightInd w:val="0"/>
              <w:snapToGrid w:val="0"/>
              <w:spacing w:after="0" w:line="380" w:lineRule="exact"/>
              <w:jc w:val="center"/>
              <w:rPr>
                <w:rFonts w:ascii="Times New Roman" w:hAnsi="Times New Roman" w:eastAsia="宋体" w:cs="宋体"/>
                <w:color w:val="auto"/>
                <w:sz w:val="24"/>
                <w:szCs w:val="24"/>
              </w:rPr>
            </w:pPr>
          </w:p>
        </w:tc>
        <w:tc>
          <w:tcPr>
            <w:tcW w:w="1379" w:type="pct"/>
            <w:vMerge w:val="continue"/>
            <w:tcBorders>
              <w:tl2br w:val="nil"/>
              <w:tr2bl w:val="nil"/>
            </w:tcBorders>
            <w:vAlign w:val="center"/>
          </w:tcPr>
          <w:p w14:paraId="1D935435">
            <w:pPr>
              <w:widowControl w:val="0"/>
              <w:adjustRightInd w:val="0"/>
              <w:snapToGrid w:val="0"/>
              <w:spacing w:after="0" w:line="380" w:lineRule="exact"/>
              <w:jc w:val="center"/>
              <w:rPr>
                <w:rFonts w:ascii="Times New Roman" w:hAnsi="Times New Roman" w:eastAsia="宋体" w:cs="宋体"/>
                <w:color w:val="auto"/>
                <w:sz w:val="24"/>
                <w:szCs w:val="24"/>
              </w:rPr>
            </w:pPr>
          </w:p>
        </w:tc>
        <w:tc>
          <w:tcPr>
            <w:tcW w:w="3020" w:type="pct"/>
            <w:tcBorders>
              <w:tl2br w:val="nil"/>
              <w:tr2bl w:val="nil"/>
            </w:tcBorders>
            <w:vAlign w:val="center"/>
          </w:tcPr>
          <w:p w14:paraId="38122C4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形式：</w:t>
            </w:r>
            <w:r>
              <w:rPr>
                <w:rFonts w:hint="eastAsia" w:ascii="Times New Roman" w:hAnsi="Times New Roman" w:eastAsia="宋体" w:cs="宋体"/>
                <w:color w:val="auto"/>
                <w:sz w:val="24"/>
                <w:szCs w:val="24"/>
                <w:u w:val="single"/>
              </w:rPr>
              <w:t xml:space="preserve"> 书面、网络 </w:t>
            </w:r>
            <w:r>
              <w:rPr>
                <w:rFonts w:hint="eastAsia" w:ascii="Times New Roman" w:hAnsi="Times New Roman" w:eastAsia="宋体" w:cs="宋体"/>
                <w:color w:val="auto"/>
                <w:sz w:val="24"/>
                <w:szCs w:val="24"/>
              </w:rPr>
              <w:t>。</w:t>
            </w:r>
          </w:p>
        </w:tc>
      </w:tr>
      <w:tr w14:paraId="2CA73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D9B079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2.2.2</w:t>
            </w:r>
          </w:p>
        </w:tc>
        <w:tc>
          <w:tcPr>
            <w:tcW w:w="1379" w:type="pct"/>
            <w:tcBorders>
              <w:tl2br w:val="nil"/>
              <w:tr2bl w:val="nil"/>
            </w:tcBorders>
            <w:vAlign w:val="center"/>
          </w:tcPr>
          <w:p w14:paraId="0F7DD8C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招标文件澄清发出的形式</w:t>
            </w:r>
          </w:p>
        </w:tc>
        <w:tc>
          <w:tcPr>
            <w:tcW w:w="3020" w:type="pct"/>
            <w:tcBorders>
              <w:tl2br w:val="nil"/>
              <w:tr2bl w:val="nil"/>
            </w:tcBorders>
            <w:vAlign w:val="center"/>
          </w:tcPr>
          <w:p w14:paraId="69F256B5">
            <w:pPr>
              <w:pStyle w:val="21"/>
              <w:widowControl/>
              <w:wordWrap w:val="0"/>
              <w:snapToGrid w:val="0"/>
              <w:spacing w:after="0" w:line="400" w:lineRule="exact"/>
              <w:rPr>
                <w:rFonts w:ascii="Times New Roman" w:cs="Times New Roman"/>
              </w:rPr>
            </w:pPr>
            <w:r>
              <w:rPr>
                <w:rFonts w:ascii="Times New Roman"/>
              </w:rPr>
              <w:t>网上发布：</w:t>
            </w:r>
            <w:r>
              <w:rPr>
                <w:rFonts w:ascii="Times New Roman" w:cs="Times New Roman"/>
                <w:u w:val="single"/>
              </w:rPr>
              <w:t xml:space="preserve"> </w:t>
            </w:r>
            <w:r>
              <w:rPr>
                <w:rFonts w:hint="eastAsia" w:ascii="Times New Roman" w:cs="Times New Roman"/>
                <w:u w:val="single"/>
              </w:rPr>
              <w:t xml:space="preserve">辽宁省公共资源交易一张网电子化平台 </w:t>
            </w:r>
            <w:r>
              <w:rPr>
                <w:rFonts w:ascii="Times New Roman" w:cs="Times New Roman"/>
              </w:rPr>
              <w:t>（网址：</w:t>
            </w:r>
            <w:r>
              <w:rPr>
                <w:rFonts w:hint="eastAsia" w:ascii="Times New Roman" w:cs="Times New Roman"/>
                <w:u w:val="single"/>
              </w:rPr>
              <w:t>https://www.lnsggzy.com/EpointSSO/login/oauth2login</w:t>
            </w:r>
            <w:r>
              <w:rPr>
                <w:rFonts w:ascii="Times New Roman" w:cs="Times New Roman"/>
              </w:rPr>
              <w:t>）。</w:t>
            </w:r>
          </w:p>
          <w:p w14:paraId="10F546BB">
            <w:pPr>
              <w:spacing w:after="0" w:line="380" w:lineRule="exact"/>
              <w:rPr>
                <w:rFonts w:ascii="Times New Roman" w:hAnsi="Times New Roman" w:eastAsia="宋体" w:cs="宋体"/>
                <w:color w:val="auto"/>
                <w:sz w:val="24"/>
                <w:szCs w:val="24"/>
              </w:rPr>
            </w:pPr>
            <w:r>
              <w:rPr>
                <w:rFonts w:hint="eastAsia"/>
                <w:color w:val="auto"/>
                <w:sz w:val="24"/>
                <w:szCs w:val="24"/>
              </w:rPr>
              <w:t>投标人未留意该澄清通知而造成的后果由投标人自行承担。</w:t>
            </w:r>
          </w:p>
        </w:tc>
      </w:tr>
      <w:tr w14:paraId="31489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65FF92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2.3.1</w:t>
            </w:r>
          </w:p>
        </w:tc>
        <w:tc>
          <w:tcPr>
            <w:tcW w:w="1379" w:type="pct"/>
            <w:tcBorders>
              <w:tl2br w:val="nil"/>
              <w:tr2bl w:val="nil"/>
            </w:tcBorders>
            <w:vAlign w:val="center"/>
          </w:tcPr>
          <w:p w14:paraId="4AE55A8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招标文件修改发出的形式</w:t>
            </w:r>
          </w:p>
        </w:tc>
        <w:tc>
          <w:tcPr>
            <w:tcW w:w="3020" w:type="pct"/>
            <w:tcBorders>
              <w:tl2br w:val="nil"/>
              <w:tr2bl w:val="nil"/>
            </w:tcBorders>
            <w:vAlign w:val="center"/>
          </w:tcPr>
          <w:p w14:paraId="5BCECA54">
            <w:pPr>
              <w:pStyle w:val="21"/>
              <w:widowControl/>
              <w:wordWrap w:val="0"/>
              <w:snapToGrid w:val="0"/>
              <w:spacing w:after="0" w:line="400" w:lineRule="exact"/>
              <w:rPr>
                <w:rFonts w:ascii="Times New Roman" w:cs="Times New Roman"/>
              </w:rPr>
            </w:pPr>
            <w:r>
              <w:rPr>
                <w:rFonts w:ascii="Times New Roman"/>
              </w:rPr>
              <w:t>网上发布：</w:t>
            </w:r>
            <w:r>
              <w:rPr>
                <w:rFonts w:ascii="Times New Roman" w:cs="Times New Roman"/>
                <w:u w:val="single"/>
              </w:rPr>
              <w:t xml:space="preserve"> </w:t>
            </w:r>
            <w:r>
              <w:rPr>
                <w:rFonts w:hint="eastAsia" w:ascii="Times New Roman" w:cs="Times New Roman"/>
                <w:u w:val="single"/>
              </w:rPr>
              <w:t xml:space="preserve">辽宁省公共资源交易一张网电子化平台 </w:t>
            </w:r>
            <w:r>
              <w:rPr>
                <w:rFonts w:ascii="Times New Roman" w:cs="Times New Roman"/>
              </w:rPr>
              <w:t>（网址：</w:t>
            </w:r>
            <w:r>
              <w:rPr>
                <w:rFonts w:hint="eastAsia" w:ascii="Times New Roman" w:cs="Times New Roman"/>
                <w:u w:val="single"/>
              </w:rPr>
              <w:t>https://www.lnsggzy.com/EpointSSO/login/oauth2login</w:t>
            </w:r>
            <w:r>
              <w:rPr>
                <w:rFonts w:ascii="Times New Roman" w:cs="Times New Roman"/>
              </w:rPr>
              <w:t>）。</w:t>
            </w:r>
          </w:p>
          <w:p w14:paraId="2734D7D4">
            <w:pPr>
              <w:spacing w:after="0" w:line="380" w:lineRule="exact"/>
              <w:rPr>
                <w:rFonts w:ascii="Times New Roman" w:hAnsi="Times New Roman" w:eastAsia="宋体" w:cs="宋体"/>
                <w:color w:val="auto"/>
                <w:sz w:val="24"/>
                <w:szCs w:val="24"/>
              </w:rPr>
            </w:pPr>
            <w:r>
              <w:rPr>
                <w:rFonts w:hint="eastAsia"/>
                <w:color w:val="auto"/>
                <w:sz w:val="24"/>
                <w:szCs w:val="24"/>
              </w:rPr>
              <w:t>投标人未留意该修改通知而造成的后果由投标人自行承担。</w:t>
            </w:r>
          </w:p>
        </w:tc>
      </w:tr>
      <w:tr w14:paraId="2DC09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894175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3.1.1</w:t>
            </w:r>
          </w:p>
        </w:tc>
        <w:tc>
          <w:tcPr>
            <w:tcW w:w="1379" w:type="pct"/>
            <w:tcBorders>
              <w:tl2br w:val="nil"/>
              <w:tr2bl w:val="nil"/>
            </w:tcBorders>
            <w:vAlign w:val="center"/>
          </w:tcPr>
          <w:p w14:paraId="74504E2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构成投标文件的其他资料</w:t>
            </w:r>
          </w:p>
        </w:tc>
        <w:tc>
          <w:tcPr>
            <w:tcW w:w="3020" w:type="pct"/>
            <w:tcBorders>
              <w:tl2br w:val="nil"/>
              <w:tr2bl w:val="nil"/>
            </w:tcBorders>
            <w:vAlign w:val="center"/>
          </w:tcPr>
          <w:p w14:paraId="47D411ED">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根据评标委员会要求作出的澄清或承诺</w:t>
            </w:r>
          </w:p>
        </w:tc>
      </w:tr>
      <w:tr w14:paraId="7AA56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51174E6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3.2.1</w:t>
            </w:r>
          </w:p>
        </w:tc>
        <w:tc>
          <w:tcPr>
            <w:tcW w:w="1379" w:type="pct"/>
            <w:tcBorders>
              <w:tl2br w:val="nil"/>
              <w:tr2bl w:val="nil"/>
            </w:tcBorders>
            <w:vAlign w:val="center"/>
          </w:tcPr>
          <w:p w14:paraId="0627D34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增值税税金的计算方法</w:t>
            </w:r>
          </w:p>
        </w:tc>
        <w:tc>
          <w:tcPr>
            <w:tcW w:w="3020" w:type="pct"/>
            <w:tcBorders>
              <w:tl2br w:val="nil"/>
              <w:tr2bl w:val="nil"/>
            </w:tcBorders>
            <w:vAlign w:val="center"/>
          </w:tcPr>
          <w:p w14:paraId="40E05EE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一般计税方法</w:t>
            </w:r>
          </w:p>
        </w:tc>
      </w:tr>
      <w:tr w14:paraId="4B6D0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5A6549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3.2.4</w:t>
            </w:r>
          </w:p>
        </w:tc>
        <w:tc>
          <w:tcPr>
            <w:tcW w:w="1379" w:type="pct"/>
            <w:tcBorders>
              <w:tl2br w:val="nil"/>
              <w:tr2bl w:val="nil"/>
            </w:tcBorders>
            <w:vAlign w:val="center"/>
          </w:tcPr>
          <w:p w14:paraId="4908BBD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最高投标限价</w:t>
            </w:r>
          </w:p>
        </w:tc>
        <w:tc>
          <w:tcPr>
            <w:tcW w:w="3020" w:type="pct"/>
            <w:tcBorders>
              <w:tl2br w:val="nil"/>
              <w:tr2bl w:val="nil"/>
            </w:tcBorders>
            <w:vAlign w:val="center"/>
          </w:tcPr>
          <w:p w14:paraId="6F19FDEA">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□无</w:t>
            </w:r>
          </w:p>
          <w:p w14:paraId="532EF4AA">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☑有，最高投标限价：</w:t>
            </w:r>
            <w:r>
              <w:rPr>
                <w:rFonts w:ascii="Times New Roman" w:hAnsi="Times New Roman" w:eastAsia="宋体" w:cs="宋体"/>
                <w:color w:val="auto"/>
                <w:sz w:val="24"/>
                <w:szCs w:val="24"/>
              </w:rPr>
              <w:t>2,953,790</w:t>
            </w:r>
            <w:r>
              <w:rPr>
                <w:rFonts w:hint="eastAsia" w:ascii="Times New Roman" w:hAnsi="Times New Roman" w:eastAsia="宋体" w:cs="宋体"/>
                <w:color w:val="auto"/>
                <w:sz w:val="24"/>
                <w:szCs w:val="24"/>
              </w:rPr>
              <w:t>元。</w:t>
            </w:r>
            <w:r>
              <w:rPr>
                <w:rFonts w:hint="eastAsia" w:ascii="Times New Roman" w:hAnsi="Times New Roman" w:eastAsia="宋体" w:cs="宋体"/>
                <w:color w:val="auto"/>
                <w:sz w:val="24"/>
                <w:szCs w:val="24"/>
                <w:u w:val="single"/>
              </w:rPr>
              <w:t>投标人的投标总价不得超出上述给出的招标控制价，否则，按废标处理</w:t>
            </w:r>
            <w:r>
              <w:rPr>
                <w:rFonts w:hint="eastAsia" w:ascii="Times New Roman" w:hAnsi="Times New Roman" w:eastAsia="宋体" w:cs="宋体"/>
                <w:color w:val="auto"/>
                <w:sz w:val="24"/>
                <w:szCs w:val="24"/>
              </w:rPr>
              <w:t>。</w:t>
            </w:r>
          </w:p>
        </w:tc>
      </w:tr>
      <w:tr w14:paraId="3F5EC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063233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3.2.5</w:t>
            </w:r>
          </w:p>
        </w:tc>
        <w:tc>
          <w:tcPr>
            <w:tcW w:w="1379" w:type="pct"/>
            <w:tcBorders>
              <w:tl2br w:val="nil"/>
              <w:tr2bl w:val="nil"/>
            </w:tcBorders>
            <w:vAlign w:val="center"/>
          </w:tcPr>
          <w:p w14:paraId="664B898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投标报价的其他要求</w:t>
            </w:r>
          </w:p>
        </w:tc>
        <w:tc>
          <w:tcPr>
            <w:tcW w:w="3020" w:type="pct"/>
            <w:tcBorders>
              <w:tl2br w:val="nil"/>
              <w:tr2bl w:val="nil"/>
            </w:tcBorders>
            <w:vAlign w:val="center"/>
          </w:tcPr>
          <w:p w14:paraId="7AE85DAD">
            <w:pPr>
              <w:pStyle w:val="6"/>
              <w:spacing w:line="380" w:lineRule="exact"/>
              <w:rPr>
                <w:rFonts w:cs="宋体"/>
                <w:sz w:val="24"/>
              </w:rPr>
            </w:pPr>
            <w:r>
              <w:rPr>
                <w:rFonts w:hint="eastAsia" w:cs="宋体"/>
                <w:sz w:val="24"/>
              </w:rPr>
              <w:t>详见供货要求</w:t>
            </w:r>
          </w:p>
        </w:tc>
      </w:tr>
      <w:tr w14:paraId="5D90A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12A0F1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3.3.1</w:t>
            </w:r>
          </w:p>
        </w:tc>
        <w:tc>
          <w:tcPr>
            <w:tcW w:w="1379" w:type="pct"/>
            <w:tcBorders>
              <w:tl2br w:val="nil"/>
              <w:tr2bl w:val="nil"/>
            </w:tcBorders>
            <w:vAlign w:val="center"/>
          </w:tcPr>
          <w:p w14:paraId="3591018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投标有效期</w:t>
            </w:r>
          </w:p>
        </w:tc>
        <w:tc>
          <w:tcPr>
            <w:tcW w:w="3020" w:type="pct"/>
            <w:tcBorders>
              <w:tl2br w:val="nil"/>
              <w:tr2bl w:val="nil"/>
            </w:tcBorders>
            <w:vAlign w:val="center"/>
          </w:tcPr>
          <w:p w14:paraId="16F55A2A">
            <w:pPr>
              <w:widowControl w:val="0"/>
              <w:snapToGrid w:val="0"/>
              <w:spacing w:after="0" w:line="380" w:lineRule="exact"/>
              <w:rPr>
                <w:rFonts w:ascii="Times New Roman" w:hAnsi="Times New Roman" w:eastAsia="宋体" w:cs="宋体"/>
                <w:color w:val="auto"/>
                <w:sz w:val="24"/>
                <w:szCs w:val="24"/>
              </w:rPr>
            </w:pPr>
            <w:r>
              <w:rPr>
                <w:bCs/>
                <w:color w:val="auto"/>
                <w:sz w:val="24"/>
                <w:szCs w:val="24"/>
              </w:rPr>
              <w:t>自提</w:t>
            </w:r>
            <w:r>
              <w:rPr>
                <w:rFonts w:hint="eastAsia"/>
                <w:bCs/>
                <w:color w:val="auto"/>
                <w:sz w:val="24"/>
                <w:szCs w:val="24"/>
              </w:rPr>
              <w:t>交投标文件的截止之日</w:t>
            </w:r>
            <w:r>
              <w:rPr>
                <w:bCs/>
                <w:color w:val="auto"/>
                <w:sz w:val="24"/>
                <w:szCs w:val="24"/>
              </w:rPr>
              <w:t>起</w:t>
            </w:r>
            <w:r>
              <w:rPr>
                <w:rFonts w:hint="eastAsia" w:eastAsia="宋体"/>
                <w:color w:val="auto"/>
                <w:sz w:val="24"/>
                <w:szCs w:val="24"/>
                <w:u w:val="single"/>
              </w:rPr>
              <w:t>90</w:t>
            </w:r>
            <w:r>
              <w:rPr>
                <w:color w:val="auto"/>
                <w:sz w:val="24"/>
                <w:szCs w:val="24"/>
              </w:rPr>
              <w:t>日历天</w:t>
            </w:r>
          </w:p>
        </w:tc>
      </w:tr>
      <w:tr w14:paraId="097BB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21E166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3.4.1</w:t>
            </w:r>
          </w:p>
        </w:tc>
        <w:tc>
          <w:tcPr>
            <w:tcW w:w="1379" w:type="pct"/>
            <w:tcBorders>
              <w:tl2br w:val="nil"/>
              <w:tr2bl w:val="nil"/>
            </w:tcBorders>
            <w:vAlign w:val="center"/>
          </w:tcPr>
          <w:p w14:paraId="274D399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投标保证金</w:t>
            </w:r>
          </w:p>
        </w:tc>
        <w:tc>
          <w:tcPr>
            <w:tcW w:w="3020" w:type="pct"/>
            <w:tcBorders>
              <w:tl2br w:val="nil"/>
              <w:tr2bl w:val="nil"/>
            </w:tcBorders>
            <w:vAlign w:val="center"/>
          </w:tcPr>
          <w:p w14:paraId="58A73217">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是否要求投标人递交投标保证金：</w:t>
            </w:r>
          </w:p>
          <w:p w14:paraId="21398D33">
            <w:pPr>
              <w:pStyle w:val="22"/>
              <w:spacing w:line="380" w:lineRule="exact"/>
              <w:rPr>
                <w:rFonts w:ascii="Times New Roman"/>
                <w:color w:val="auto"/>
              </w:rPr>
            </w:pPr>
            <w:r>
              <w:rPr>
                <w:rFonts w:hint="eastAsia" w:ascii="Times New Roman"/>
                <w:color w:val="auto"/>
              </w:rPr>
              <w:t>□ 不要求提交</w:t>
            </w:r>
          </w:p>
          <w:p w14:paraId="37EAA622">
            <w:pPr>
              <w:pStyle w:val="22"/>
              <w:spacing w:line="380" w:lineRule="exact"/>
              <w:rPr>
                <w:rFonts w:ascii="Times New Roman"/>
                <w:color w:val="auto"/>
              </w:rPr>
            </w:pPr>
            <w:r>
              <w:rPr>
                <w:rFonts w:hint="eastAsia" w:ascii="Times New Roman"/>
                <w:color w:val="auto"/>
              </w:rPr>
              <w:t>☑ 要求提交</w:t>
            </w:r>
          </w:p>
          <w:p w14:paraId="3FF44091">
            <w:pPr>
              <w:pStyle w:val="22"/>
              <w:spacing w:line="380" w:lineRule="exact"/>
              <w:ind w:firstLine="240" w:firstLineChars="100"/>
              <w:rPr>
                <w:rFonts w:ascii="Times New Roman"/>
                <w:color w:val="auto"/>
              </w:rPr>
            </w:pPr>
            <w:r>
              <w:rPr>
                <w:rFonts w:hint="eastAsia" w:ascii="Times New Roman"/>
                <w:color w:val="auto"/>
              </w:rPr>
              <w:t>1.投标保证金有效期：与投标有效期一致。</w:t>
            </w:r>
          </w:p>
          <w:p w14:paraId="185DC8D4">
            <w:pPr>
              <w:pStyle w:val="22"/>
              <w:spacing w:line="380" w:lineRule="exact"/>
              <w:ind w:firstLine="240" w:firstLineChars="100"/>
              <w:rPr>
                <w:rFonts w:ascii="Times New Roman"/>
                <w:color w:val="auto"/>
              </w:rPr>
            </w:pPr>
            <w:r>
              <w:rPr>
                <w:rFonts w:hint="eastAsia" w:ascii="Times New Roman"/>
                <w:color w:val="auto"/>
              </w:rPr>
              <w:t>2.投标保证金的形式：</w:t>
            </w:r>
          </w:p>
          <w:p w14:paraId="60EE31CC">
            <w:pPr>
              <w:pStyle w:val="22"/>
              <w:widowControl/>
              <w:spacing w:line="400" w:lineRule="exact"/>
              <w:ind w:firstLine="240" w:firstLineChars="100"/>
              <w:rPr>
                <w:rFonts w:ascii="Times New Roman" w:cs="Times New Roman"/>
                <w:color w:val="auto"/>
                <w:u w:val="single"/>
              </w:rPr>
            </w:pPr>
            <w:r>
              <w:rPr>
                <w:rFonts w:hint="eastAsia" w:ascii="Times New Roman" w:cs="Times New Roman"/>
                <w:color w:val="auto"/>
              </w:rPr>
              <w:t>☑</w:t>
            </w:r>
            <w:r>
              <w:rPr>
                <w:rFonts w:ascii="Times New Roman" w:cs="Times New Roman"/>
                <w:color w:val="auto"/>
              </w:rPr>
              <w:t xml:space="preserve"> </w:t>
            </w:r>
            <w:r>
              <w:rPr>
                <w:rFonts w:hint="eastAsia" w:ascii="Times New Roman" w:cs="Times New Roman"/>
                <w:color w:val="auto"/>
              </w:rPr>
              <w:t>电汇、☑</w:t>
            </w:r>
            <w:r>
              <w:rPr>
                <w:rFonts w:ascii="Times New Roman" w:cs="Times New Roman"/>
                <w:color w:val="auto"/>
              </w:rPr>
              <w:t xml:space="preserve"> </w:t>
            </w:r>
            <w:r>
              <w:rPr>
                <w:rFonts w:hint="eastAsia" w:ascii="Times New Roman" w:cs="Times New Roman"/>
                <w:color w:val="auto"/>
              </w:rPr>
              <w:t>保函、□支票、□其他：</w:t>
            </w:r>
            <w:r>
              <w:rPr>
                <w:rFonts w:ascii="Times New Roman" w:cs="Times New Roman"/>
                <w:color w:val="auto"/>
                <w:u w:val="single"/>
              </w:rPr>
              <w:t xml:space="preserve">        </w:t>
            </w:r>
          </w:p>
          <w:p w14:paraId="2CF95593">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3.投标保证金金额：</w:t>
            </w:r>
            <w:r>
              <w:rPr>
                <w:rFonts w:ascii="Times New Roman" w:hAnsi="Times New Roman" w:eastAsia="宋体" w:cs="宋体"/>
                <w:color w:val="auto"/>
                <w:sz w:val="24"/>
                <w:szCs w:val="24"/>
              </w:rPr>
              <w:t>5.9</w:t>
            </w:r>
            <w:r>
              <w:rPr>
                <w:rFonts w:hint="eastAsia" w:ascii="Times New Roman" w:hAnsi="Times New Roman" w:eastAsia="宋体" w:cs="宋体"/>
                <w:color w:val="auto"/>
                <w:sz w:val="24"/>
                <w:szCs w:val="24"/>
              </w:rPr>
              <w:t>万元人民币</w:t>
            </w:r>
          </w:p>
          <w:p w14:paraId="7454A28B">
            <w:pPr>
              <w:pStyle w:val="23"/>
              <w:widowControl w:val="0"/>
              <w:spacing w:line="380" w:lineRule="exact"/>
              <w:ind w:firstLine="240" w:firstLineChars="100"/>
              <w:rPr>
                <w:rFonts w:ascii="Times New Roman" w:hAnsi="Times New Roman" w:cs="宋体"/>
                <w:sz w:val="24"/>
                <w:szCs w:val="24"/>
              </w:rPr>
            </w:pPr>
            <w:r>
              <w:rPr>
                <w:rFonts w:hint="eastAsia" w:ascii="Times New Roman" w:hAnsi="Times New Roman" w:cs="宋体"/>
                <w:sz w:val="24"/>
                <w:szCs w:val="24"/>
              </w:rPr>
              <w:t>（1）电汇、支票：投标保证金必须是从投标人单位的基本账户转入收取投标保证金的账户。</w:t>
            </w:r>
          </w:p>
          <w:p w14:paraId="6DECACE6">
            <w:pPr>
              <w:spacing w:after="0" w:line="380" w:lineRule="exact"/>
              <w:ind w:firstLine="240" w:firstLineChars="100"/>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收取投标保证金账号：</w:t>
            </w:r>
          </w:p>
          <w:p w14:paraId="2BB1DDE1">
            <w:pPr>
              <w:pStyle w:val="22"/>
              <w:snapToGrid w:val="0"/>
              <w:spacing w:line="380" w:lineRule="exact"/>
              <w:ind w:firstLine="240" w:firstLineChars="100"/>
              <w:rPr>
                <w:rFonts w:ascii="Times New Roman"/>
                <w:color w:val="auto"/>
              </w:rPr>
            </w:pPr>
            <w:r>
              <w:rPr>
                <w:rFonts w:hint="eastAsia" w:ascii="Times New Roman"/>
                <w:color w:val="auto"/>
              </w:rPr>
              <w:t>开户银行：</w:t>
            </w:r>
            <w:r>
              <w:rPr>
                <w:rFonts w:hint="eastAsia" w:ascii="Times New Roman"/>
                <w:color w:val="auto"/>
                <w:u w:val="single"/>
              </w:rPr>
              <w:t>中国农业银行股份有限公司沈阳铁西支行</w:t>
            </w:r>
          </w:p>
          <w:p w14:paraId="6199D0FC">
            <w:pPr>
              <w:pStyle w:val="22"/>
              <w:snapToGrid w:val="0"/>
              <w:spacing w:line="380" w:lineRule="exact"/>
              <w:ind w:firstLine="240" w:firstLineChars="100"/>
              <w:rPr>
                <w:rFonts w:ascii="Times New Roman"/>
                <w:color w:val="auto"/>
              </w:rPr>
            </w:pPr>
            <w:r>
              <w:rPr>
                <w:rFonts w:hint="eastAsia" w:ascii="Times New Roman"/>
                <w:color w:val="auto"/>
              </w:rPr>
              <w:t>账户名称：</w:t>
            </w:r>
            <w:r>
              <w:rPr>
                <w:rFonts w:hint="eastAsia" w:ascii="Times New Roman"/>
                <w:color w:val="auto"/>
                <w:u w:val="single"/>
              </w:rPr>
              <w:t>辽宁省公共资源交易中心</w:t>
            </w:r>
          </w:p>
          <w:p w14:paraId="64F341FD">
            <w:pPr>
              <w:pStyle w:val="22"/>
              <w:snapToGrid w:val="0"/>
              <w:spacing w:line="380" w:lineRule="exact"/>
              <w:ind w:firstLine="240" w:firstLineChars="100"/>
              <w:rPr>
                <w:rFonts w:ascii="Times New Roman"/>
                <w:color w:val="auto"/>
              </w:rPr>
            </w:pPr>
            <w:r>
              <w:rPr>
                <w:rFonts w:hint="eastAsia" w:ascii="Times New Roman"/>
                <w:color w:val="auto"/>
              </w:rPr>
              <w:t>账    号：</w:t>
            </w:r>
            <w:r>
              <w:rPr>
                <w:rFonts w:hint="eastAsia" w:ascii="Times New Roman"/>
                <w:color w:val="auto"/>
                <w:highlight w:val="yellow"/>
                <w:u w:val="single"/>
              </w:rPr>
              <w:t>061820010400315671904465642</w:t>
            </w:r>
          </w:p>
          <w:p w14:paraId="63377D12">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a.请将投标保证金在投标截止时间前转入收取投标保证金的账户，以到账时间为准。</w:t>
            </w:r>
          </w:p>
          <w:p w14:paraId="62C60689">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b.投标保证金退还时一律以银行转账方式退回，不退现金。</w:t>
            </w:r>
          </w:p>
          <w:p w14:paraId="61F59E4B">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c.投标保证金的退还事宜请与招标代理机构联系，电话：</w:t>
            </w:r>
            <w:r>
              <w:rPr>
                <w:rFonts w:hint="eastAsia" w:ascii="Times New Roman" w:hAnsi="Times New Roman" w:eastAsia="宋体" w:cs="宋体"/>
                <w:color w:val="auto"/>
                <w:sz w:val="24"/>
                <w:szCs w:val="24"/>
                <w:u w:val="single"/>
              </w:rPr>
              <w:t>024-31338828、13889106313</w:t>
            </w:r>
            <w:r>
              <w:rPr>
                <w:rFonts w:hint="eastAsia" w:ascii="Times New Roman" w:hAnsi="Times New Roman" w:eastAsia="宋体" w:cs="宋体"/>
                <w:color w:val="auto"/>
                <w:sz w:val="24"/>
                <w:szCs w:val="24"/>
              </w:rPr>
              <w:t xml:space="preserve"> 。</w:t>
            </w:r>
          </w:p>
          <w:p w14:paraId="26C68BFF">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（2）保函（包括：银行业金融机构保函、担保公司担保保函等）</w:t>
            </w:r>
          </w:p>
          <w:p w14:paraId="29F58CEE">
            <w:pPr>
              <w:spacing w:after="0" w:line="380" w:lineRule="exact"/>
              <w:ind w:firstLine="240" w:firstLineChars="1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递交要求：</w:t>
            </w:r>
            <w:r>
              <w:rPr>
                <w:rFonts w:hint="eastAsia" w:ascii="Times New Roman" w:hAnsi="Times New Roman" w:eastAsia="宋体" w:cs="宋体"/>
                <w:color w:val="auto"/>
                <w:sz w:val="24"/>
                <w:szCs w:val="24"/>
                <w:u w:val="single"/>
              </w:rPr>
              <w:t>合法有效</w:t>
            </w:r>
          </w:p>
          <w:p w14:paraId="4C2C5164">
            <w:pPr>
              <w:pStyle w:val="22"/>
              <w:spacing w:line="380" w:lineRule="exact"/>
              <w:ind w:firstLine="240" w:firstLineChars="100"/>
              <w:rPr>
                <w:rFonts w:ascii="Times New Roman"/>
                <w:color w:val="auto"/>
                <w:u w:val="single"/>
              </w:rPr>
            </w:pPr>
            <w:r>
              <w:rPr>
                <w:rFonts w:hint="eastAsia" w:ascii="Times New Roman"/>
                <w:color w:val="auto"/>
              </w:rPr>
              <w:t>4.其他：</w:t>
            </w:r>
            <w:r>
              <w:rPr>
                <w:rFonts w:hint="eastAsia" w:ascii="Times New Roman"/>
                <w:color w:val="auto"/>
                <w:u w:val="single"/>
              </w:rPr>
              <w:t xml:space="preserve">                     </w:t>
            </w:r>
          </w:p>
          <w:p w14:paraId="5B3B3561">
            <w:pPr>
              <w:pStyle w:val="22"/>
              <w:spacing w:line="380" w:lineRule="exact"/>
              <w:rPr>
                <w:rFonts w:ascii="Times New Roman"/>
                <w:b/>
                <w:color w:val="auto"/>
                <w:u w:val="single"/>
              </w:rPr>
            </w:pPr>
            <w:r>
              <w:rPr>
                <w:rFonts w:hint="eastAsia" w:ascii="Times New Roman"/>
                <w:color w:val="auto"/>
              </w:rPr>
              <w:t>（</w:t>
            </w:r>
            <w:r>
              <w:rPr>
                <w:rFonts w:hint="eastAsia" w:ascii="Times New Roman"/>
                <w:b/>
                <w:bCs/>
                <w:color w:val="auto"/>
              </w:rPr>
              <w:t>说明：上述规定可根据各地交易中心具体规定编写</w:t>
            </w:r>
            <w:r>
              <w:rPr>
                <w:rFonts w:hint="eastAsia" w:ascii="Times New Roman"/>
                <w:color w:val="auto"/>
              </w:rPr>
              <w:t>）</w:t>
            </w:r>
          </w:p>
        </w:tc>
      </w:tr>
      <w:tr w14:paraId="6146A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96BECC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3.4.4</w:t>
            </w:r>
          </w:p>
        </w:tc>
        <w:tc>
          <w:tcPr>
            <w:tcW w:w="1379" w:type="pct"/>
            <w:tcBorders>
              <w:tl2br w:val="nil"/>
              <w:tr2bl w:val="nil"/>
            </w:tcBorders>
            <w:vAlign w:val="center"/>
          </w:tcPr>
          <w:p w14:paraId="6C667E2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其他可以不予退还投标保证金的情形</w:t>
            </w:r>
          </w:p>
        </w:tc>
        <w:tc>
          <w:tcPr>
            <w:tcW w:w="3020" w:type="pct"/>
            <w:tcBorders>
              <w:tl2br w:val="nil"/>
              <w:tr2bl w:val="nil"/>
            </w:tcBorders>
            <w:vAlign w:val="center"/>
          </w:tcPr>
          <w:p w14:paraId="3301A5E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投标人在投标过程中违反“投标人须知”第3.4.4条规定</w:t>
            </w:r>
          </w:p>
        </w:tc>
      </w:tr>
      <w:tr w14:paraId="31005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D9F4AE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w:t>
            </w:r>
          </w:p>
        </w:tc>
        <w:tc>
          <w:tcPr>
            <w:tcW w:w="1379" w:type="pct"/>
            <w:tcBorders>
              <w:tl2br w:val="nil"/>
              <w:tr2bl w:val="nil"/>
            </w:tcBorders>
            <w:vAlign w:val="center"/>
          </w:tcPr>
          <w:p w14:paraId="130914F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资格审查资料的特殊要求</w:t>
            </w:r>
          </w:p>
        </w:tc>
        <w:tc>
          <w:tcPr>
            <w:tcW w:w="3020" w:type="pct"/>
            <w:tcBorders>
              <w:tl2br w:val="nil"/>
              <w:tr2bl w:val="nil"/>
            </w:tcBorders>
            <w:vAlign w:val="center"/>
          </w:tcPr>
          <w:p w14:paraId="5E766FF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☑无 。</w:t>
            </w:r>
          </w:p>
          <w:p w14:paraId="00B1687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□有，具体要求： </w:t>
            </w:r>
          </w:p>
        </w:tc>
      </w:tr>
      <w:tr w14:paraId="2F82D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75DBA78B">
            <w:pPr>
              <w:spacing w:after="0" w:line="380" w:lineRule="exact"/>
              <w:ind w:right="106"/>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3.5.2</w:t>
            </w:r>
          </w:p>
        </w:tc>
        <w:tc>
          <w:tcPr>
            <w:tcW w:w="1379" w:type="pct"/>
            <w:tcBorders>
              <w:tl2br w:val="nil"/>
              <w:tr2bl w:val="nil"/>
            </w:tcBorders>
            <w:vAlign w:val="center"/>
          </w:tcPr>
          <w:p w14:paraId="06B77C5E">
            <w:pPr>
              <w:pStyle w:val="22"/>
              <w:widowControl/>
              <w:spacing w:line="400" w:lineRule="exact"/>
              <w:jc w:val="center"/>
              <w:rPr>
                <w:rFonts w:ascii="Times New Roman"/>
                <w:color w:val="auto"/>
              </w:rPr>
            </w:pPr>
            <w:r>
              <w:rPr>
                <w:rFonts w:ascii="Times New Roman" w:cs="Times New Roman"/>
                <w:color w:val="auto"/>
              </w:rPr>
              <w:t>近年财务状况的</w:t>
            </w:r>
            <w:r>
              <w:rPr>
                <w:rFonts w:hint="eastAsia" w:ascii="Times New Roman" w:cs="Times New Roman"/>
                <w:color w:val="auto"/>
              </w:rPr>
              <w:t>时间</w:t>
            </w:r>
            <w:r>
              <w:rPr>
                <w:rFonts w:ascii="Times New Roman" w:cs="Times New Roman"/>
                <w:color w:val="auto"/>
              </w:rPr>
              <w:t>要求</w:t>
            </w:r>
          </w:p>
        </w:tc>
        <w:tc>
          <w:tcPr>
            <w:tcW w:w="3020" w:type="pct"/>
            <w:tcBorders>
              <w:tl2br w:val="nil"/>
              <w:tr2bl w:val="nil"/>
            </w:tcBorders>
            <w:vAlign w:val="center"/>
          </w:tcPr>
          <w:p w14:paraId="482ADD91">
            <w:pPr>
              <w:spacing w:line="400" w:lineRule="exact"/>
              <w:rPr>
                <w:rFonts w:ascii="Times New Roman" w:hAnsi="Times New Roman" w:eastAsia="宋体" w:cs="宋体"/>
                <w:color w:val="auto"/>
                <w:sz w:val="24"/>
                <w:szCs w:val="24"/>
              </w:rPr>
            </w:pPr>
            <w:r>
              <w:rPr>
                <w:rFonts w:hint="eastAsia"/>
                <w:color w:val="auto"/>
                <w:sz w:val="24"/>
                <w:szCs w:val="24"/>
              </w:rPr>
              <w:t>近</w:t>
            </w:r>
            <w:r>
              <w:rPr>
                <w:color w:val="auto"/>
                <w:sz w:val="24"/>
                <w:szCs w:val="24"/>
                <w:u w:val="single"/>
              </w:rPr>
              <w:t xml:space="preserve">      </w:t>
            </w:r>
            <w:r>
              <w:rPr>
                <w:rFonts w:hint="eastAsia"/>
                <w:color w:val="auto"/>
                <w:sz w:val="24"/>
                <w:szCs w:val="24"/>
              </w:rPr>
              <w:t>年（</w:t>
            </w:r>
            <w:r>
              <w:rPr>
                <w:color w:val="auto"/>
                <w:sz w:val="24"/>
                <w:szCs w:val="24"/>
                <w:u w:val="single"/>
              </w:rPr>
              <w:t xml:space="preserve">      </w:t>
            </w:r>
            <w:r>
              <w:rPr>
                <w:rFonts w:hint="eastAsia"/>
                <w:color w:val="auto"/>
                <w:sz w:val="24"/>
                <w:szCs w:val="24"/>
              </w:rPr>
              <w:t>年～</w:t>
            </w:r>
            <w:r>
              <w:rPr>
                <w:color w:val="auto"/>
                <w:sz w:val="24"/>
                <w:szCs w:val="24"/>
                <w:u w:val="single"/>
              </w:rPr>
              <w:t xml:space="preserve">      </w:t>
            </w:r>
            <w:r>
              <w:rPr>
                <w:rFonts w:hint="eastAsia"/>
                <w:color w:val="auto"/>
                <w:sz w:val="24"/>
                <w:szCs w:val="24"/>
              </w:rPr>
              <w:t>年）</w:t>
            </w:r>
          </w:p>
        </w:tc>
      </w:tr>
      <w:tr w14:paraId="6EFCE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AB53FE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3.5.3</w:t>
            </w:r>
          </w:p>
        </w:tc>
        <w:tc>
          <w:tcPr>
            <w:tcW w:w="1379" w:type="pct"/>
            <w:tcBorders>
              <w:tl2br w:val="nil"/>
              <w:tr2bl w:val="nil"/>
            </w:tcBorders>
            <w:vAlign w:val="center"/>
          </w:tcPr>
          <w:p w14:paraId="26619D38">
            <w:pPr>
              <w:pStyle w:val="22"/>
              <w:widowControl/>
              <w:spacing w:line="400" w:lineRule="exact"/>
              <w:jc w:val="center"/>
              <w:rPr>
                <w:rFonts w:ascii="Times New Roman"/>
                <w:color w:val="auto"/>
              </w:rPr>
            </w:pPr>
            <w:r>
              <w:rPr>
                <w:rFonts w:ascii="Times New Roman" w:cs="Times New Roman"/>
                <w:color w:val="auto"/>
              </w:rPr>
              <w:t>近年完成的类似项目的</w:t>
            </w:r>
            <w:r>
              <w:rPr>
                <w:rFonts w:hint="eastAsia" w:ascii="Times New Roman" w:cs="Times New Roman"/>
                <w:color w:val="auto"/>
              </w:rPr>
              <w:t>时间</w:t>
            </w:r>
            <w:r>
              <w:rPr>
                <w:rFonts w:ascii="Times New Roman" w:cs="Times New Roman"/>
                <w:color w:val="auto"/>
              </w:rPr>
              <w:t>要求</w:t>
            </w:r>
          </w:p>
        </w:tc>
        <w:tc>
          <w:tcPr>
            <w:tcW w:w="3020" w:type="pct"/>
            <w:tcBorders>
              <w:tl2br w:val="nil"/>
              <w:tr2bl w:val="nil"/>
            </w:tcBorders>
            <w:vAlign w:val="center"/>
          </w:tcPr>
          <w:p w14:paraId="09D94371">
            <w:pPr>
              <w:spacing w:line="400" w:lineRule="exact"/>
              <w:rPr>
                <w:rFonts w:ascii="Times New Roman" w:hAnsi="Times New Roman" w:eastAsia="宋体" w:cs="宋体"/>
                <w:color w:val="auto"/>
                <w:sz w:val="24"/>
                <w:szCs w:val="24"/>
              </w:rPr>
            </w:pPr>
            <w:r>
              <w:rPr>
                <w:rFonts w:hint="eastAsia"/>
                <w:color w:val="auto"/>
                <w:sz w:val="24"/>
                <w:szCs w:val="24"/>
              </w:rPr>
              <w:t>近</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年（指</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年</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月</w:t>
            </w:r>
            <w:r>
              <w:rPr>
                <w:color w:val="auto"/>
                <w:sz w:val="24"/>
                <w:szCs w:val="24"/>
                <w:u w:val="single"/>
              </w:rPr>
              <w:t xml:space="preserve">   </w:t>
            </w:r>
            <w:r>
              <w:rPr>
                <w:rFonts w:hint="eastAsia" w:eastAsia="宋体"/>
                <w:color w:val="auto"/>
                <w:sz w:val="24"/>
                <w:szCs w:val="24"/>
                <w:u w:val="single"/>
              </w:rPr>
              <w:t xml:space="preserve"> </w:t>
            </w:r>
            <w:r>
              <w:rPr>
                <w:rFonts w:hint="eastAsia"/>
                <w:color w:val="auto"/>
                <w:sz w:val="24"/>
                <w:szCs w:val="24"/>
              </w:rPr>
              <w:t>日</w:t>
            </w:r>
            <w:r>
              <w:rPr>
                <w:color w:val="auto"/>
                <w:sz w:val="24"/>
                <w:szCs w:val="24"/>
              </w:rPr>
              <w:t>～</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年</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月</w:t>
            </w:r>
            <w:r>
              <w:rPr>
                <w:color w:val="auto"/>
                <w:sz w:val="24"/>
                <w:szCs w:val="24"/>
                <w:u w:val="single"/>
              </w:rPr>
              <w:t xml:space="preserve"> </w:t>
            </w:r>
            <w:r>
              <w:rPr>
                <w:rFonts w:hint="eastAsia" w:eastAsia="宋体"/>
                <w:color w:val="auto"/>
                <w:sz w:val="24"/>
                <w:szCs w:val="24"/>
                <w:u w:val="single"/>
              </w:rPr>
              <w:t xml:space="preserve"> </w:t>
            </w:r>
            <w:r>
              <w:rPr>
                <w:color w:val="auto"/>
                <w:sz w:val="24"/>
                <w:szCs w:val="24"/>
                <w:u w:val="single"/>
              </w:rPr>
              <w:t xml:space="preserve"> </w:t>
            </w:r>
            <w:r>
              <w:rPr>
                <w:rFonts w:hint="eastAsia"/>
                <w:color w:val="auto"/>
                <w:sz w:val="24"/>
                <w:szCs w:val="24"/>
              </w:rPr>
              <w:t>日</w:t>
            </w:r>
            <w:r>
              <w:rPr>
                <w:color w:val="auto"/>
                <w:sz w:val="24"/>
                <w:szCs w:val="24"/>
              </w:rPr>
              <w:t>）</w:t>
            </w:r>
          </w:p>
        </w:tc>
      </w:tr>
      <w:tr w14:paraId="270B9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784B753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3.5.5</w:t>
            </w:r>
          </w:p>
        </w:tc>
        <w:tc>
          <w:tcPr>
            <w:tcW w:w="1379" w:type="pct"/>
            <w:tcBorders>
              <w:tl2br w:val="nil"/>
              <w:tr2bl w:val="nil"/>
            </w:tcBorders>
            <w:vAlign w:val="center"/>
          </w:tcPr>
          <w:p w14:paraId="01DDAD75">
            <w:pPr>
              <w:pStyle w:val="22"/>
              <w:widowControl/>
              <w:spacing w:line="400" w:lineRule="exact"/>
              <w:jc w:val="center"/>
              <w:rPr>
                <w:rFonts w:ascii="Times New Roman"/>
                <w:color w:val="auto"/>
              </w:rPr>
            </w:pPr>
            <w:r>
              <w:rPr>
                <w:rFonts w:ascii="Times New Roman" w:cs="Times New Roman"/>
                <w:color w:val="auto"/>
              </w:rPr>
              <w:t>近年发生的诉讼及仲裁情况的</w:t>
            </w:r>
            <w:r>
              <w:rPr>
                <w:rFonts w:hint="eastAsia" w:ascii="Times New Roman" w:cs="Times New Roman"/>
                <w:color w:val="auto"/>
              </w:rPr>
              <w:t>时间</w:t>
            </w:r>
            <w:r>
              <w:rPr>
                <w:rFonts w:ascii="Times New Roman" w:cs="Times New Roman"/>
                <w:color w:val="auto"/>
              </w:rPr>
              <w:t>要求</w:t>
            </w:r>
          </w:p>
        </w:tc>
        <w:tc>
          <w:tcPr>
            <w:tcW w:w="3020" w:type="pct"/>
            <w:tcBorders>
              <w:tl2br w:val="nil"/>
              <w:tr2bl w:val="nil"/>
            </w:tcBorders>
            <w:vAlign w:val="center"/>
          </w:tcPr>
          <w:p w14:paraId="30542491">
            <w:pPr>
              <w:spacing w:line="400" w:lineRule="exact"/>
              <w:rPr>
                <w:rFonts w:ascii="Times New Roman" w:hAnsi="Times New Roman" w:eastAsia="宋体" w:cs="宋体"/>
                <w:color w:val="auto"/>
                <w:sz w:val="24"/>
                <w:szCs w:val="24"/>
              </w:rPr>
            </w:pPr>
            <w:r>
              <w:rPr>
                <w:rFonts w:hint="eastAsia"/>
                <w:color w:val="auto"/>
                <w:sz w:val="24"/>
                <w:szCs w:val="24"/>
              </w:rPr>
              <w:t>近</w:t>
            </w:r>
            <w:r>
              <w:rPr>
                <w:rFonts w:hint="eastAsia" w:eastAsia="宋体"/>
                <w:color w:val="auto"/>
                <w:sz w:val="24"/>
                <w:szCs w:val="24"/>
                <w:u w:val="single"/>
              </w:rPr>
              <w:t>3</w:t>
            </w:r>
            <w:r>
              <w:rPr>
                <w:color w:val="auto"/>
                <w:sz w:val="24"/>
                <w:szCs w:val="24"/>
              </w:rPr>
              <w:t>年（指</w:t>
            </w:r>
            <w:r>
              <w:rPr>
                <w:rFonts w:hint="eastAsia" w:eastAsia="宋体"/>
                <w:color w:val="auto"/>
                <w:sz w:val="24"/>
                <w:szCs w:val="24"/>
                <w:u w:val="single"/>
              </w:rPr>
              <w:t>2022</w:t>
            </w:r>
            <w:r>
              <w:rPr>
                <w:color w:val="auto"/>
                <w:sz w:val="24"/>
                <w:szCs w:val="24"/>
              </w:rPr>
              <w:t>年</w:t>
            </w:r>
            <w:r>
              <w:rPr>
                <w:rFonts w:hint="eastAsia" w:eastAsia="宋体"/>
                <w:color w:val="auto"/>
                <w:sz w:val="24"/>
                <w:szCs w:val="24"/>
                <w:u w:val="single"/>
              </w:rPr>
              <w:t>1</w:t>
            </w:r>
            <w:r>
              <w:rPr>
                <w:color w:val="auto"/>
                <w:sz w:val="24"/>
                <w:szCs w:val="24"/>
              </w:rPr>
              <w:t>月</w:t>
            </w:r>
            <w:r>
              <w:rPr>
                <w:rFonts w:hint="eastAsia" w:eastAsia="宋体"/>
                <w:color w:val="auto"/>
                <w:sz w:val="24"/>
                <w:szCs w:val="24"/>
                <w:u w:val="single"/>
              </w:rPr>
              <w:t>1</w:t>
            </w:r>
            <w:r>
              <w:rPr>
                <w:rFonts w:hint="eastAsia"/>
                <w:color w:val="auto"/>
                <w:sz w:val="24"/>
                <w:szCs w:val="24"/>
              </w:rPr>
              <w:t>日</w:t>
            </w:r>
            <w:r>
              <w:rPr>
                <w:rFonts w:hint="eastAsia" w:eastAsia="宋体"/>
                <w:color w:val="auto"/>
                <w:sz w:val="24"/>
                <w:szCs w:val="24"/>
              </w:rPr>
              <w:t>—</w:t>
            </w:r>
            <w:r>
              <w:rPr>
                <w:rFonts w:hint="eastAsia" w:eastAsia="宋体"/>
                <w:color w:val="auto"/>
                <w:sz w:val="24"/>
                <w:szCs w:val="24"/>
                <w:u w:val="single"/>
              </w:rPr>
              <w:t>2025</w:t>
            </w:r>
            <w:r>
              <w:rPr>
                <w:color w:val="auto"/>
                <w:sz w:val="24"/>
                <w:szCs w:val="24"/>
              </w:rPr>
              <w:t>年</w:t>
            </w:r>
            <w:r>
              <w:rPr>
                <w:rFonts w:hint="eastAsia" w:eastAsia="宋体"/>
                <w:color w:val="auto"/>
                <w:sz w:val="24"/>
                <w:szCs w:val="24"/>
                <w:u w:val="single"/>
              </w:rPr>
              <w:t>1</w:t>
            </w:r>
            <w:r>
              <w:rPr>
                <w:color w:val="auto"/>
                <w:sz w:val="24"/>
                <w:szCs w:val="24"/>
              </w:rPr>
              <w:t>月</w:t>
            </w:r>
            <w:r>
              <w:rPr>
                <w:rFonts w:hint="eastAsia" w:eastAsia="宋体"/>
                <w:color w:val="auto"/>
                <w:sz w:val="24"/>
                <w:szCs w:val="24"/>
                <w:u w:val="single"/>
              </w:rPr>
              <w:t>1</w:t>
            </w:r>
            <w:r>
              <w:rPr>
                <w:rFonts w:hint="eastAsia"/>
                <w:color w:val="auto"/>
                <w:sz w:val="24"/>
                <w:szCs w:val="24"/>
              </w:rPr>
              <w:t>日</w:t>
            </w:r>
            <w:r>
              <w:rPr>
                <w:color w:val="auto"/>
                <w:sz w:val="24"/>
                <w:szCs w:val="24"/>
              </w:rPr>
              <w:t>）</w:t>
            </w:r>
          </w:p>
        </w:tc>
      </w:tr>
      <w:tr w14:paraId="16ACE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2D1753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3.6.1</w:t>
            </w:r>
          </w:p>
        </w:tc>
        <w:tc>
          <w:tcPr>
            <w:tcW w:w="1379" w:type="pct"/>
            <w:tcBorders>
              <w:tl2br w:val="nil"/>
              <w:tr2bl w:val="nil"/>
            </w:tcBorders>
            <w:vAlign w:val="center"/>
          </w:tcPr>
          <w:p w14:paraId="388A5EF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是否允许递交备选投标方案</w:t>
            </w:r>
          </w:p>
        </w:tc>
        <w:tc>
          <w:tcPr>
            <w:tcW w:w="3020" w:type="pct"/>
            <w:tcBorders>
              <w:tl2br w:val="nil"/>
              <w:tr2bl w:val="nil"/>
            </w:tcBorders>
            <w:vAlign w:val="center"/>
          </w:tcPr>
          <w:p w14:paraId="2F6A65CE">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☑不允许 </w:t>
            </w:r>
          </w:p>
          <w:p w14:paraId="1FD0572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□允许 </w:t>
            </w:r>
          </w:p>
        </w:tc>
      </w:tr>
      <w:tr w14:paraId="44D45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19F13B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3.7.3</w:t>
            </w:r>
          </w:p>
        </w:tc>
        <w:tc>
          <w:tcPr>
            <w:tcW w:w="1379" w:type="pct"/>
            <w:tcBorders>
              <w:tl2br w:val="nil"/>
              <w:tr2bl w:val="nil"/>
            </w:tcBorders>
            <w:vAlign w:val="center"/>
          </w:tcPr>
          <w:p w14:paraId="4EC411E5">
            <w:pPr>
              <w:spacing w:line="400" w:lineRule="exact"/>
              <w:jc w:val="center"/>
              <w:rPr>
                <w:rFonts w:ascii="Times New Roman" w:hAnsi="Times New Roman" w:eastAsia="宋体" w:cs="宋体"/>
                <w:color w:val="auto"/>
                <w:sz w:val="24"/>
                <w:szCs w:val="24"/>
              </w:rPr>
            </w:pPr>
            <w:r>
              <w:rPr>
                <w:rFonts w:hint="eastAsia" w:ascii="Times New Roman" w:hAnsi="Times New Roman" w:eastAsia="宋体"/>
                <w:color w:val="auto"/>
                <w:sz w:val="24"/>
                <w:szCs w:val="24"/>
              </w:rPr>
              <w:t>投标文件</w:t>
            </w:r>
            <w:r>
              <w:rPr>
                <w:rFonts w:ascii="Times New Roman" w:hAnsi="Times New Roman" w:eastAsia="宋体"/>
                <w:color w:val="auto"/>
                <w:sz w:val="24"/>
                <w:szCs w:val="24"/>
              </w:rPr>
              <w:t>签章要求</w:t>
            </w:r>
          </w:p>
        </w:tc>
        <w:tc>
          <w:tcPr>
            <w:tcW w:w="3020" w:type="pct"/>
            <w:tcBorders>
              <w:tl2br w:val="nil"/>
              <w:tr2bl w:val="nil"/>
            </w:tcBorders>
            <w:vAlign w:val="center"/>
          </w:tcPr>
          <w:p w14:paraId="52EF63CB">
            <w:pPr>
              <w:spacing w:after="0" w:line="380" w:lineRule="exact"/>
              <w:rPr>
                <w:rFonts w:ascii="Times New Roman" w:hAnsi="Times New Roman" w:eastAsia="宋体" w:cs="宋体"/>
                <w:color w:val="auto"/>
                <w:sz w:val="24"/>
                <w:szCs w:val="24"/>
              </w:rPr>
            </w:pPr>
            <w:r>
              <w:rPr>
                <w:rFonts w:hint="eastAsia" w:ascii="Times New Roman" w:hAnsi="Times New Roman" w:eastAsia="宋体"/>
                <w:color w:val="auto"/>
                <w:sz w:val="24"/>
                <w:szCs w:val="24"/>
              </w:rPr>
              <w:t>（1）第八章“投标文件格式”中要求盖单位公章、</w:t>
            </w:r>
            <w:r>
              <w:rPr>
                <w:rFonts w:ascii="Times New Roman" w:hAnsi="Times New Roman" w:eastAsia="宋体"/>
                <w:color w:val="auto"/>
                <w:sz w:val="24"/>
                <w:szCs w:val="24"/>
              </w:rPr>
              <w:t>法定代表人或授权委托代理人签章</w:t>
            </w:r>
            <w:r>
              <w:rPr>
                <w:rFonts w:hint="eastAsia" w:ascii="Times New Roman" w:hAnsi="Times New Roman" w:eastAsia="宋体"/>
                <w:color w:val="auto"/>
                <w:sz w:val="24"/>
                <w:szCs w:val="24"/>
              </w:rPr>
              <w:t>的地方，投标人均应使用</w:t>
            </w:r>
            <w:r>
              <w:rPr>
                <w:rFonts w:ascii="Times New Roman" w:hAnsi="Times New Roman" w:eastAsia="宋体"/>
                <w:color w:val="auto"/>
                <w:sz w:val="24"/>
                <w:szCs w:val="24"/>
              </w:rPr>
              <w:t>CA</w:t>
            </w:r>
            <w:r>
              <w:rPr>
                <w:rFonts w:hint="eastAsia" w:ascii="Times New Roman" w:hAnsi="Times New Roman" w:eastAsia="宋体"/>
                <w:color w:val="auto"/>
                <w:sz w:val="24"/>
                <w:szCs w:val="24"/>
              </w:rPr>
              <w:t>数字证书进行签章。</w:t>
            </w:r>
          </w:p>
        </w:tc>
      </w:tr>
      <w:tr w14:paraId="67C0C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09D503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4.1.1</w:t>
            </w:r>
          </w:p>
        </w:tc>
        <w:tc>
          <w:tcPr>
            <w:tcW w:w="1379" w:type="pct"/>
            <w:tcBorders>
              <w:tl2br w:val="nil"/>
              <w:tr2bl w:val="nil"/>
            </w:tcBorders>
            <w:vAlign w:val="center"/>
          </w:tcPr>
          <w:p w14:paraId="4E1AACD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投标文件加密要求</w:t>
            </w:r>
          </w:p>
        </w:tc>
        <w:tc>
          <w:tcPr>
            <w:tcW w:w="3020" w:type="pct"/>
            <w:tcBorders>
              <w:tl2br w:val="nil"/>
              <w:tr2bl w:val="nil"/>
            </w:tcBorders>
            <w:vAlign w:val="center"/>
          </w:tcPr>
          <w:p w14:paraId="7066692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（1）投标文件应按照本章第3.7项要求制作，并按投标人须知表3.7.4项要求使用带有电子印章的CA数字证书进行签章。 </w:t>
            </w:r>
          </w:p>
          <w:p w14:paraId="23DE142E">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（2）未按要求使用电子投标文件制作工具制作的投标文件并使用带有电子印章的CA数字证书进行签章的，电子开标软件将无法接收，招标人不予受理。</w:t>
            </w:r>
          </w:p>
          <w:p w14:paraId="19B8F5F7">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（3）投标文件制作完成后，投标人应使用CA数字证书对投标文件进行文件加密，生成加密的投标文件。</w:t>
            </w:r>
          </w:p>
        </w:tc>
      </w:tr>
      <w:tr w14:paraId="113CF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8F728F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4.2.1</w:t>
            </w:r>
          </w:p>
        </w:tc>
        <w:tc>
          <w:tcPr>
            <w:tcW w:w="1379" w:type="pct"/>
            <w:tcBorders>
              <w:tl2br w:val="nil"/>
              <w:tr2bl w:val="nil"/>
            </w:tcBorders>
            <w:vAlign w:val="center"/>
          </w:tcPr>
          <w:p w14:paraId="6CEACE49">
            <w:pPr>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投标截止时间</w:t>
            </w:r>
          </w:p>
        </w:tc>
        <w:tc>
          <w:tcPr>
            <w:tcW w:w="3020" w:type="pct"/>
            <w:tcBorders>
              <w:tl2br w:val="nil"/>
              <w:tr2bl w:val="nil"/>
            </w:tcBorders>
            <w:vAlign w:val="center"/>
          </w:tcPr>
          <w:p w14:paraId="06F8C8D3">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highlight w:val="yellow"/>
                <w:u w:val="single"/>
              </w:rPr>
              <w:t>2025</w:t>
            </w:r>
            <w:r>
              <w:rPr>
                <w:rFonts w:hint="eastAsia" w:ascii="Times New Roman" w:hAnsi="Times New Roman" w:eastAsia="宋体" w:cs="宋体"/>
                <w:color w:val="auto"/>
                <w:sz w:val="24"/>
                <w:szCs w:val="24"/>
                <w:highlight w:val="yellow"/>
              </w:rPr>
              <w:t>年</w:t>
            </w:r>
            <w:r>
              <w:rPr>
                <w:rFonts w:hint="eastAsia" w:ascii="Times New Roman" w:hAnsi="Times New Roman" w:eastAsia="宋体" w:cs="宋体"/>
                <w:color w:val="auto"/>
                <w:sz w:val="24"/>
                <w:szCs w:val="24"/>
                <w:highlight w:val="yellow"/>
                <w:u w:val="single"/>
              </w:rPr>
              <w:t>6</w:t>
            </w:r>
            <w:r>
              <w:rPr>
                <w:rFonts w:hint="eastAsia" w:ascii="Times New Roman" w:hAnsi="Times New Roman" w:eastAsia="宋体" w:cs="宋体"/>
                <w:color w:val="auto"/>
                <w:sz w:val="24"/>
                <w:szCs w:val="24"/>
                <w:highlight w:val="yellow"/>
              </w:rPr>
              <w:t>月</w:t>
            </w:r>
            <w:r>
              <w:rPr>
                <w:rFonts w:hint="eastAsia" w:ascii="Times New Roman" w:hAnsi="Times New Roman" w:eastAsia="宋体" w:cs="宋体"/>
                <w:color w:val="auto"/>
                <w:sz w:val="24"/>
                <w:szCs w:val="24"/>
                <w:highlight w:val="yellow"/>
                <w:u w:val="single"/>
              </w:rPr>
              <w:t>13</w:t>
            </w:r>
            <w:r>
              <w:rPr>
                <w:rFonts w:hint="eastAsia" w:ascii="Times New Roman" w:hAnsi="Times New Roman" w:eastAsia="宋体" w:cs="宋体"/>
                <w:color w:val="auto"/>
                <w:sz w:val="24"/>
                <w:szCs w:val="24"/>
                <w:highlight w:val="yellow"/>
              </w:rPr>
              <w:t>日</w:t>
            </w:r>
            <w:r>
              <w:rPr>
                <w:rFonts w:hint="eastAsia" w:ascii="Times New Roman" w:hAnsi="Times New Roman" w:eastAsia="宋体" w:cs="宋体"/>
                <w:color w:val="auto"/>
                <w:sz w:val="24"/>
                <w:szCs w:val="24"/>
                <w:highlight w:val="yellow"/>
                <w:u w:val="single"/>
              </w:rPr>
              <w:t>09</w:t>
            </w:r>
            <w:r>
              <w:rPr>
                <w:rFonts w:hint="eastAsia" w:ascii="Times New Roman" w:hAnsi="Times New Roman" w:eastAsia="宋体" w:cs="宋体"/>
                <w:color w:val="auto"/>
                <w:sz w:val="24"/>
                <w:szCs w:val="24"/>
                <w:highlight w:val="yellow"/>
              </w:rPr>
              <w:t>时</w:t>
            </w:r>
            <w:r>
              <w:rPr>
                <w:rFonts w:hint="eastAsia" w:ascii="Times New Roman" w:hAnsi="Times New Roman" w:eastAsia="宋体" w:cs="宋体"/>
                <w:color w:val="auto"/>
                <w:sz w:val="24"/>
                <w:szCs w:val="24"/>
                <w:highlight w:val="yellow"/>
                <w:u w:val="single"/>
              </w:rPr>
              <w:t>30</w:t>
            </w:r>
            <w:r>
              <w:rPr>
                <w:rFonts w:hint="eastAsia" w:ascii="Times New Roman" w:hAnsi="Times New Roman" w:eastAsia="宋体" w:cs="宋体"/>
                <w:color w:val="auto"/>
                <w:sz w:val="24"/>
                <w:szCs w:val="24"/>
                <w:highlight w:val="yellow"/>
              </w:rPr>
              <w:t>分</w:t>
            </w:r>
            <w:r>
              <w:rPr>
                <w:rFonts w:hint="eastAsia" w:ascii="Times New Roman" w:hAnsi="Times New Roman" w:eastAsia="宋体" w:cs="宋体"/>
                <w:color w:val="auto"/>
                <w:sz w:val="24"/>
                <w:szCs w:val="24"/>
              </w:rPr>
              <w:t xml:space="preserve">   </w:t>
            </w:r>
          </w:p>
        </w:tc>
      </w:tr>
      <w:tr w14:paraId="0029F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A9C9DEF">
            <w:pPr>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4.2.2</w:t>
            </w:r>
          </w:p>
        </w:tc>
        <w:tc>
          <w:tcPr>
            <w:tcW w:w="1379" w:type="pct"/>
            <w:tcBorders>
              <w:tl2br w:val="nil"/>
              <w:tr2bl w:val="nil"/>
            </w:tcBorders>
            <w:vAlign w:val="center"/>
          </w:tcPr>
          <w:p w14:paraId="1563D4C9">
            <w:pPr>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投标文件的递交</w:t>
            </w:r>
          </w:p>
        </w:tc>
        <w:tc>
          <w:tcPr>
            <w:tcW w:w="3020" w:type="pct"/>
            <w:tcBorders>
              <w:tl2br w:val="nil"/>
              <w:tr2bl w:val="nil"/>
            </w:tcBorders>
            <w:vAlign w:val="center"/>
          </w:tcPr>
          <w:p w14:paraId="31E6D945">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bCs/>
                <w:color w:val="auto"/>
                <w:sz w:val="24"/>
                <w:szCs w:val="24"/>
                <w:u w:val="single"/>
              </w:rPr>
              <w:t>辽宁省公共资源交易一张网电子化平台 （网址：https://www.lnsggzy.com/EpointSSO/login/oauth2login</w:t>
            </w:r>
            <w:r>
              <w:rPr>
                <w:rFonts w:hint="eastAsia" w:ascii="Times New Roman" w:hAnsi="Times New Roman" w:eastAsia="宋体" w:cs="宋体"/>
                <w:bCs/>
                <w:color w:val="auto"/>
                <w:sz w:val="24"/>
                <w:szCs w:val="24"/>
              </w:rPr>
              <w:t>）</w:t>
            </w:r>
          </w:p>
        </w:tc>
      </w:tr>
      <w:tr w14:paraId="104FC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45D078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w:t>
            </w:r>
          </w:p>
        </w:tc>
        <w:tc>
          <w:tcPr>
            <w:tcW w:w="1379" w:type="pct"/>
            <w:tcBorders>
              <w:tl2br w:val="nil"/>
              <w:tr2bl w:val="nil"/>
            </w:tcBorders>
            <w:vAlign w:val="center"/>
          </w:tcPr>
          <w:p w14:paraId="5FF73B95">
            <w:pPr>
              <w:spacing w:after="0" w:line="400" w:lineRule="exact"/>
              <w:jc w:val="center"/>
              <w:rPr>
                <w:rFonts w:ascii="Times New Roman" w:hAnsi="Times New Roman" w:eastAsia="宋体" w:cs="宋体"/>
                <w:color w:val="auto"/>
                <w:sz w:val="24"/>
                <w:szCs w:val="24"/>
              </w:rPr>
            </w:pPr>
            <w:r>
              <w:rPr>
                <w:rFonts w:hint="eastAsia" w:ascii="Times New Roman" w:hAnsi="Times New Roman" w:eastAsia="宋体"/>
                <w:color w:val="auto"/>
                <w:sz w:val="24"/>
                <w:szCs w:val="24"/>
              </w:rPr>
              <w:t>开标时间和</w:t>
            </w:r>
            <w:r>
              <w:rPr>
                <w:rFonts w:ascii="Times New Roman" w:hAnsi="Times New Roman" w:eastAsia="宋体"/>
                <w:color w:val="auto"/>
                <w:sz w:val="24"/>
                <w:szCs w:val="24"/>
              </w:rPr>
              <w:t>地点</w:t>
            </w:r>
          </w:p>
        </w:tc>
        <w:tc>
          <w:tcPr>
            <w:tcW w:w="3020" w:type="pct"/>
            <w:tcBorders>
              <w:tl2br w:val="nil"/>
              <w:tr2bl w:val="nil"/>
            </w:tcBorders>
            <w:vAlign w:val="center"/>
          </w:tcPr>
          <w:p w14:paraId="2AB5B46C">
            <w:pPr>
              <w:wordWrap w:val="0"/>
              <w:spacing w:after="0" w:line="400" w:lineRule="exact"/>
              <w:rPr>
                <w:rFonts w:ascii="Times New Roman" w:hAnsi="Times New Roman" w:eastAsia="宋体"/>
                <w:color w:val="auto"/>
                <w:sz w:val="24"/>
                <w:szCs w:val="24"/>
              </w:rPr>
            </w:pPr>
            <w:r>
              <w:rPr>
                <w:rFonts w:ascii="Times New Roman" w:hAnsi="Times New Roman" w:eastAsia="宋体"/>
                <w:color w:val="auto"/>
                <w:sz w:val="24"/>
                <w:szCs w:val="24"/>
              </w:rPr>
              <w:t>（1）</w:t>
            </w:r>
            <w:r>
              <w:rPr>
                <w:rFonts w:hint="eastAsia" w:ascii="Times New Roman" w:hAnsi="Times New Roman" w:eastAsia="宋体"/>
                <w:color w:val="auto"/>
                <w:sz w:val="24"/>
                <w:szCs w:val="24"/>
              </w:rPr>
              <w:t>开标时间</w:t>
            </w:r>
            <w:r>
              <w:rPr>
                <w:rFonts w:ascii="Times New Roman" w:hAnsi="Times New Roman" w:eastAsia="宋体"/>
                <w:color w:val="auto"/>
                <w:sz w:val="24"/>
                <w:szCs w:val="24"/>
              </w:rPr>
              <w:t>：</w:t>
            </w:r>
            <w:r>
              <w:rPr>
                <w:rFonts w:hint="eastAsia" w:ascii="Times New Roman" w:hAnsi="Times New Roman" w:eastAsia="宋体" w:cs="宋体"/>
                <w:color w:val="auto"/>
                <w:sz w:val="24"/>
                <w:szCs w:val="24"/>
                <w:highlight w:val="yellow"/>
                <w:u w:val="single"/>
              </w:rPr>
              <w:t>2025</w:t>
            </w:r>
            <w:r>
              <w:rPr>
                <w:rFonts w:hint="eastAsia" w:ascii="Times New Roman" w:hAnsi="Times New Roman" w:eastAsia="宋体" w:cs="宋体"/>
                <w:color w:val="auto"/>
                <w:sz w:val="24"/>
                <w:szCs w:val="24"/>
                <w:highlight w:val="yellow"/>
              </w:rPr>
              <w:t>年</w:t>
            </w:r>
            <w:r>
              <w:rPr>
                <w:rFonts w:hint="eastAsia" w:ascii="Times New Roman" w:hAnsi="Times New Roman" w:eastAsia="宋体" w:cs="宋体"/>
                <w:color w:val="auto"/>
                <w:sz w:val="24"/>
                <w:szCs w:val="24"/>
                <w:highlight w:val="yellow"/>
                <w:u w:val="single"/>
              </w:rPr>
              <w:t>6</w:t>
            </w:r>
            <w:r>
              <w:rPr>
                <w:rFonts w:hint="eastAsia" w:ascii="Times New Roman" w:hAnsi="Times New Roman" w:eastAsia="宋体" w:cs="宋体"/>
                <w:color w:val="auto"/>
                <w:sz w:val="24"/>
                <w:szCs w:val="24"/>
                <w:highlight w:val="yellow"/>
              </w:rPr>
              <w:t>月</w:t>
            </w:r>
            <w:r>
              <w:rPr>
                <w:rFonts w:hint="eastAsia" w:ascii="Times New Roman" w:hAnsi="Times New Roman" w:eastAsia="宋体" w:cs="宋体"/>
                <w:color w:val="auto"/>
                <w:sz w:val="24"/>
                <w:szCs w:val="24"/>
                <w:highlight w:val="yellow"/>
                <w:u w:val="single"/>
              </w:rPr>
              <w:t>13</w:t>
            </w:r>
            <w:r>
              <w:rPr>
                <w:rFonts w:hint="eastAsia" w:ascii="Times New Roman" w:hAnsi="Times New Roman" w:eastAsia="宋体" w:cs="宋体"/>
                <w:color w:val="auto"/>
                <w:sz w:val="24"/>
                <w:szCs w:val="24"/>
                <w:highlight w:val="yellow"/>
              </w:rPr>
              <w:t>日</w:t>
            </w:r>
            <w:r>
              <w:rPr>
                <w:rFonts w:hint="eastAsia" w:ascii="Times New Roman" w:hAnsi="Times New Roman" w:eastAsia="宋体" w:cs="宋体"/>
                <w:color w:val="auto"/>
                <w:sz w:val="24"/>
                <w:szCs w:val="24"/>
                <w:highlight w:val="yellow"/>
                <w:u w:val="single"/>
              </w:rPr>
              <w:t>09</w:t>
            </w:r>
            <w:r>
              <w:rPr>
                <w:rFonts w:hint="eastAsia" w:ascii="Times New Roman" w:hAnsi="Times New Roman" w:eastAsia="宋体" w:cs="宋体"/>
                <w:color w:val="auto"/>
                <w:sz w:val="24"/>
                <w:szCs w:val="24"/>
                <w:highlight w:val="yellow"/>
              </w:rPr>
              <w:t>时</w:t>
            </w:r>
            <w:r>
              <w:rPr>
                <w:rFonts w:hint="eastAsia" w:ascii="Times New Roman" w:hAnsi="Times New Roman" w:eastAsia="宋体" w:cs="宋体"/>
                <w:color w:val="auto"/>
                <w:sz w:val="24"/>
                <w:szCs w:val="24"/>
                <w:highlight w:val="yellow"/>
                <w:u w:val="single"/>
              </w:rPr>
              <w:t>30</w:t>
            </w:r>
            <w:r>
              <w:rPr>
                <w:rFonts w:hint="eastAsia" w:ascii="Times New Roman" w:hAnsi="Times New Roman" w:eastAsia="宋体" w:cs="宋体"/>
                <w:color w:val="auto"/>
                <w:sz w:val="24"/>
                <w:szCs w:val="24"/>
                <w:highlight w:val="yellow"/>
              </w:rPr>
              <w:t>分</w:t>
            </w:r>
            <w:r>
              <w:rPr>
                <w:rFonts w:ascii="Times New Roman" w:hAnsi="Times New Roman" w:eastAsia="宋体"/>
                <w:color w:val="auto"/>
                <w:sz w:val="24"/>
                <w:szCs w:val="24"/>
              </w:rPr>
              <w:t>。</w:t>
            </w:r>
          </w:p>
          <w:p w14:paraId="17D75F4A">
            <w:pPr>
              <w:wordWrap w:val="0"/>
              <w:spacing w:after="0" w:line="400" w:lineRule="exact"/>
              <w:ind w:left="720" w:hanging="720" w:hangingChars="300"/>
              <w:rPr>
                <w:rFonts w:ascii="Times New Roman" w:hAnsi="Times New Roman" w:eastAsia="宋体"/>
                <w:color w:val="auto"/>
                <w:sz w:val="24"/>
                <w:szCs w:val="24"/>
              </w:rPr>
            </w:pPr>
            <w:r>
              <w:rPr>
                <w:rFonts w:ascii="Times New Roman" w:hAnsi="Times New Roman" w:eastAsia="宋体"/>
                <w:color w:val="auto"/>
                <w:sz w:val="24"/>
                <w:szCs w:val="24"/>
              </w:rPr>
              <w:t>（2）开标</w:t>
            </w:r>
            <w:r>
              <w:rPr>
                <w:rFonts w:hint="eastAsia" w:ascii="Times New Roman" w:hAnsi="Times New Roman" w:eastAsia="宋体"/>
                <w:color w:val="auto"/>
                <w:sz w:val="24"/>
                <w:szCs w:val="24"/>
              </w:rPr>
              <w:t>方式</w:t>
            </w:r>
            <w:r>
              <w:rPr>
                <w:rFonts w:ascii="Times New Roman" w:hAnsi="Times New Roman" w:eastAsia="宋体"/>
                <w:color w:val="auto"/>
                <w:sz w:val="24"/>
                <w:szCs w:val="24"/>
              </w:rPr>
              <w:t>：</w:t>
            </w:r>
            <w:r>
              <w:rPr>
                <w:rFonts w:hint="eastAsia" w:ascii="Times New Roman" w:hAnsi="Times New Roman" w:eastAsia="宋体"/>
                <w:color w:val="auto"/>
                <w:sz w:val="24"/>
                <w:szCs w:val="24"/>
              </w:rPr>
              <w:t>采用不见面开标，开标地点名称</w:t>
            </w:r>
          </w:p>
          <w:p w14:paraId="3C6F5B5F">
            <w:pPr>
              <w:wordWrap w:val="0"/>
              <w:spacing w:after="0" w:line="400" w:lineRule="exact"/>
              <w:ind w:left="720" w:hanging="720" w:hangingChars="300"/>
              <w:rPr>
                <w:rFonts w:ascii="Times New Roman" w:hAnsi="Times New Roman" w:eastAsia="宋体"/>
                <w:b/>
                <w:bCs/>
                <w:color w:val="auto"/>
                <w:sz w:val="24"/>
                <w:szCs w:val="24"/>
              </w:rPr>
            </w:pPr>
            <w:r>
              <w:rPr>
                <w:rFonts w:hint="eastAsia" w:ascii="Times New Roman" w:hAnsi="Times New Roman" w:eastAsia="宋体" w:cs="宋体"/>
                <w:bCs/>
                <w:color w:val="auto"/>
                <w:sz w:val="24"/>
                <w:szCs w:val="24"/>
                <w:u w:val="single"/>
              </w:rPr>
              <w:t>辽宁省公共资源交易一张网电子化平台</w:t>
            </w:r>
            <w:r>
              <w:rPr>
                <w:rFonts w:hint="eastAsia" w:ascii="Times New Roman" w:hAnsi="Times New Roman" w:eastAsia="宋体"/>
                <w:bCs/>
                <w:color w:val="auto"/>
                <w:sz w:val="24"/>
                <w:szCs w:val="24"/>
              </w:rPr>
              <w:t>（网址：</w:t>
            </w:r>
            <w:r>
              <w:rPr>
                <w:rFonts w:hint="eastAsia" w:ascii="Times New Roman" w:hAnsi="Times New Roman" w:eastAsia="宋体" w:cs="宋体"/>
                <w:bCs/>
                <w:color w:val="auto"/>
                <w:sz w:val="24"/>
                <w:szCs w:val="24"/>
                <w:u w:val="single"/>
              </w:rPr>
              <w:t>https://www.lnsggzy.com/EpointSSO/login/oauth2login</w:t>
            </w:r>
            <w:r>
              <w:rPr>
                <w:rFonts w:hint="eastAsia" w:ascii="Times New Roman" w:hAnsi="Times New Roman" w:eastAsia="宋体"/>
                <w:bCs/>
                <w:color w:val="auto"/>
                <w:sz w:val="24"/>
                <w:szCs w:val="24"/>
              </w:rPr>
              <w:t>）</w:t>
            </w:r>
          </w:p>
          <w:p w14:paraId="17111BEA">
            <w:pPr>
              <w:spacing w:after="0" w:line="400" w:lineRule="exact"/>
              <w:ind w:firstLine="240" w:firstLineChars="100"/>
              <w:rPr>
                <w:rFonts w:ascii="Times New Roman" w:hAnsi="Times New Roman" w:eastAsia="宋体"/>
                <w:color w:val="auto"/>
                <w:sz w:val="24"/>
                <w:szCs w:val="24"/>
              </w:rPr>
            </w:pPr>
            <w:r>
              <w:rPr>
                <w:rFonts w:hint="eastAsia" w:ascii="Times New Roman" w:hAnsi="Times New Roman" w:eastAsia="宋体"/>
                <w:color w:val="auto"/>
                <w:sz w:val="24"/>
                <w:szCs w:val="24"/>
              </w:rPr>
              <w:t>1</w:t>
            </w:r>
            <w:r>
              <w:rPr>
                <w:rFonts w:ascii="Times New Roman" w:hAnsi="Times New Roman" w:eastAsia="宋体"/>
                <w:color w:val="auto"/>
                <w:sz w:val="24"/>
                <w:szCs w:val="24"/>
              </w:rPr>
              <w:t>）电子投标文件解密时间为发出解密指令后（</w:t>
            </w:r>
            <w:r>
              <w:rPr>
                <w:rFonts w:hint="eastAsia" w:ascii="Times New Roman" w:hAnsi="Times New Roman" w:eastAsia="宋体"/>
                <w:color w:val="auto"/>
                <w:sz w:val="24"/>
                <w:szCs w:val="24"/>
                <w:u w:val="single"/>
              </w:rPr>
              <w:t>30</w:t>
            </w:r>
            <w:r>
              <w:rPr>
                <w:rFonts w:ascii="Times New Roman" w:hAnsi="Times New Roman" w:eastAsia="宋体"/>
                <w:color w:val="auto"/>
                <w:sz w:val="24"/>
                <w:szCs w:val="24"/>
              </w:rPr>
              <w:t>）分钟内完成。</w:t>
            </w:r>
          </w:p>
          <w:p w14:paraId="06688FAB">
            <w:pPr>
              <w:spacing w:after="0" w:line="400" w:lineRule="exact"/>
              <w:ind w:firstLine="240" w:firstLineChars="100"/>
              <w:rPr>
                <w:rFonts w:ascii="Times New Roman" w:hAnsi="Times New Roman" w:eastAsia="宋体"/>
                <w:color w:val="auto"/>
                <w:sz w:val="24"/>
                <w:szCs w:val="24"/>
              </w:rPr>
            </w:pPr>
            <w:r>
              <w:rPr>
                <w:rFonts w:hint="eastAsia" w:ascii="Times New Roman" w:hAnsi="Times New Roman" w:eastAsia="宋体"/>
                <w:color w:val="auto"/>
                <w:sz w:val="24"/>
                <w:szCs w:val="24"/>
              </w:rPr>
              <w:t>2</w:t>
            </w:r>
            <w:r>
              <w:rPr>
                <w:rFonts w:ascii="Times New Roman" w:hAnsi="Times New Roman" w:eastAsia="宋体"/>
                <w:color w:val="auto"/>
                <w:sz w:val="24"/>
                <w:szCs w:val="24"/>
              </w:rPr>
              <w:t>）电子投标开标解密时，必须使用生成投标文件时的CA</w:t>
            </w:r>
            <w:r>
              <w:rPr>
                <w:rFonts w:hint="eastAsia" w:ascii="Times New Roman" w:hAnsi="Times New Roman" w:eastAsia="宋体"/>
                <w:color w:val="auto"/>
                <w:sz w:val="24"/>
                <w:szCs w:val="24"/>
              </w:rPr>
              <w:t>数字证书</w:t>
            </w:r>
            <w:r>
              <w:rPr>
                <w:rFonts w:ascii="Times New Roman" w:hAnsi="Times New Roman" w:eastAsia="宋体"/>
                <w:color w:val="auto"/>
                <w:sz w:val="24"/>
                <w:szCs w:val="24"/>
              </w:rPr>
              <w:t>进行解密，因无法解密造成的一切后果由投标人自行承担</w:t>
            </w:r>
            <w:r>
              <w:rPr>
                <w:rFonts w:hint="eastAsia" w:ascii="Times New Roman" w:hAnsi="Times New Roman" w:eastAsia="宋体"/>
                <w:color w:val="auto"/>
                <w:sz w:val="24"/>
                <w:szCs w:val="24"/>
              </w:rPr>
              <w:t>。</w:t>
            </w:r>
          </w:p>
          <w:p w14:paraId="745C3450">
            <w:pPr>
              <w:spacing w:after="0" w:line="40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olor w:val="auto"/>
                <w:sz w:val="24"/>
                <w:szCs w:val="24"/>
              </w:rPr>
              <w:t>3</w:t>
            </w:r>
            <w:r>
              <w:rPr>
                <w:rFonts w:ascii="Times New Roman" w:hAnsi="Times New Roman" w:eastAsia="宋体"/>
                <w:color w:val="auto"/>
                <w:sz w:val="24"/>
                <w:szCs w:val="24"/>
              </w:rPr>
              <w:t>）</w:t>
            </w:r>
            <w:r>
              <w:rPr>
                <w:rFonts w:hint="eastAsia" w:ascii="Times New Roman" w:hAnsi="Times New Roman" w:eastAsia="宋体"/>
                <w:color w:val="auto"/>
                <w:sz w:val="24"/>
                <w:szCs w:val="24"/>
              </w:rPr>
              <w:t>其他：</w:t>
            </w: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rPr>
              <w:t xml:space="preserve">          </w:t>
            </w:r>
            <w:r>
              <w:rPr>
                <w:rFonts w:hint="eastAsia" w:ascii="Times New Roman" w:hAnsi="Times New Roman" w:eastAsia="宋体"/>
                <w:color w:val="auto"/>
                <w:sz w:val="24"/>
                <w:szCs w:val="24"/>
              </w:rPr>
              <w:t>。</w:t>
            </w:r>
          </w:p>
        </w:tc>
      </w:tr>
      <w:tr w14:paraId="32A6E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07102D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6.1.1</w:t>
            </w:r>
          </w:p>
        </w:tc>
        <w:tc>
          <w:tcPr>
            <w:tcW w:w="1379" w:type="pct"/>
            <w:tcBorders>
              <w:tl2br w:val="nil"/>
              <w:tr2bl w:val="nil"/>
            </w:tcBorders>
            <w:vAlign w:val="center"/>
          </w:tcPr>
          <w:p w14:paraId="6A8672D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评标委员会的组建</w:t>
            </w:r>
          </w:p>
        </w:tc>
        <w:tc>
          <w:tcPr>
            <w:tcW w:w="3020" w:type="pct"/>
            <w:tcBorders>
              <w:tl2br w:val="nil"/>
              <w:tr2bl w:val="nil"/>
            </w:tcBorders>
            <w:vAlign w:val="center"/>
          </w:tcPr>
          <w:p w14:paraId="42F10E5B">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评标委员会构成：</w:t>
            </w:r>
            <w:r>
              <w:rPr>
                <w:rFonts w:hint="eastAsia" w:ascii="Times New Roman" w:hAnsi="Times New Roman" w:eastAsia="宋体" w:cs="宋体"/>
                <w:color w:val="auto"/>
                <w:sz w:val="24"/>
                <w:szCs w:val="24"/>
                <w:u w:val="single" w:color="000000"/>
              </w:rPr>
              <w:t>7</w:t>
            </w:r>
            <w:r>
              <w:rPr>
                <w:rFonts w:hint="eastAsia" w:ascii="Times New Roman" w:hAnsi="Times New Roman" w:eastAsia="宋体" w:cs="宋体"/>
                <w:color w:val="auto"/>
                <w:sz w:val="24"/>
                <w:szCs w:val="24"/>
              </w:rPr>
              <w:t>人</w:t>
            </w:r>
          </w:p>
          <w:p w14:paraId="34C087E2">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其中招标人代表</w:t>
            </w:r>
            <w:r>
              <w:rPr>
                <w:rFonts w:hint="eastAsia" w:ascii="Times New Roman" w:hAnsi="Times New Roman" w:eastAsia="宋体" w:cs="宋体"/>
                <w:color w:val="auto"/>
                <w:sz w:val="24"/>
                <w:szCs w:val="24"/>
                <w:u w:val="single" w:color="000000"/>
              </w:rPr>
              <w:t>2</w:t>
            </w:r>
            <w:r>
              <w:rPr>
                <w:rFonts w:hint="eastAsia" w:ascii="Times New Roman" w:hAnsi="Times New Roman" w:eastAsia="宋体" w:cs="宋体"/>
                <w:color w:val="auto"/>
                <w:sz w:val="24"/>
                <w:szCs w:val="24"/>
              </w:rPr>
              <w:t>人，专家</w:t>
            </w:r>
            <w:r>
              <w:rPr>
                <w:rFonts w:hint="eastAsia" w:ascii="Times New Roman" w:hAnsi="Times New Roman" w:eastAsia="宋体" w:cs="宋体"/>
                <w:color w:val="auto"/>
                <w:sz w:val="24"/>
                <w:szCs w:val="24"/>
                <w:u w:val="single" w:color="000000"/>
              </w:rPr>
              <w:t>5</w:t>
            </w:r>
            <w:r>
              <w:rPr>
                <w:rFonts w:hint="eastAsia" w:ascii="Times New Roman" w:hAnsi="Times New Roman" w:eastAsia="宋体" w:cs="宋体"/>
                <w:color w:val="auto"/>
                <w:sz w:val="24"/>
                <w:szCs w:val="24"/>
              </w:rPr>
              <w:t>人；</w:t>
            </w:r>
          </w:p>
          <w:p w14:paraId="5929C63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评标专家确定方式：在</w:t>
            </w:r>
            <w:r>
              <w:rPr>
                <w:rFonts w:hint="eastAsia" w:ascii="Times New Roman" w:hAnsi="Times New Roman" w:eastAsia="宋体" w:cs="宋体"/>
                <w:color w:val="auto"/>
                <w:sz w:val="24"/>
                <w:szCs w:val="24"/>
                <w:u w:val="single"/>
              </w:rPr>
              <w:t xml:space="preserve"> 辽宁省综合 </w:t>
            </w:r>
            <w:r>
              <w:rPr>
                <w:rFonts w:hint="eastAsia" w:ascii="Times New Roman" w:hAnsi="Times New Roman" w:eastAsia="宋体" w:cs="宋体"/>
                <w:color w:val="auto"/>
                <w:sz w:val="24"/>
                <w:szCs w:val="24"/>
              </w:rPr>
              <w:t>评标专家库中随机抽取。</w:t>
            </w:r>
          </w:p>
        </w:tc>
      </w:tr>
      <w:tr w14:paraId="368FE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773BC4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6.3.2</w:t>
            </w:r>
          </w:p>
        </w:tc>
        <w:tc>
          <w:tcPr>
            <w:tcW w:w="1379" w:type="pct"/>
            <w:tcBorders>
              <w:tl2br w:val="nil"/>
              <w:tr2bl w:val="nil"/>
            </w:tcBorders>
            <w:vAlign w:val="center"/>
          </w:tcPr>
          <w:p w14:paraId="3E0B1B3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评标委员会推荐中标候选人的人数</w:t>
            </w:r>
          </w:p>
        </w:tc>
        <w:tc>
          <w:tcPr>
            <w:tcW w:w="3020" w:type="pct"/>
            <w:tcBorders>
              <w:tl2br w:val="nil"/>
              <w:tr2bl w:val="nil"/>
            </w:tcBorders>
            <w:vAlign w:val="center"/>
          </w:tcPr>
          <w:p w14:paraId="4B2070B0">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color="000000"/>
              </w:rPr>
              <w:t xml:space="preserve">      3      </w:t>
            </w:r>
            <w:r>
              <w:rPr>
                <w:rFonts w:hint="eastAsia" w:ascii="Times New Roman" w:hAnsi="Times New Roman" w:eastAsia="宋体" w:cs="宋体"/>
                <w:color w:val="auto"/>
                <w:sz w:val="24"/>
                <w:szCs w:val="24"/>
              </w:rPr>
              <w:t>个（不超过3个）</w:t>
            </w:r>
          </w:p>
        </w:tc>
      </w:tr>
      <w:tr w14:paraId="55BA4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A10E89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7.1</w:t>
            </w:r>
          </w:p>
        </w:tc>
        <w:tc>
          <w:tcPr>
            <w:tcW w:w="1379" w:type="pct"/>
            <w:tcBorders>
              <w:tl2br w:val="nil"/>
              <w:tr2bl w:val="nil"/>
            </w:tcBorders>
            <w:vAlign w:val="center"/>
          </w:tcPr>
          <w:p w14:paraId="05B742C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中标候选人公示</w:t>
            </w:r>
          </w:p>
        </w:tc>
        <w:tc>
          <w:tcPr>
            <w:tcW w:w="3020" w:type="pct"/>
            <w:tcBorders>
              <w:tl2br w:val="nil"/>
              <w:tr2bl w:val="nil"/>
            </w:tcBorders>
            <w:vAlign w:val="center"/>
          </w:tcPr>
          <w:p w14:paraId="628A3518">
            <w:pPr>
              <w:spacing w:line="400" w:lineRule="exact"/>
              <w:rPr>
                <w:color w:val="auto"/>
                <w:sz w:val="24"/>
                <w:szCs w:val="24"/>
              </w:rPr>
            </w:pPr>
            <w:r>
              <w:rPr>
                <w:color w:val="auto"/>
                <w:sz w:val="24"/>
                <w:szCs w:val="24"/>
              </w:rPr>
              <w:t>公示媒介：</w:t>
            </w:r>
            <w:r>
              <w:rPr>
                <w:rFonts w:hint="eastAsia"/>
                <w:color w:val="auto"/>
                <w:sz w:val="24"/>
                <w:szCs w:val="24"/>
                <w:u w:val="single"/>
              </w:rPr>
              <w:t>辽宁省招标投标监管网、辽宁省公共资源交易网</w:t>
            </w:r>
            <w:r>
              <w:rPr>
                <w:color w:val="auto"/>
                <w:sz w:val="24"/>
                <w:szCs w:val="24"/>
              </w:rPr>
              <w:t>。</w:t>
            </w:r>
          </w:p>
          <w:p w14:paraId="6B23C14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公示期限：</w:t>
            </w:r>
            <w:r>
              <w:rPr>
                <w:rFonts w:hint="eastAsia" w:ascii="Times New Roman" w:hAnsi="Times New Roman" w:eastAsia="宋体" w:cs="宋体"/>
                <w:color w:val="auto"/>
                <w:sz w:val="24"/>
                <w:szCs w:val="24"/>
                <w:u w:val="single" w:color="000000"/>
              </w:rPr>
              <w:t xml:space="preserve">    3    </w:t>
            </w:r>
            <w:r>
              <w:rPr>
                <w:rFonts w:hint="eastAsia" w:ascii="Times New Roman" w:hAnsi="Times New Roman" w:eastAsia="宋体" w:cs="宋体"/>
                <w:color w:val="auto"/>
                <w:sz w:val="24"/>
                <w:szCs w:val="24"/>
              </w:rPr>
              <w:t>日(不少于3日)</w:t>
            </w:r>
          </w:p>
        </w:tc>
      </w:tr>
      <w:tr w14:paraId="63F4F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773CD3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7.4</w:t>
            </w:r>
          </w:p>
        </w:tc>
        <w:tc>
          <w:tcPr>
            <w:tcW w:w="1379" w:type="pct"/>
            <w:tcBorders>
              <w:tl2br w:val="nil"/>
              <w:tr2bl w:val="nil"/>
            </w:tcBorders>
            <w:vAlign w:val="center"/>
          </w:tcPr>
          <w:p w14:paraId="6094AA5E">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是否授权评标委员会确定中标人</w:t>
            </w:r>
          </w:p>
        </w:tc>
        <w:tc>
          <w:tcPr>
            <w:tcW w:w="3020" w:type="pct"/>
            <w:tcBorders>
              <w:tl2br w:val="nil"/>
              <w:tr2bl w:val="nil"/>
            </w:tcBorders>
            <w:vAlign w:val="center"/>
          </w:tcPr>
          <w:p w14:paraId="4258CDD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w:t>
            </w:r>
          </w:p>
          <w:p w14:paraId="63DE587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□否</w:t>
            </w:r>
          </w:p>
        </w:tc>
      </w:tr>
      <w:tr w14:paraId="511F9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761E8F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7.6.1</w:t>
            </w:r>
          </w:p>
        </w:tc>
        <w:tc>
          <w:tcPr>
            <w:tcW w:w="1379" w:type="pct"/>
            <w:tcBorders>
              <w:tl2br w:val="nil"/>
              <w:tr2bl w:val="nil"/>
            </w:tcBorders>
            <w:vAlign w:val="center"/>
          </w:tcPr>
          <w:p w14:paraId="12335E8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履约保证金</w:t>
            </w:r>
          </w:p>
        </w:tc>
        <w:tc>
          <w:tcPr>
            <w:tcW w:w="3020" w:type="pct"/>
            <w:tcBorders>
              <w:tl2br w:val="nil"/>
              <w:tr2bl w:val="nil"/>
            </w:tcBorders>
            <w:vAlign w:val="center"/>
          </w:tcPr>
          <w:p w14:paraId="57BDC16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是否要求中标人提交履约保证金：</w:t>
            </w:r>
          </w:p>
          <w:p w14:paraId="25B2336A">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□要求，履约保证金的形式：</w:t>
            </w:r>
            <w:r>
              <w:rPr>
                <w:rFonts w:hint="eastAsia" w:ascii="Times New Roman" w:hAnsi="Times New Roman" w:eastAsia="宋体" w:cs="宋体"/>
                <w:color w:val="auto"/>
                <w:sz w:val="24"/>
                <w:szCs w:val="24"/>
                <w:u w:val="single" w:color="000000"/>
              </w:rPr>
              <w:t xml:space="preserve">             </w:t>
            </w:r>
          </w:p>
          <w:p w14:paraId="406B218E">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履约保证金的金额：</w:t>
            </w:r>
            <w:r>
              <w:rPr>
                <w:rFonts w:hint="eastAsia" w:ascii="Times New Roman" w:hAnsi="Times New Roman" w:eastAsia="宋体" w:cs="宋体"/>
                <w:color w:val="auto"/>
                <w:sz w:val="24"/>
                <w:szCs w:val="24"/>
                <w:u w:val="single" w:color="000000"/>
              </w:rPr>
              <w:t xml:space="preserve">              </w:t>
            </w:r>
          </w:p>
          <w:p w14:paraId="68F3195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☑不要求</w:t>
            </w:r>
          </w:p>
        </w:tc>
      </w:tr>
      <w:tr w14:paraId="1974C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3CCC8E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w:t>
            </w:r>
          </w:p>
        </w:tc>
        <w:tc>
          <w:tcPr>
            <w:tcW w:w="4399" w:type="pct"/>
            <w:gridSpan w:val="2"/>
            <w:tcBorders>
              <w:tl2br w:val="nil"/>
              <w:tr2bl w:val="nil"/>
            </w:tcBorders>
            <w:vAlign w:val="center"/>
          </w:tcPr>
          <w:p w14:paraId="2243ADF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b/>
                <w:bCs/>
                <w:color w:val="auto"/>
                <w:sz w:val="24"/>
                <w:szCs w:val="24"/>
              </w:rPr>
              <w:t>需要补充的其他内容</w:t>
            </w:r>
          </w:p>
        </w:tc>
      </w:tr>
      <w:tr w14:paraId="5ED4D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0B3664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9.1</w:t>
            </w:r>
          </w:p>
        </w:tc>
        <w:tc>
          <w:tcPr>
            <w:tcW w:w="1379" w:type="pct"/>
            <w:tcBorders>
              <w:tl2br w:val="nil"/>
              <w:tr2bl w:val="nil"/>
            </w:tcBorders>
            <w:vAlign w:val="center"/>
          </w:tcPr>
          <w:p w14:paraId="6D678662">
            <w:pPr>
              <w:pStyle w:val="22"/>
              <w:spacing w:line="380" w:lineRule="exact"/>
              <w:jc w:val="center"/>
              <w:rPr>
                <w:rFonts w:ascii="Times New Roman"/>
                <w:color w:val="auto"/>
              </w:rPr>
            </w:pPr>
            <w:r>
              <w:rPr>
                <w:rFonts w:hint="eastAsia" w:ascii="Times New Roman"/>
                <w:color w:val="auto"/>
              </w:rPr>
              <w:t>设备结算款支付账户</w:t>
            </w:r>
          </w:p>
        </w:tc>
        <w:tc>
          <w:tcPr>
            <w:tcW w:w="3020" w:type="pct"/>
            <w:tcBorders>
              <w:tl2br w:val="nil"/>
              <w:tr2bl w:val="nil"/>
            </w:tcBorders>
            <w:vAlign w:val="center"/>
          </w:tcPr>
          <w:p w14:paraId="379B6094">
            <w:pPr>
              <w:widowControl w:val="0"/>
              <w:adjustRightInd w:val="0"/>
              <w:snapToGrid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投标人必须在投标文件中列明设备结算款支付账户，项目法人支付货款拨付到中标人列明设备结算款支付账户。</w:t>
            </w:r>
          </w:p>
        </w:tc>
      </w:tr>
      <w:tr w14:paraId="4E105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5F1979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9.2</w:t>
            </w:r>
          </w:p>
        </w:tc>
        <w:tc>
          <w:tcPr>
            <w:tcW w:w="1379" w:type="pct"/>
            <w:tcBorders>
              <w:tl2br w:val="nil"/>
              <w:tr2bl w:val="nil"/>
            </w:tcBorders>
            <w:vAlign w:val="center"/>
          </w:tcPr>
          <w:p w14:paraId="40509820">
            <w:pPr>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特殊情况处置</w:t>
            </w:r>
          </w:p>
        </w:tc>
        <w:tc>
          <w:tcPr>
            <w:tcW w:w="3020" w:type="pct"/>
            <w:tcBorders>
              <w:tl2br w:val="nil"/>
              <w:tr2bl w:val="nil"/>
            </w:tcBorders>
            <w:vAlign w:val="center"/>
          </w:tcPr>
          <w:p w14:paraId="6EE8E687">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（1）如遇断网、断电、网络安全问题等意外情况，所有投标人均无法解密，招标人应向监管部门申请并征得同意后可延长开标时间或推迟时间重新开标，具体安排另行通知。</w:t>
            </w:r>
          </w:p>
          <w:p w14:paraId="77E0C040">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（2）因电子交易系统故障、投标人数量过多等非投标人原因，导致投标文件不能在规定时间内完成解密的，招标人可延长解密时间，并告知在线的投标人。</w:t>
            </w:r>
          </w:p>
          <w:p w14:paraId="043C5728">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（3）其他原因，按以下原则处理：</w:t>
            </w:r>
          </w:p>
          <w:p w14:paraId="19E84F68">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a.投标截止时间前未完成投标文件传输递交，视为撤回投标文件。</w:t>
            </w:r>
          </w:p>
          <w:p w14:paraId="003B1344">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b.因投标人原因造成投标文件未在规定时间内解密的，视为撤销其投标文件。</w:t>
            </w:r>
          </w:p>
          <w:p w14:paraId="755EB9F1">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（4）其他：</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tc>
      </w:tr>
      <w:tr w14:paraId="0D06D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780" w:hRule="atLeast"/>
          <w:jc w:val="center"/>
        </w:trPr>
        <w:tc>
          <w:tcPr>
            <w:tcW w:w="600" w:type="pct"/>
            <w:tcBorders>
              <w:tl2br w:val="nil"/>
              <w:tr2bl w:val="nil"/>
            </w:tcBorders>
            <w:vAlign w:val="center"/>
          </w:tcPr>
          <w:p w14:paraId="6351F586">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9.3</w:t>
            </w:r>
          </w:p>
        </w:tc>
        <w:tc>
          <w:tcPr>
            <w:tcW w:w="1379" w:type="pct"/>
            <w:tcBorders>
              <w:tl2br w:val="nil"/>
              <w:tr2bl w:val="nil"/>
            </w:tcBorders>
            <w:vAlign w:val="center"/>
          </w:tcPr>
          <w:p w14:paraId="5A44FC08">
            <w:pPr>
              <w:jc w:val="center"/>
              <w:rPr>
                <w:rFonts w:ascii="Times New Roman" w:hAnsi="Times New Roman" w:eastAsia="宋体" w:cs="宋体"/>
                <w:color w:val="auto"/>
                <w:sz w:val="24"/>
                <w:szCs w:val="24"/>
              </w:rPr>
            </w:pPr>
            <w:r>
              <w:rPr>
                <w:rFonts w:hint="eastAsia"/>
                <w:color w:val="auto"/>
                <w:sz w:val="24"/>
                <w:szCs w:val="24"/>
              </w:rPr>
              <w:t>类似项目业绩</w:t>
            </w:r>
          </w:p>
        </w:tc>
        <w:tc>
          <w:tcPr>
            <w:tcW w:w="3020" w:type="pct"/>
            <w:tcBorders>
              <w:tl2br w:val="nil"/>
              <w:tr2bl w:val="nil"/>
            </w:tcBorders>
            <w:vAlign w:val="center"/>
          </w:tcPr>
          <w:p w14:paraId="23859D65">
            <w:pPr>
              <w:spacing w:after="0" w:line="400" w:lineRule="exact"/>
              <w:rPr>
                <w:rFonts w:ascii="Times New Roman" w:hAnsi="Times New Roman" w:eastAsia="宋体" w:cs="仿宋"/>
                <w:color w:val="auto"/>
                <w:sz w:val="24"/>
                <w:szCs w:val="24"/>
              </w:rPr>
            </w:pPr>
            <w:r>
              <w:rPr>
                <w:rFonts w:hint="eastAsia" w:ascii="Times New Roman" w:hAnsi="Times New Roman" w:eastAsia="宋体" w:cs="仿宋"/>
                <w:color w:val="auto"/>
                <w:sz w:val="24"/>
                <w:szCs w:val="24"/>
              </w:rPr>
              <w:t>指</w:t>
            </w:r>
            <w:r>
              <w:rPr>
                <w:rFonts w:hint="eastAsia" w:ascii="Times New Roman" w:hAnsi="Times New Roman" w:eastAsia="宋体" w:cs="仿宋"/>
                <w:color w:val="auto"/>
                <w:sz w:val="24"/>
                <w:szCs w:val="24"/>
                <w:u w:val="single"/>
              </w:rPr>
              <w:t xml:space="preserve"> 类似项目软件采购等 </w:t>
            </w:r>
            <w:r>
              <w:rPr>
                <w:rFonts w:hint="eastAsia" w:ascii="Times New Roman" w:hAnsi="Times New Roman" w:eastAsia="宋体" w:cs="仿宋"/>
                <w:color w:val="auto"/>
                <w:sz w:val="24"/>
                <w:szCs w:val="24"/>
              </w:rPr>
              <w:t>项目。</w:t>
            </w:r>
          </w:p>
          <w:p w14:paraId="57F3E10A">
            <w:pPr>
              <w:spacing w:after="0" w:line="400" w:lineRule="exact"/>
              <w:rPr>
                <w:rFonts w:ascii="Times New Roman" w:hAnsi="Times New Roman" w:eastAsia="宋体" w:cs="仿宋"/>
                <w:color w:val="auto"/>
                <w:sz w:val="24"/>
                <w:szCs w:val="24"/>
              </w:rPr>
            </w:pPr>
            <w:r>
              <w:rPr>
                <w:rFonts w:hint="eastAsia" w:ascii="Times New Roman" w:hAnsi="Times New Roman" w:eastAsia="宋体" w:cs="仿宋"/>
                <w:color w:val="auto"/>
                <w:sz w:val="24"/>
                <w:szCs w:val="24"/>
              </w:rPr>
              <w:t>要求业绩证明资料：</w:t>
            </w:r>
            <w:r>
              <w:rPr>
                <w:rFonts w:hint="eastAsia" w:ascii="Times New Roman" w:hAnsi="Times New Roman" w:eastAsia="宋体" w:cs="仿宋"/>
                <w:color w:val="auto"/>
                <w:sz w:val="24"/>
                <w:szCs w:val="24"/>
                <w:u w:val="single"/>
              </w:rPr>
              <w:t xml:space="preserve"> 以辽宁省水利建设市场主体数据库业绩信息或投标人上传业绩证明材料为准（以相应交易系统实际情况确定） </w:t>
            </w:r>
            <w:r>
              <w:rPr>
                <w:rFonts w:hint="eastAsia" w:ascii="Times New Roman" w:hAnsi="Times New Roman" w:eastAsia="宋体" w:cs="仿宋"/>
                <w:color w:val="auto"/>
                <w:sz w:val="24"/>
                <w:szCs w:val="24"/>
              </w:rPr>
              <w:t>。</w:t>
            </w:r>
          </w:p>
          <w:p w14:paraId="420D230F">
            <w:pPr>
              <w:spacing w:line="360" w:lineRule="auto"/>
              <w:rPr>
                <w:rFonts w:ascii="Times New Roman" w:hAnsi="Times New Roman" w:eastAsia="宋体" w:cs="Times New Roman"/>
                <w:color w:val="auto"/>
                <w:sz w:val="24"/>
                <w:szCs w:val="24"/>
              </w:rPr>
            </w:pPr>
            <w:r>
              <w:rPr>
                <w:rFonts w:hint="eastAsia" w:ascii="Times New Roman" w:hAnsi="Times New Roman" w:eastAsia="宋体" w:cs="仿宋"/>
                <w:color w:val="auto"/>
                <w:sz w:val="24"/>
                <w:szCs w:val="24"/>
              </w:rPr>
              <w:t>时间要求：</w:t>
            </w:r>
            <w:r>
              <w:rPr>
                <w:rFonts w:hint="eastAsia" w:ascii="Times New Roman" w:hAnsi="Times New Roman" w:eastAsia="宋体" w:cs="仿宋"/>
                <w:color w:val="auto"/>
                <w:sz w:val="24"/>
                <w:szCs w:val="24"/>
                <w:u w:val="single"/>
              </w:rPr>
              <w:t xml:space="preserve"> 2022年1月1日至今（近三年） </w:t>
            </w:r>
            <w:r>
              <w:rPr>
                <w:rFonts w:hint="eastAsia" w:ascii="Times New Roman" w:hAnsi="Times New Roman" w:eastAsia="宋体" w:cs="仿宋"/>
                <w:color w:val="auto"/>
                <w:sz w:val="24"/>
                <w:szCs w:val="24"/>
              </w:rPr>
              <w:t>。</w:t>
            </w:r>
          </w:p>
        </w:tc>
      </w:tr>
      <w:tr w14:paraId="7F0B5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5B2F048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9.4</w:t>
            </w:r>
          </w:p>
        </w:tc>
        <w:tc>
          <w:tcPr>
            <w:tcW w:w="1379" w:type="pct"/>
            <w:tcBorders>
              <w:tl2br w:val="nil"/>
              <w:tr2bl w:val="nil"/>
            </w:tcBorders>
            <w:vAlign w:val="center"/>
          </w:tcPr>
          <w:p w14:paraId="35CCD60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招标代理费</w:t>
            </w:r>
          </w:p>
        </w:tc>
        <w:tc>
          <w:tcPr>
            <w:tcW w:w="3020" w:type="pct"/>
            <w:tcBorders>
              <w:tl2br w:val="nil"/>
              <w:tr2bl w:val="nil"/>
            </w:tcBorders>
            <w:vAlign w:val="center"/>
          </w:tcPr>
          <w:p w14:paraId="0E3BAC7A">
            <w:pPr>
              <w:pStyle w:val="22"/>
              <w:snapToGrid w:val="0"/>
              <w:spacing w:line="380" w:lineRule="exact"/>
              <w:rPr>
                <w:rFonts w:ascii="Times New Roman"/>
                <w:color w:val="auto"/>
              </w:rPr>
            </w:pPr>
            <w:r>
              <w:rPr>
                <w:rFonts w:hint="eastAsia" w:ascii="Times New Roman"/>
                <w:color w:val="auto"/>
              </w:rPr>
              <w:t>招标代理服务费：</w:t>
            </w:r>
            <w:r>
              <w:rPr>
                <w:rFonts w:hint="eastAsia" w:ascii="Times New Roman"/>
                <w:color w:val="auto"/>
                <w:u w:val="single"/>
              </w:rPr>
              <w:t xml:space="preserve"> 收取 </w:t>
            </w:r>
            <w:r>
              <w:rPr>
                <w:rFonts w:hint="eastAsia" w:ascii="Times New Roman"/>
                <w:color w:val="auto"/>
              </w:rPr>
              <w:t>。</w:t>
            </w:r>
          </w:p>
          <w:p w14:paraId="2254874F">
            <w:pPr>
              <w:pStyle w:val="22"/>
              <w:snapToGrid w:val="0"/>
              <w:spacing w:line="380" w:lineRule="exact"/>
              <w:rPr>
                <w:rFonts w:ascii="Times New Roman"/>
                <w:color w:val="auto"/>
              </w:rPr>
            </w:pPr>
            <w:r>
              <w:rPr>
                <w:rFonts w:hint="eastAsia" w:ascii="Times New Roman"/>
                <w:color w:val="auto"/>
              </w:rPr>
              <w:t>支付标准：</w:t>
            </w:r>
            <w:r>
              <w:rPr>
                <w:rFonts w:hint="eastAsia" w:ascii="Times New Roman"/>
                <w:color w:val="auto"/>
                <w:u w:val="single"/>
              </w:rPr>
              <w:t xml:space="preserve"> 按照&lt;&lt;招标代理服务收费管理暂行办法&gt;（计价格〔2002〕1980号）货物类别计算代理服务费的方法（差额定率累进法）收费 </w:t>
            </w:r>
            <w:r>
              <w:rPr>
                <w:rFonts w:hint="eastAsia" w:ascii="Times New Roman"/>
                <w:color w:val="auto"/>
              </w:rPr>
              <w:t>。</w:t>
            </w:r>
          </w:p>
          <w:p w14:paraId="1FD7A403">
            <w:pPr>
              <w:pStyle w:val="22"/>
              <w:snapToGrid w:val="0"/>
              <w:spacing w:line="380" w:lineRule="exact"/>
              <w:rPr>
                <w:rFonts w:ascii="Times New Roman"/>
                <w:color w:val="auto"/>
              </w:rPr>
            </w:pPr>
            <w:r>
              <w:rPr>
                <w:rFonts w:hint="eastAsia" w:ascii="Times New Roman"/>
                <w:color w:val="auto"/>
              </w:rPr>
              <w:t>支付形式：</w:t>
            </w:r>
            <w:r>
              <w:rPr>
                <w:rFonts w:hint="eastAsia" w:ascii="Times New Roman"/>
                <w:color w:val="auto"/>
                <w:u w:val="single"/>
              </w:rPr>
              <w:t xml:space="preserve"> 电汇、现金 </w:t>
            </w:r>
            <w:r>
              <w:rPr>
                <w:rFonts w:hint="eastAsia" w:ascii="Times New Roman"/>
                <w:color w:val="auto"/>
              </w:rPr>
              <w:t>。</w:t>
            </w:r>
          </w:p>
          <w:p w14:paraId="2EBBD76A">
            <w:pPr>
              <w:pStyle w:val="22"/>
              <w:snapToGrid w:val="0"/>
              <w:spacing w:line="380" w:lineRule="exact"/>
              <w:rPr>
                <w:rFonts w:ascii="Times New Roman"/>
                <w:color w:val="auto"/>
              </w:rPr>
            </w:pPr>
            <w:r>
              <w:rPr>
                <w:rFonts w:hint="eastAsia" w:ascii="Times New Roman"/>
                <w:color w:val="auto"/>
              </w:rPr>
              <w:t>支付时间：</w:t>
            </w:r>
            <w:r>
              <w:rPr>
                <w:rFonts w:hint="eastAsia" w:ascii="Times New Roman"/>
                <w:color w:val="auto"/>
                <w:u w:val="single"/>
              </w:rPr>
              <w:t xml:space="preserve"> 中标结果公示后领取中标通知书前 </w:t>
            </w:r>
            <w:r>
              <w:rPr>
                <w:rFonts w:hint="eastAsia" w:ascii="Times New Roman"/>
                <w:color w:val="auto"/>
              </w:rPr>
              <w:t>。</w:t>
            </w:r>
          </w:p>
          <w:p w14:paraId="7743CC8E">
            <w:pPr>
              <w:pStyle w:val="22"/>
              <w:snapToGrid w:val="0"/>
              <w:spacing w:line="380" w:lineRule="exact"/>
              <w:rPr>
                <w:rFonts w:ascii="Times New Roman"/>
                <w:color w:val="auto"/>
              </w:rPr>
            </w:pPr>
            <w:r>
              <w:rPr>
                <w:rFonts w:hint="eastAsia" w:ascii="Times New Roman"/>
                <w:color w:val="auto"/>
              </w:rPr>
              <w:t>其他要求：</w:t>
            </w:r>
            <w:r>
              <w:rPr>
                <w:rFonts w:hint="eastAsia" w:ascii="Times New Roman"/>
                <w:color w:val="auto"/>
                <w:u w:val="single"/>
              </w:rPr>
              <w:t xml:space="preserve"> 投标人投标时必须充分考虑，但不得在投标报价中单列 </w:t>
            </w:r>
            <w:r>
              <w:rPr>
                <w:rFonts w:hint="eastAsia" w:ascii="Times New Roman"/>
                <w:color w:val="auto"/>
              </w:rPr>
              <w:t>。</w:t>
            </w:r>
          </w:p>
        </w:tc>
      </w:tr>
      <w:tr w14:paraId="6694F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70E0C6A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9.5</w:t>
            </w:r>
          </w:p>
        </w:tc>
        <w:tc>
          <w:tcPr>
            <w:tcW w:w="1379" w:type="pct"/>
            <w:tcBorders>
              <w:tl2br w:val="nil"/>
              <w:tr2bl w:val="nil"/>
            </w:tcBorders>
            <w:vAlign w:val="center"/>
          </w:tcPr>
          <w:p w14:paraId="7A319AF4">
            <w:pPr>
              <w:pStyle w:val="22"/>
              <w:spacing w:line="380" w:lineRule="exact"/>
              <w:jc w:val="center"/>
              <w:rPr>
                <w:rFonts w:ascii="Times New Roman"/>
                <w:color w:val="auto"/>
              </w:rPr>
            </w:pPr>
            <w:r>
              <w:rPr>
                <w:rFonts w:hint="eastAsia" w:ascii="Times New Roman"/>
                <w:color w:val="auto"/>
              </w:rPr>
              <w:t>技术投标文件</w:t>
            </w:r>
          </w:p>
        </w:tc>
        <w:tc>
          <w:tcPr>
            <w:tcW w:w="3020" w:type="pct"/>
            <w:tcBorders>
              <w:tl2br w:val="nil"/>
              <w:tr2bl w:val="nil"/>
            </w:tcBorders>
            <w:vAlign w:val="center"/>
          </w:tcPr>
          <w:p w14:paraId="5C127BF3">
            <w:pPr>
              <w:widowControl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是否暗标</w:t>
            </w:r>
          </w:p>
          <w:p w14:paraId="4C29F61D">
            <w:pPr>
              <w:widowControl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是</w:t>
            </w:r>
          </w:p>
          <w:p w14:paraId="00D39267">
            <w:pPr>
              <w:widowControl w:val="0"/>
              <w:spacing w:after="0" w:line="380" w:lineRule="exact"/>
              <w:rPr>
                <w:rFonts w:ascii="Times New Roman" w:hAnsi="Times New Roman" w:eastAsia="宋体" w:cs="宋体"/>
                <w:b/>
                <w:color w:val="auto"/>
                <w:sz w:val="24"/>
                <w:szCs w:val="24"/>
              </w:rPr>
            </w:pPr>
            <w:r>
              <w:rPr>
                <w:rFonts w:hint="eastAsia" w:ascii="Times New Roman" w:hAnsi="Times New Roman" w:eastAsia="宋体" w:cs="宋体"/>
                <w:color w:val="auto"/>
                <w:sz w:val="24"/>
                <w:szCs w:val="24"/>
              </w:rPr>
              <w:t>投标人应严格按照第六章“投标文件格式”的暗标要求编制</w:t>
            </w:r>
            <w:r>
              <w:rPr>
                <w:rFonts w:hint="eastAsia" w:ascii="Times New Roman" w:hAnsi="Times New Roman" w:eastAsia="宋体" w:cs="宋体"/>
                <w:b/>
                <w:color w:val="auto"/>
                <w:sz w:val="24"/>
                <w:szCs w:val="24"/>
              </w:rPr>
              <w:t>。</w:t>
            </w:r>
          </w:p>
          <w:p w14:paraId="4FA4210E">
            <w:pPr>
              <w:widowControl w:val="0"/>
              <w:spacing w:after="0" w:line="380" w:lineRule="exact"/>
              <w:rPr>
                <w:color w:val="auto"/>
                <w:sz w:val="24"/>
                <w:szCs w:val="24"/>
              </w:rPr>
            </w:pPr>
            <w:r>
              <w:rPr>
                <w:rFonts w:hint="eastAsia" w:ascii="Times New Roman" w:hAnsi="Times New Roman" w:eastAsia="宋体" w:cs="宋体"/>
                <w:color w:val="auto"/>
                <w:sz w:val="24"/>
                <w:szCs w:val="24"/>
              </w:rPr>
              <w:t>☑ 否</w:t>
            </w:r>
          </w:p>
        </w:tc>
      </w:tr>
      <w:tr w14:paraId="1B793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866" w:hRule="atLeast"/>
          <w:jc w:val="center"/>
        </w:trPr>
        <w:tc>
          <w:tcPr>
            <w:tcW w:w="600" w:type="pct"/>
            <w:tcBorders>
              <w:tl2br w:val="nil"/>
              <w:tr2bl w:val="nil"/>
            </w:tcBorders>
            <w:vAlign w:val="center"/>
          </w:tcPr>
          <w:p w14:paraId="7B468E6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9.6</w:t>
            </w:r>
          </w:p>
        </w:tc>
        <w:tc>
          <w:tcPr>
            <w:tcW w:w="1379" w:type="pct"/>
            <w:tcBorders>
              <w:tl2br w:val="nil"/>
              <w:tr2bl w:val="nil"/>
            </w:tcBorders>
            <w:vAlign w:val="center"/>
          </w:tcPr>
          <w:p w14:paraId="5CD2503F">
            <w:pPr>
              <w:pStyle w:val="22"/>
              <w:adjustRightInd/>
              <w:snapToGrid w:val="0"/>
              <w:spacing w:line="380" w:lineRule="exact"/>
              <w:jc w:val="center"/>
              <w:rPr>
                <w:rFonts w:ascii="Times New Roman"/>
                <w:color w:val="auto"/>
              </w:rPr>
            </w:pPr>
            <w:r>
              <w:rPr>
                <w:rFonts w:hint="eastAsia" w:ascii="Times New Roman"/>
                <w:color w:val="auto"/>
              </w:rPr>
              <w:t>信用记录</w:t>
            </w:r>
          </w:p>
        </w:tc>
        <w:tc>
          <w:tcPr>
            <w:tcW w:w="3020" w:type="pct"/>
            <w:tcBorders>
              <w:tl2br w:val="nil"/>
              <w:tr2bl w:val="nil"/>
            </w:tcBorders>
            <w:vAlign w:val="center"/>
          </w:tcPr>
          <w:p w14:paraId="0B5D75B4">
            <w:pPr>
              <w:pStyle w:val="22"/>
              <w:adjustRightInd/>
              <w:snapToGrid w:val="0"/>
              <w:spacing w:line="380" w:lineRule="exact"/>
              <w:rPr>
                <w:rFonts w:ascii="Times New Roman"/>
                <w:color w:val="auto"/>
              </w:rPr>
            </w:pPr>
            <w:r>
              <w:rPr>
                <w:rFonts w:hint="eastAsia" w:ascii="Times New Roman"/>
                <w:color w:val="auto"/>
              </w:rPr>
              <w:t>根据投标人须知1.4的信用要求，提供投标截止时间前7天内的查询结果截图。</w:t>
            </w:r>
          </w:p>
        </w:tc>
      </w:tr>
      <w:tr w14:paraId="11783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3E7038E">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9.7</w:t>
            </w:r>
          </w:p>
        </w:tc>
        <w:tc>
          <w:tcPr>
            <w:tcW w:w="1379" w:type="pct"/>
            <w:tcBorders>
              <w:tl2br w:val="nil"/>
              <w:tr2bl w:val="nil"/>
            </w:tcBorders>
            <w:vAlign w:val="center"/>
          </w:tcPr>
          <w:p w14:paraId="20801A3B">
            <w:pPr>
              <w:pStyle w:val="22"/>
              <w:snapToGrid w:val="0"/>
              <w:spacing w:line="380" w:lineRule="exact"/>
              <w:jc w:val="center"/>
              <w:rPr>
                <w:rFonts w:ascii="Times New Roman"/>
                <w:color w:val="auto"/>
              </w:rPr>
            </w:pPr>
            <w:r>
              <w:rPr>
                <w:rFonts w:hint="eastAsia" w:ascii="Times New Roman"/>
                <w:color w:val="auto"/>
              </w:rPr>
              <w:t>监督</w:t>
            </w:r>
          </w:p>
        </w:tc>
        <w:tc>
          <w:tcPr>
            <w:tcW w:w="3020" w:type="pct"/>
            <w:tcBorders>
              <w:tl2br w:val="nil"/>
              <w:tr2bl w:val="nil"/>
            </w:tcBorders>
            <w:vAlign w:val="center"/>
          </w:tcPr>
          <w:p w14:paraId="6D7B1363">
            <w:pPr>
              <w:pStyle w:val="22"/>
              <w:adjustRightInd/>
              <w:snapToGrid w:val="0"/>
              <w:spacing w:line="380" w:lineRule="exact"/>
              <w:rPr>
                <w:rFonts w:ascii="Times New Roman"/>
                <w:color w:val="auto"/>
              </w:rPr>
            </w:pPr>
            <w:r>
              <w:rPr>
                <w:rFonts w:hint="eastAsia" w:ascii="Times New Roman"/>
                <w:color w:val="auto"/>
              </w:rPr>
              <w:t>监督部门名称：大石桥市水利局</w:t>
            </w:r>
          </w:p>
          <w:p w14:paraId="25A3A185">
            <w:pPr>
              <w:pStyle w:val="22"/>
              <w:adjustRightInd/>
              <w:snapToGrid w:val="0"/>
              <w:spacing w:line="380" w:lineRule="exact"/>
              <w:rPr>
                <w:rFonts w:ascii="Times New Roman"/>
                <w:color w:val="auto"/>
              </w:rPr>
            </w:pPr>
            <w:r>
              <w:rPr>
                <w:rFonts w:hint="eastAsia" w:ascii="Times New Roman"/>
                <w:color w:val="auto"/>
              </w:rPr>
              <w:t>电话：0417-5813639</w:t>
            </w:r>
          </w:p>
        </w:tc>
      </w:tr>
      <w:tr w14:paraId="11023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CA8F0B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Times New Roman"/>
                <w:color w:val="auto"/>
                <w:sz w:val="24"/>
                <w:szCs w:val="24"/>
              </w:rPr>
              <w:t>9.8</w:t>
            </w:r>
          </w:p>
        </w:tc>
        <w:tc>
          <w:tcPr>
            <w:tcW w:w="1379" w:type="pct"/>
            <w:tcBorders>
              <w:tl2br w:val="nil"/>
              <w:tr2bl w:val="nil"/>
            </w:tcBorders>
            <w:vAlign w:val="center"/>
          </w:tcPr>
          <w:p w14:paraId="0827BE67">
            <w:pPr>
              <w:pStyle w:val="22"/>
              <w:snapToGrid w:val="0"/>
              <w:spacing w:line="380" w:lineRule="exact"/>
              <w:jc w:val="center"/>
              <w:rPr>
                <w:rFonts w:ascii="Times New Roman"/>
                <w:color w:val="auto"/>
              </w:rPr>
            </w:pPr>
            <w:r>
              <w:rPr>
                <w:rFonts w:hint="eastAsia" w:ascii="Times New Roman"/>
                <w:color w:val="auto"/>
              </w:rPr>
              <w:t>报价说明</w:t>
            </w:r>
          </w:p>
        </w:tc>
        <w:tc>
          <w:tcPr>
            <w:tcW w:w="3020" w:type="pct"/>
            <w:tcBorders>
              <w:tl2br w:val="nil"/>
              <w:tr2bl w:val="nil"/>
            </w:tcBorders>
            <w:vAlign w:val="center"/>
          </w:tcPr>
          <w:p w14:paraId="77C03D0C">
            <w:pPr>
              <w:pStyle w:val="22"/>
              <w:snapToGrid w:val="0"/>
              <w:spacing w:line="380" w:lineRule="exact"/>
            </w:pPr>
            <w:r>
              <w:rPr>
                <w:rFonts w:hint="eastAsia"/>
              </w:rPr>
              <w:t>1、本合同为总价合同。</w:t>
            </w:r>
          </w:p>
          <w:p w14:paraId="24F2E814">
            <w:pPr>
              <w:pStyle w:val="22"/>
              <w:snapToGrid w:val="0"/>
              <w:spacing w:line="380" w:lineRule="exact"/>
            </w:pPr>
            <w:r>
              <w:rPr>
                <w:rFonts w:hint="eastAsia"/>
              </w:rPr>
              <w:t>2、每个投标人对每种货物只允许提供一个方案，该方案只允许有一个报价。任何有选择的方案或报价将不被接受，其投标将被拒绝。</w:t>
            </w:r>
          </w:p>
          <w:p w14:paraId="15BDFE57">
            <w:pPr>
              <w:pStyle w:val="22"/>
              <w:snapToGrid w:val="0"/>
              <w:spacing w:line="380" w:lineRule="exact"/>
            </w:pPr>
            <w:r>
              <w:rPr>
                <w:rFonts w:hint="eastAsia"/>
              </w:rPr>
              <w:t>3、所有投标均按投标人须知表3.2.4款中要求货币进行报价。投标人的投标报价应遵守《中华人民共和国价格法》。</w:t>
            </w:r>
          </w:p>
          <w:p w14:paraId="34D3167D">
            <w:pPr>
              <w:pStyle w:val="22"/>
              <w:snapToGrid w:val="0"/>
              <w:spacing w:line="380" w:lineRule="exact"/>
            </w:pPr>
            <w:r>
              <w:rPr>
                <w:rFonts w:hint="eastAsia"/>
              </w:rPr>
              <w:t>4、投标人填报的单价和总价，均考虑了符合合同规定的由卖方为本合同供货所发生的设计、制造、厂内检测、包装运输、卸货、安装、试运行、验收、培训、售后服务、保险、管理费、利润、各种政策性收费和税金等全部费用，合同规定应由卖方承担而在分项报价表中未详细列出的项目，其费用和利润应认为已包括各单价和合价中。</w:t>
            </w:r>
          </w:p>
          <w:p w14:paraId="21128CCF">
            <w:pPr>
              <w:pStyle w:val="22"/>
              <w:snapToGrid w:val="0"/>
              <w:spacing w:line="380" w:lineRule="exact"/>
            </w:pPr>
            <w:r>
              <w:rPr>
                <w:rFonts w:hint="eastAsia"/>
              </w:rPr>
              <w:t>上述费用包括但不限于以下内容：</w:t>
            </w:r>
          </w:p>
          <w:p w14:paraId="5FB09B0B">
            <w:pPr>
              <w:pStyle w:val="22"/>
              <w:snapToGrid w:val="0"/>
              <w:spacing w:line="380" w:lineRule="exact"/>
            </w:pPr>
            <w:r>
              <w:rPr>
                <w:rFonts w:hint="eastAsia"/>
              </w:rPr>
              <w:t>（1）投标人准备和参加招投标活动发生的费用。</w:t>
            </w:r>
          </w:p>
          <w:p w14:paraId="1538D788">
            <w:pPr>
              <w:pStyle w:val="22"/>
              <w:snapToGrid w:val="0"/>
              <w:spacing w:line="380" w:lineRule="exact"/>
            </w:pPr>
            <w:r>
              <w:rPr>
                <w:rFonts w:hint="eastAsia"/>
              </w:rPr>
              <w:t>（2）招标代理服务费。</w:t>
            </w:r>
          </w:p>
          <w:p w14:paraId="40B12A6A">
            <w:pPr>
              <w:pStyle w:val="22"/>
              <w:snapToGrid w:val="0"/>
              <w:spacing w:line="380" w:lineRule="exact"/>
            </w:pPr>
            <w:r>
              <w:rPr>
                <w:rFonts w:hint="eastAsia"/>
              </w:rPr>
              <w:t>（3）卖方应承担的保险费用。</w:t>
            </w:r>
          </w:p>
          <w:p w14:paraId="67B4EC36">
            <w:pPr>
              <w:pStyle w:val="22"/>
              <w:snapToGrid w:val="0"/>
              <w:spacing w:line="380" w:lineRule="exact"/>
            </w:pPr>
            <w:r>
              <w:rPr>
                <w:rFonts w:hint="eastAsia"/>
              </w:rPr>
              <w:t>（4）分项报价表中所涉及的所有货物的设计、制造、厂内检测、包装运输、卸货、安装、试运行、验收、培训、售后服务、保险、管理费、利润、各种政策性收费和税金等全部费用。</w:t>
            </w:r>
          </w:p>
          <w:p w14:paraId="22D6CD4E">
            <w:pPr>
              <w:pStyle w:val="22"/>
              <w:snapToGrid w:val="0"/>
              <w:spacing w:line="380" w:lineRule="exact"/>
            </w:pPr>
            <w:r>
              <w:rPr>
                <w:rFonts w:hint="eastAsia"/>
              </w:rPr>
              <w:t>（5）卖方运输时所缴纳的相关费用，包括运输超大超重件所需的附加费用，公路、桥梁临时加固等费用。</w:t>
            </w:r>
          </w:p>
          <w:p w14:paraId="258EDC37">
            <w:pPr>
              <w:pStyle w:val="22"/>
              <w:snapToGrid w:val="0"/>
              <w:spacing w:line="380" w:lineRule="exact"/>
            </w:pPr>
            <w:r>
              <w:rPr>
                <w:rFonts w:hint="eastAsia"/>
              </w:rPr>
              <w:t>（6）提供给买方和监理人的所有图纸、文件资料等费用。</w:t>
            </w:r>
          </w:p>
          <w:p w14:paraId="74A2EA44">
            <w:pPr>
              <w:pStyle w:val="22"/>
              <w:snapToGrid w:val="0"/>
              <w:spacing w:line="380" w:lineRule="exact"/>
            </w:pPr>
            <w:r>
              <w:rPr>
                <w:rFonts w:hint="eastAsia"/>
              </w:rPr>
              <w:t>（7）售后服务（包括现场技术交底、安装技术指导和修补缺陷等）所需的全部费用。</w:t>
            </w:r>
          </w:p>
          <w:p w14:paraId="29022D10">
            <w:pPr>
              <w:pStyle w:val="22"/>
              <w:snapToGrid w:val="0"/>
              <w:spacing w:line="380" w:lineRule="exact"/>
            </w:pPr>
            <w:r>
              <w:rPr>
                <w:rFonts w:hint="eastAsia"/>
              </w:rPr>
              <w:t>（8）在基准日期所依据的国家法律、行政法规、国务院有关部门的规章以及工程所在地的省、自治区、直辖市的地方性法规和规章中规定应由卖方缴纳的税金（含增值税）和其他费用。</w:t>
            </w:r>
          </w:p>
          <w:p w14:paraId="53878A1D">
            <w:pPr>
              <w:pStyle w:val="22"/>
              <w:snapToGrid w:val="0"/>
              <w:spacing w:line="380" w:lineRule="exact"/>
            </w:pPr>
            <w:r>
              <w:rPr>
                <w:rFonts w:hint="eastAsia"/>
              </w:rPr>
              <w:t>（9）合同约定的卖方应承担的其他费用。</w:t>
            </w:r>
          </w:p>
          <w:p w14:paraId="11CA696F">
            <w:pPr>
              <w:pStyle w:val="22"/>
              <w:snapToGrid w:val="0"/>
              <w:spacing w:line="380" w:lineRule="exact"/>
            </w:pPr>
            <w:r>
              <w:rPr>
                <w:rFonts w:hint="eastAsia"/>
              </w:rPr>
              <w:t>5、投标人应按招标文件要求在相关表格中标明提供货物及伴随服务的单价和总价。</w:t>
            </w:r>
          </w:p>
          <w:p w14:paraId="1D3B7435">
            <w:pPr>
              <w:pStyle w:val="22"/>
              <w:snapToGrid w:val="0"/>
              <w:spacing w:line="380" w:lineRule="exact"/>
            </w:pPr>
            <w:r>
              <w:rPr>
                <w:rFonts w:hint="eastAsia"/>
              </w:rPr>
              <w:t>6、投标人所报的各标段的投标总价在合同履行过程中是固定不变的，不得以任何理由予以变更。任何包含价格调整要求的投标，其投标将被认定为投标无效。</w:t>
            </w:r>
          </w:p>
          <w:p w14:paraId="0CE5E787">
            <w:pPr>
              <w:pStyle w:val="22"/>
              <w:snapToGrid w:val="0"/>
              <w:spacing w:line="380" w:lineRule="exact"/>
            </w:pPr>
            <w:r>
              <w:rPr>
                <w:rFonts w:hint="eastAsia"/>
              </w:rPr>
              <w:t>7、每种货物只能有一个投标报价。招标人不接受具有附加条件的报价。</w:t>
            </w:r>
          </w:p>
          <w:p w14:paraId="6AEFEA73">
            <w:pPr>
              <w:pStyle w:val="22"/>
              <w:snapToGrid w:val="0"/>
              <w:spacing w:line="380" w:lineRule="exact"/>
              <w:rPr>
                <w:rFonts w:ascii="Times New Roman"/>
                <w:color w:val="auto"/>
              </w:rPr>
            </w:pPr>
            <w:r>
              <w:rPr>
                <w:rFonts w:hint="eastAsia"/>
              </w:rPr>
              <w:t>8、除非招标文件另有规定，投标报价原则上精确到小数点后两位。</w:t>
            </w:r>
          </w:p>
        </w:tc>
      </w:tr>
      <w:tr w14:paraId="08D31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D220298">
            <w:pPr>
              <w:widowControl w:val="0"/>
              <w:adjustRightInd w:val="0"/>
              <w:snapToGrid w:val="0"/>
              <w:spacing w:after="0" w:line="380" w:lineRule="exact"/>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9.9</w:t>
            </w:r>
          </w:p>
        </w:tc>
        <w:tc>
          <w:tcPr>
            <w:tcW w:w="1379" w:type="pct"/>
            <w:tcBorders>
              <w:tl2br w:val="nil"/>
              <w:tr2bl w:val="nil"/>
            </w:tcBorders>
            <w:vAlign w:val="center"/>
          </w:tcPr>
          <w:p w14:paraId="3CCA3106">
            <w:pPr>
              <w:pStyle w:val="22"/>
              <w:snapToGrid w:val="0"/>
              <w:spacing w:line="380" w:lineRule="exact"/>
              <w:jc w:val="center"/>
              <w:rPr>
                <w:rFonts w:ascii="Times New Roman"/>
                <w:color w:val="auto"/>
              </w:rPr>
            </w:pPr>
            <w:r>
              <w:rPr>
                <w:rFonts w:hint="eastAsia" w:ascii="Times New Roman"/>
                <w:color w:val="auto"/>
              </w:rPr>
              <w:t>付款方式及条件</w:t>
            </w:r>
          </w:p>
        </w:tc>
        <w:tc>
          <w:tcPr>
            <w:tcW w:w="3020" w:type="pct"/>
            <w:tcBorders>
              <w:tl2br w:val="nil"/>
              <w:tr2bl w:val="nil"/>
            </w:tcBorders>
            <w:vAlign w:val="center"/>
          </w:tcPr>
          <w:p w14:paraId="33C788AD">
            <w:pPr>
              <w:pStyle w:val="22"/>
              <w:snapToGrid w:val="0"/>
              <w:spacing w:line="380" w:lineRule="exact"/>
              <w:rPr>
                <w:rFonts w:hint="eastAsia"/>
              </w:rPr>
            </w:pPr>
            <w:r>
              <w:rPr>
                <w:rFonts w:hint="eastAsia"/>
              </w:rPr>
              <w:t>供货商向业主提供预付款保函后，业主支付硬件设备款的40%，硬件设备到场安装；硬、软件设备完成安装调试后，支付至设备款的70%；设备正常运行半年后，支付至设备款的90%；设备正常运行一年且质量保修期满后一次性付清；设备款包含安装费，由供货商负责。</w:t>
            </w:r>
          </w:p>
          <w:p w14:paraId="659AD5F8">
            <w:pPr>
              <w:pStyle w:val="22"/>
              <w:snapToGrid w:val="0"/>
              <w:spacing w:line="380" w:lineRule="exact"/>
              <w:rPr>
                <w:rFonts w:hint="eastAsia"/>
              </w:rPr>
            </w:pPr>
            <w:r>
              <w:rPr>
                <w:rFonts w:hint="eastAsia"/>
                <w:lang w:val="en-US" w:eastAsia="zh-CN"/>
              </w:rPr>
              <w:t>注：必须优先全额支付农民工工资，如发生拖欠农民工工资情况，下次不予支付工程款。</w:t>
            </w:r>
          </w:p>
        </w:tc>
      </w:tr>
      <w:tr w14:paraId="0FE40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465F925">
            <w:pPr>
              <w:widowControl w:val="0"/>
              <w:adjustRightInd w:val="0"/>
              <w:snapToGrid w:val="0"/>
              <w:spacing w:after="0" w:line="380" w:lineRule="exact"/>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9.10</w:t>
            </w:r>
          </w:p>
        </w:tc>
        <w:tc>
          <w:tcPr>
            <w:tcW w:w="1379" w:type="pct"/>
            <w:tcBorders>
              <w:tl2br w:val="nil"/>
              <w:tr2bl w:val="nil"/>
            </w:tcBorders>
            <w:vAlign w:val="center"/>
          </w:tcPr>
          <w:p w14:paraId="7713B8EF">
            <w:pPr>
              <w:pStyle w:val="22"/>
              <w:snapToGrid w:val="0"/>
              <w:spacing w:line="380" w:lineRule="exact"/>
              <w:jc w:val="center"/>
              <w:rPr>
                <w:rFonts w:ascii="Times New Roman"/>
                <w:color w:val="auto"/>
              </w:rPr>
            </w:pPr>
            <w:r>
              <w:rPr>
                <w:rFonts w:hint="eastAsia" w:ascii="Times New Roman"/>
                <w:color w:val="auto"/>
              </w:rPr>
              <w:t>安全措施</w:t>
            </w:r>
          </w:p>
        </w:tc>
        <w:tc>
          <w:tcPr>
            <w:tcW w:w="3020" w:type="pct"/>
            <w:tcBorders>
              <w:tl2br w:val="nil"/>
              <w:tr2bl w:val="nil"/>
            </w:tcBorders>
            <w:vAlign w:val="center"/>
          </w:tcPr>
          <w:p w14:paraId="4AAAA761">
            <w:pPr>
              <w:pStyle w:val="22"/>
              <w:snapToGrid w:val="0"/>
              <w:spacing w:line="380" w:lineRule="exact"/>
            </w:pPr>
            <w:r>
              <w:rPr>
                <w:rFonts w:hint="eastAsia"/>
              </w:rPr>
              <w:t>在供货及安装过程中，卖方必须严格遵守安全的有关规定，采取可靠的安全措施，安排专业安全专员，确保作业或施工安全；在合同履行过程中，一切安全责任</w:t>
            </w:r>
            <w:r>
              <w:rPr>
                <w:rFonts w:hint="eastAsia"/>
                <w:lang w:eastAsia="zh-CN"/>
              </w:rPr>
              <w:t>，</w:t>
            </w:r>
            <w:r>
              <w:rPr>
                <w:rFonts w:hint="eastAsia"/>
                <w:lang w:val="en-US" w:eastAsia="zh-CN"/>
              </w:rPr>
              <w:t>人员保险（工程保险、安全生产责任险等）由卖方负责。</w:t>
            </w:r>
            <w:bookmarkStart w:id="900" w:name="_GoBack"/>
            <w:bookmarkEnd w:id="900"/>
          </w:p>
        </w:tc>
      </w:tr>
    </w:tbl>
    <w:p w14:paraId="39CC34A6">
      <w:pPr>
        <w:rPr>
          <w:rFonts w:ascii="Times New Roman" w:hAnsi="Times New Roman" w:eastAsia="宋体" w:cs="宋体"/>
          <w:color w:val="auto"/>
        </w:rPr>
        <w:sectPr>
          <w:pgSz w:w="11906" w:h="16838"/>
          <w:pgMar w:top="1440" w:right="1800" w:bottom="1440" w:left="1800" w:header="737" w:footer="850" w:gutter="0"/>
          <w:cols w:space="720" w:num="1"/>
          <w:docGrid w:type="lines" w:linePitch="312" w:charSpace="0"/>
        </w:sectPr>
      </w:pPr>
      <w:r>
        <w:rPr>
          <w:rFonts w:hint="eastAsia"/>
          <w:color w:val="auto"/>
        </w:rPr>
        <w:t>注：“投标人须知前附表”与“投标人须知”内容不一致处，以“投标人须知前附表”为准。</w:t>
      </w:r>
      <w:bookmarkStart w:id="90" w:name="_Toc56792757"/>
      <w:bookmarkStart w:id="91" w:name="_Toc6322"/>
      <w:r>
        <w:rPr>
          <w:rFonts w:hint="eastAsia" w:ascii="Times New Roman" w:hAnsi="Times New Roman" w:eastAsia="宋体" w:cs="宋体"/>
          <w:color w:val="auto"/>
        </w:rPr>
        <w:t xml:space="preserve">        </w:t>
      </w:r>
    </w:p>
    <w:bookmarkEnd w:id="90"/>
    <w:bookmarkEnd w:id="91"/>
    <w:p w14:paraId="6A0C862A">
      <w:pPr>
        <w:pStyle w:val="3"/>
        <w:keepNext w:val="0"/>
        <w:keepLines w:val="0"/>
        <w:widowControl w:val="0"/>
        <w:adjustRightInd w:val="0"/>
        <w:snapToGrid w:val="0"/>
        <w:spacing w:line="490" w:lineRule="exact"/>
        <w:ind w:left="0" w:right="0" w:firstLine="562" w:firstLineChars="200"/>
        <w:jc w:val="both"/>
        <w:rPr>
          <w:rFonts w:ascii="Times New Roman" w:hAnsi="Times New Roman" w:cs="宋体"/>
          <w:color w:val="auto"/>
          <w:szCs w:val="28"/>
        </w:rPr>
      </w:pPr>
      <w:bookmarkStart w:id="92" w:name="_Toc32537"/>
      <w:bookmarkStart w:id="93" w:name="_Toc53"/>
      <w:bookmarkStart w:id="94" w:name="_Toc38287104"/>
      <w:r>
        <w:rPr>
          <w:rFonts w:hint="eastAsia" w:ascii="Times New Roman" w:hAnsi="Times New Roman" w:cs="宋体"/>
          <w:color w:val="auto"/>
          <w:szCs w:val="28"/>
        </w:rPr>
        <w:t>1.总则</w:t>
      </w:r>
      <w:bookmarkEnd w:id="92"/>
    </w:p>
    <w:p w14:paraId="7D83EC7E">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1.1 招标项目概况</w:t>
      </w:r>
      <w:bookmarkEnd w:id="93"/>
      <w:bookmarkEnd w:id="94"/>
      <w:r>
        <w:rPr>
          <w:rFonts w:hint="eastAsia" w:ascii="Times New Roman" w:hAnsi="Times New Roman" w:eastAsia="宋体" w:cs="宋体"/>
          <w:b/>
          <w:bCs/>
          <w:color w:val="auto"/>
          <w:szCs w:val="28"/>
        </w:rPr>
        <w:t xml:space="preserve"> </w:t>
      </w:r>
    </w:p>
    <w:p w14:paraId="4914AB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 根据《中华人民共和国招标投标法》《中华人民共和国招标投标法实施条例》等有关法律法规和规章的规定，本招标项目已具备招标条件，现对设备采购进行招标。</w:t>
      </w:r>
    </w:p>
    <w:p w14:paraId="3913F98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1.1.2 招标人：见投标人须知前附表。</w:t>
      </w:r>
    </w:p>
    <w:p w14:paraId="4E57F7B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1.1.3 招标代理机构：见投标人须知前附表。</w:t>
      </w:r>
    </w:p>
    <w:p w14:paraId="1FC6511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1.1.4 </w:t>
      </w:r>
      <w:r>
        <w:rPr>
          <w:color w:val="auto"/>
          <w:sz w:val="28"/>
          <w:szCs w:val="32"/>
        </w:rPr>
        <w:t>本招标项目名称</w:t>
      </w:r>
      <w:r>
        <w:rPr>
          <w:rFonts w:hint="eastAsia"/>
          <w:color w:val="auto"/>
          <w:sz w:val="28"/>
          <w:szCs w:val="32"/>
        </w:rPr>
        <w:t>和标段名称</w:t>
      </w:r>
      <w:r>
        <w:rPr>
          <w:color w:val="auto"/>
          <w:sz w:val="28"/>
          <w:szCs w:val="32"/>
        </w:rPr>
        <w:t>：见投标人须知前附表。</w:t>
      </w:r>
    </w:p>
    <w:p w14:paraId="1621A8A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95" w:name="_Toc38287105"/>
      <w:bookmarkStart w:id="96" w:name="_Toc23053"/>
      <w:r>
        <w:rPr>
          <w:rFonts w:hint="eastAsia" w:ascii="Times New Roman" w:hAnsi="Times New Roman" w:eastAsia="宋体" w:cs="宋体"/>
          <w:b/>
          <w:bCs/>
          <w:color w:val="auto"/>
          <w:szCs w:val="28"/>
        </w:rPr>
        <w:t>1.2 招标项目的资金来源和落实情况</w:t>
      </w:r>
      <w:bookmarkEnd w:id="95"/>
      <w:bookmarkEnd w:id="96"/>
      <w:r>
        <w:rPr>
          <w:rFonts w:hint="eastAsia" w:ascii="Times New Roman" w:hAnsi="Times New Roman" w:eastAsia="宋体" w:cs="宋体"/>
          <w:b/>
          <w:bCs/>
          <w:color w:val="auto"/>
          <w:szCs w:val="28"/>
        </w:rPr>
        <w:t xml:space="preserve"> </w:t>
      </w:r>
    </w:p>
    <w:p w14:paraId="244F416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1.2.1 资金来源：见投标人须知前附表。</w:t>
      </w:r>
    </w:p>
    <w:p w14:paraId="0F8D754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1.2.2 资金落实情况：见投标人须知前附表。</w:t>
      </w:r>
    </w:p>
    <w:p w14:paraId="40D9ACC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97" w:name="_Toc38287106"/>
      <w:bookmarkStart w:id="98" w:name="_Toc7053"/>
      <w:r>
        <w:rPr>
          <w:rFonts w:hint="eastAsia" w:ascii="Times New Roman" w:hAnsi="Times New Roman" w:eastAsia="宋体" w:cs="宋体"/>
          <w:b/>
          <w:bCs/>
          <w:color w:val="auto"/>
          <w:szCs w:val="28"/>
        </w:rPr>
        <w:t>1.3 招标范围、交货期、交货地点及方式和技术性能指标</w:t>
      </w:r>
      <w:bookmarkEnd w:id="97"/>
      <w:bookmarkEnd w:id="98"/>
      <w:r>
        <w:rPr>
          <w:rFonts w:hint="eastAsia" w:ascii="Times New Roman" w:hAnsi="Times New Roman" w:eastAsia="宋体" w:cs="宋体"/>
          <w:b/>
          <w:bCs/>
          <w:color w:val="auto"/>
          <w:szCs w:val="28"/>
        </w:rPr>
        <w:t xml:space="preserve"> </w:t>
      </w:r>
    </w:p>
    <w:p w14:paraId="79C5B1F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1.3.1 招标范围：见投标人须知前附表。</w:t>
      </w:r>
    </w:p>
    <w:p w14:paraId="30495DF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1.3.2 交货期：见投标人须知前附表。</w:t>
      </w:r>
    </w:p>
    <w:p w14:paraId="09A6DC1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1.3.3 交货地点：见投标人须知前附表。</w:t>
      </w:r>
    </w:p>
    <w:p w14:paraId="6155645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1.3.4 技术性能指标：见投标人须知前附表。</w:t>
      </w:r>
    </w:p>
    <w:p w14:paraId="23F87571">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99" w:name="_Toc10595"/>
      <w:bookmarkStart w:id="100" w:name="_Toc38287107"/>
      <w:r>
        <w:rPr>
          <w:rFonts w:hint="eastAsia" w:ascii="Times New Roman" w:hAnsi="Times New Roman" w:eastAsia="宋体" w:cs="宋体"/>
          <w:b/>
          <w:bCs/>
          <w:color w:val="auto"/>
          <w:szCs w:val="28"/>
        </w:rPr>
        <w:t>1.4 投标人资格要求</w:t>
      </w:r>
      <w:bookmarkEnd w:id="99"/>
      <w:bookmarkEnd w:id="100"/>
      <w:r>
        <w:rPr>
          <w:rFonts w:hint="eastAsia" w:ascii="Times New Roman" w:hAnsi="Times New Roman" w:eastAsia="宋体" w:cs="宋体"/>
          <w:b/>
          <w:bCs/>
          <w:color w:val="auto"/>
          <w:szCs w:val="28"/>
        </w:rPr>
        <w:t xml:space="preserve"> </w:t>
      </w:r>
    </w:p>
    <w:p w14:paraId="0DBE3D3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1.4.1 投标人应具备承担本招标项目资质条件、能力和信誉： </w:t>
      </w:r>
    </w:p>
    <w:p w14:paraId="563FB75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（1）资质要求：见投标人须知前附表；</w:t>
      </w:r>
    </w:p>
    <w:p w14:paraId="6569FD5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（2）财务要求：见投标人须知前附表；</w:t>
      </w:r>
    </w:p>
    <w:p w14:paraId="2E29DAC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（3）业绩要求：见投标人须知前附表； </w:t>
      </w:r>
    </w:p>
    <w:p w14:paraId="16BB307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（4）信誉要求：见投标人须知前附表；</w:t>
      </w:r>
    </w:p>
    <w:p w14:paraId="263FA1E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（5）其他要求：见投标人须知前附表。</w:t>
      </w:r>
    </w:p>
    <w:p w14:paraId="7232A568">
      <w:pPr>
        <w:widowControl w:val="0"/>
        <w:adjustRightInd w:val="0"/>
        <w:snapToGrid w:val="0"/>
        <w:spacing w:after="0" w:line="490" w:lineRule="exact"/>
        <w:ind w:firstLine="562" w:firstLineChars="200"/>
        <w:jc w:val="both"/>
        <w:rPr>
          <w:rFonts w:ascii="Times New Roman" w:hAnsi="Times New Roman" w:eastAsia="宋体" w:cs="宋体"/>
          <w:b/>
          <w:bCs/>
          <w:color w:val="auto"/>
          <w:sz w:val="28"/>
          <w:szCs w:val="28"/>
        </w:rPr>
      </w:pPr>
      <w:r>
        <w:rPr>
          <w:rFonts w:hint="eastAsia" w:ascii="Times New Roman" w:hAnsi="Times New Roman" w:eastAsia="宋体" w:cs="宋体"/>
          <w:b/>
          <w:bCs/>
          <w:color w:val="auto"/>
          <w:sz w:val="28"/>
          <w:szCs w:val="28"/>
        </w:rPr>
        <w:t>投标人为代理经销商的，对投标人的资质要求包含对制造商的资质要求，对投标人的业绩要求包含对投标设备的业绩要求。</w:t>
      </w:r>
    </w:p>
    <w:p w14:paraId="1C00711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需要提交的相关证明材料见本章第 3.5 款的规定。</w:t>
      </w:r>
    </w:p>
    <w:p w14:paraId="57FFE90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1.4.2 投标人须知前附表规定接受联合体投标的，联合体除应符合本章第 1.4.1 项和投标人须知前附表的要求外，还应遵守以下规定： </w:t>
      </w:r>
    </w:p>
    <w:p w14:paraId="0F9CAC8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（1）联合体各方应按招标文件提供的格式签订联合体协议书，明确联合体牵头人和各方权利义务，并承诺就中标项目向招标人承担连带责任； </w:t>
      </w:r>
    </w:p>
    <w:p w14:paraId="0893AD3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（2）由同一专业的单位组成的联合体，按照资质等级较低的单位确定资质等级； </w:t>
      </w:r>
    </w:p>
    <w:p w14:paraId="24688EE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（3）联合体各方不得再以自己名义单独或参加其他联合体在本招标项目中投标，否则各相关投标均无效。</w:t>
      </w:r>
    </w:p>
    <w:p w14:paraId="5A3E82F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1.4.3 投标人不得存在下列情形之一： </w:t>
      </w:r>
    </w:p>
    <w:p w14:paraId="2B340CA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（1）与招标人存在利害关系且可能影响招标公正性； </w:t>
      </w:r>
    </w:p>
    <w:p w14:paraId="06D686B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（2）与本招标项目的其他投标人为同一个单位负责人；</w:t>
      </w:r>
    </w:p>
    <w:p w14:paraId="6EF9D8D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（3）与本招标项目的其他投标人存在控股、管理关系； </w:t>
      </w:r>
    </w:p>
    <w:p w14:paraId="020188B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（4）与本招标项目其他投标人代理同一个制造商同一品牌和同一型号的设备投标；</w:t>
      </w:r>
    </w:p>
    <w:p w14:paraId="0FE622F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（5）为本招标项目提供过设计、编制技术规范和其他文件的咨询服务； </w:t>
      </w:r>
    </w:p>
    <w:p w14:paraId="0AD7C20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（6）为本工程项目的相关监理人，或者与本工程项目的相关监理人存在隶属关系或者其他利害关系； </w:t>
      </w:r>
    </w:p>
    <w:p w14:paraId="123AAFA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（7）为本招标项目的代建人； </w:t>
      </w:r>
    </w:p>
    <w:p w14:paraId="7070725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（8）为本招标项目的招标代理机构； </w:t>
      </w:r>
    </w:p>
    <w:p w14:paraId="24DFCFB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（9）与本招标项目的监理人或代建人或招标代理机构同为一个法定代表人； </w:t>
      </w:r>
    </w:p>
    <w:p w14:paraId="39319F5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（10）与本招标项目的监理人或代建人或招标代理机构存在控股或参股关系； </w:t>
      </w:r>
    </w:p>
    <w:p w14:paraId="3FBA94F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（11）被依法暂停或者取消投标资格； </w:t>
      </w:r>
    </w:p>
    <w:p w14:paraId="73F2733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（12）被责令停产停业、暂扣或者吊销许可证、暂扣或者吊销执照； </w:t>
      </w:r>
    </w:p>
    <w:p w14:paraId="373B05D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（13）进入清算程序，或被宣告破产，或其他丧失履约能力的情形； </w:t>
      </w:r>
    </w:p>
    <w:p w14:paraId="6E5C8C9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（14）在最近三年内发生重大产品质量问题（以相关行业主管部门的行政处罚决定或司法机关出具的有关法律文书为准）； </w:t>
      </w:r>
    </w:p>
    <w:p w14:paraId="6F8A0AC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（15）被工商行政管理机关在国家企业信用信息公示系统</w:t>
      </w:r>
      <w:r>
        <w:rPr>
          <w:rFonts w:hint="eastAsia" w:ascii="Times New Roman" w:hAnsi="Times New Roman" w:eastAsia="宋体" w:cs="Times New Roman"/>
          <w:color w:val="auto"/>
          <w:sz w:val="28"/>
          <w:szCs w:val="32"/>
        </w:rPr>
        <w:t>（</w:t>
      </w:r>
      <w:r>
        <w:rPr>
          <w:rFonts w:ascii="Times New Roman" w:hAnsi="Times New Roman" w:eastAsia="宋体" w:cs="Times New Roman"/>
          <w:color w:val="auto"/>
          <w:sz w:val="28"/>
          <w:szCs w:val="32"/>
        </w:rPr>
        <w:t>www.gsxt.gov.cn</w:t>
      </w:r>
      <w:r>
        <w:rPr>
          <w:rFonts w:hint="eastAsia" w:ascii="Times New Roman" w:hAnsi="Times New Roman" w:eastAsia="宋体" w:cs="Times New Roman"/>
          <w:color w:val="auto"/>
          <w:sz w:val="28"/>
          <w:szCs w:val="32"/>
        </w:rPr>
        <w:t>）</w:t>
      </w:r>
      <w:r>
        <w:rPr>
          <w:rFonts w:hint="eastAsia" w:ascii="Times New Roman" w:hAnsi="Times New Roman" w:eastAsia="宋体" w:cs="宋体"/>
          <w:color w:val="auto"/>
          <w:sz w:val="28"/>
          <w:szCs w:val="28"/>
        </w:rPr>
        <w:t xml:space="preserve">中列入严重违法失信企业名单； </w:t>
      </w:r>
    </w:p>
    <w:p w14:paraId="1DCCDF7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（16）在“信用中国”网站（www.creditchina.gov.cn）被列入失信被执行人名单；</w:t>
      </w:r>
    </w:p>
    <w:p w14:paraId="57A6C53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（17）</w:t>
      </w:r>
      <w:r>
        <w:rPr>
          <w:rFonts w:hint="eastAsia"/>
          <w:color w:val="auto"/>
          <w:sz w:val="28"/>
          <w:szCs w:val="32"/>
        </w:rPr>
        <w:t>在“</w:t>
      </w:r>
      <w:r>
        <w:rPr>
          <w:color w:val="auto"/>
          <w:sz w:val="28"/>
          <w:szCs w:val="32"/>
        </w:rPr>
        <w:t>信用中国</w:t>
      </w:r>
      <w:r>
        <w:rPr>
          <w:rFonts w:hint="eastAsia"/>
          <w:color w:val="auto"/>
          <w:sz w:val="28"/>
          <w:szCs w:val="32"/>
        </w:rPr>
        <w:t>”（</w:t>
      </w:r>
      <w:r>
        <w:rPr>
          <w:color w:val="auto"/>
          <w:sz w:val="28"/>
          <w:szCs w:val="32"/>
        </w:rPr>
        <w:t>www.creditchina.gov.cn</w:t>
      </w:r>
      <w:r>
        <w:rPr>
          <w:rFonts w:hint="eastAsia"/>
          <w:color w:val="auto"/>
          <w:sz w:val="28"/>
          <w:szCs w:val="32"/>
        </w:rPr>
        <w:t>）中被列入重大税收违法失信主体名单、安全生产领域严重失信惩戒名单、拖欠农民工工资失信联合惩戒对象名单；</w:t>
      </w:r>
    </w:p>
    <w:p w14:paraId="33E8535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（18）在近三年内投标人或其法定代表人、拟委派的项目负责人有行贿犯罪行为的；</w:t>
      </w:r>
    </w:p>
    <w:p w14:paraId="72D1858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（19）法律法规或投标人须知前附表规定的其他情形。</w:t>
      </w:r>
    </w:p>
    <w:p w14:paraId="6AFC2E8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1" w:name="_Toc38287108"/>
      <w:bookmarkStart w:id="102" w:name="_Toc2705"/>
      <w:r>
        <w:rPr>
          <w:rFonts w:hint="eastAsia" w:ascii="Times New Roman" w:hAnsi="Times New Roman" w:eastAsia="宋体" w:cs="宋体"/>
          <w:b/>
          <w:bCs/>
          <w:color w:val="auto"/>
          <w:szCs w:val="28"/>
        </w:rPr>
        <w:t>1.5 费用承担</w:t>
      </w:r>
      <w:bookmarkEnd w:id="101"/>
      <w:bookmarkEnd w:id="102"/>
      <w:r>
        <w:rPr>
          <w:rFonts w:hint="eastAsia" w:ascii="Times New Roman" w:hAnsi="Times New Roman" w:eastAsia="宋体" w:cs="宋体"/>
          <w:b/>
          <w:bCs/>
          <w:color w:val="auto"/>
          <w:szCs w:val="28"/>
        </w:rPr>
        <w:t xml:space="preserve"> </w:t>
      </w:r>
    </w:p>
    <w:p w14:paraId="6791205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投标人准备和参加投标活动发生的费用自理。</w:t>
      </w:r>
    </w:p>
    <w:p w14:paraId="4592B83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3" w:name="_Toc38287109"/>
      <w:bookmarkStart w:id="104" w:name="_Toc481"/>
      <w:r>
        <w:rPr>
          <w:rFonts w:hint="eastAsia" w:ascii="Times New Roman" w:hAnsi="Times New Roman" w:eastAsia="宋体" w:cs="宋体"/>
          <w:b/>
          <w:bCs/>
          <w:color w:val="auto"/>
          <w:szCs w:val="28"/>
        </w:rPr>
        <w:t>1.6 保密</w:t>
      </w:r>
      <w:bookmarkEnd w:id="103"/>
      <w:bookmarkEnd w:id="104"/>
      <w:r>
        <w:rPr>
          <w:rFonts w:hint="eastAsia" w:ascii="Times New Roman" w:hAnsi="Times New Roman" w:eastAsia="宋体" w:cs="宋体"/>
          <w:b/>
          <w:bCs/>
          <w:color w:val="auto"/>
          <w:szCs w:val="28"/>
        </w:rPr>
        <w:t xml:space="preserve"> </w:t>
      </w:r>
    </w:p>
    <w:p w14:paraId="28B1230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参与招标投标活动的各方应对招标文件和投标文件中的商业和技术等秘密保密，否则应承担相应的法律责任。</w:t>
      </w:r>
    </w:p>
    <w:p w14:paraId="2E9A1E69">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5" w:name="_Toc38287110"/>
      <w:bookmarkStart w:id="106" w:name="_Toc23187"/>
      <w:r>
        <w:rPr>
          <w:rFonts w:hint="eastAsia" w:ascii="Times New Roman" w:hAnsi="Times New Roman" w:eastAsia="宋体" w:cs="宋体"/>
          <w:b/>
          <w:bCs/>
          <w:color w:val="auto"/>
          <w:szCs w:val="28"/>
        </w:rPr>
        <w:t>1.7 语言文字</w:t>
      </w:r>
      <w:bookmarkEnd w:id="105"/>
      <w:bookmarkEnd w:id="106"/>
      <w:r>
        <w:rPr>
          <w:rFonts w:hint="eastAsia" w:ascii="Times New Roman" w:hAnsi="Times New Roman" w:eastAsia="宋体" w:cs="宋体"/>
          <w:b/>
          <w:bCs/>
          <w:color w:val="auto"/>
          <w:szCs w:val="28"/>
        </w:rPr>
        <w:t xml:space="preserve"> </w:t>
      </w:r>
    </w:p>
    <w:p w14:paraId="698D6B9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招标投标文件使用的语言文字为中文。专用术语使用外文的，应附有中文注释。</w:t>
      </w:r>
    </w:p>
    <w:p w14:paraId="7164C08A">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7" w:name="_Toc9993"/>
      <w:bookmarkStart w:id="108" w:name="_Toc38287111"/>
      <w:r>
        <w:rPr>
          <w:rFonts w:hint="eastAsia" w:ascii="Times New Roman" w:hAnsi="Times New Roman" w:eastAsia="宋体" w:cs="宋体"/>
          <w:b/>
          <w:bCs/>
          <w:color w:val="auto"/>
          <w:szCs w:val="28"/>
        </w:rPr>
        <w:t>1.8 计量单位</w:t>
      </w:r>
      <w:bookmarkEnd w:id="107"/>
      <w:bookmarkEnd w:id="108"/>
      <w:r>
        <w:rPr>
          <w:rFonts w:hint="eastAsia" w:ascii="Times New Roman" w:hAnsi="Times New Roman" w:eastAsia="宋体" w:cs="宋体"/>
          <w:b/>
          <w:bCs/>
          <w:color w:val="auto"/>
          <w:szCs w:val="28"/>
        </w:rPr>
        <w:t xml:space="preserve"> </w:t>
      </w:r>
    </w:p>
    <w:p w14:paraId="413B5BA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所有计量均采用中华人民共和国法定计量单位。</w:t>
      </w:r>
    </w:p>
    <w:p w14:paraId="1D38EB4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9" w:name="_Toc18103"/>
      <w:bookmarkStart w:id="110" w:name="_Toc38287112"/>
      <w:r>
        <w:rPr>
          <w:rFonts w:hint="eastAsia" w:ascii="Times New Roman" w:hAnsi="Times New Roman" w:eastAsia="宋体" w:cs="宋体"/>
          <w:b/>
          <w:bCs/>
          <w:color w:val="auto"/>
          <w:szCs w:val="28"/>
        </w:rPr>
        <w:t>1.9 投标预备会</w:t>
      </w:r>
      <w:bookmarkEnd w:id="109"/>
      <w:bookmarkEnd w:id="110"/>
      <w:r>
        <w:rPr>
          <w:rFonts w:hint="eastAsia" w:ascii="Times New Roman" w:hAnsi="Times New Roman" w:eastAsia="宋体" w:cs="宋体"/>
          <w:b/>
          <w:bCs/>
          <w:color w:val="auto"/>
          <w:szCs w:val="28"/>
        </w:rPr>
        <w:t xml:space="preserve"> </w:t>
      </w:r>
    </w:p>
    <w:p w14:paraId="2BA66D5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1.9.1 投标人须知前附表规定召开投标预备会的，招标人按投标人须知前附表规定的时间和地点召开投标预备会，澄清投标人提出的问题。</w:t>
      </w:r>
    </w:p>
    <w:p w14:paraId="2ABE649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1.9.2 投标人应按投标人须知前附表规定的时间和形式将提出的问题送达招标人，以便招标人在会议期间澄清。</w:t>
      </w:r>
    </w:p>
    <w:p w14:paraId="6525226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1.9.3 投标预备会后，招标人将对投标人所提问题的澄清，以投标人须知前附表规定的形式通知所有购买招标文件的投标人。该澄清内容为招标文件的组成部分。</w:t>
      </w:r>
    </w:p>
    <w:p w14:paraId="5CA6DDA8">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11" w:name="_Toc38287113"/>
      <w:bookmarkStart w:id="112" w:name="_Toc32363"/>
      <w:r>
        <w:rPr>
          <w:rFonts w:hint="eastAsia" w:ascii="Times New Roman" w:hAnsi="Times New Roman" w:eastAsia="宋体" w:cs="宋体"/>
          <w:b/>
          <w:bCs/>
          <w:color w:val="auto"/>
          <w:szCs w:val="28"/>
        </w:rPr>
        <w:t>1.10 分包</w:t>
      </w:r>
      <w:bookmarkEnd w:id="111"/>
      <w:bookmarkEnd w:id="112"/>
      <w:r>
        <w:rPr>
          <w:rFonts w:hint="eastAsia" w:ascii="Times New Roman" w:hAnsi="Times New Roman" w:eastAsia="宋体" w:cs="宋体"/>
          <w:b/>
          <w:bCs/>
          <w:color w:val="auto"/>
          <w:szCs w:val="28"/>
        </w:rPr>
        <w:t xml:space="preserve"> </w:t>
      </w:r>
    </w:p>
    <w:p w14:paraId="08924E0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1.10.1 投标人拟在中标后将中标项目的非主体设备进行分包的，应符合投标人须知前附表规定的分包内容、分包金额和资质要求等限制性条件，除投标人须知前附表规定的非主体设备外，其他工作不得分包。 </w:t>
      </w:r>
    </w:p>
    <w:p w14:paraId="6FC712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1.10.2 中标人不得向他人转让中标项目，接受分包的人不得再次分包。中标人应当就分包项目向招标人负责，接受分包的人就分包项目承担连带责任。</w:t>
      </w:r>
    </w:p>
    <w:p w14:paraId="432D8EB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13" w:name="_Toc24903"/>
      <w:bookmarkStart w:id="114" w:name="_Toc38287114"/>
      <w:r>
        <w:rPr>
          <w:rFonts w:hint="eastAsia" w:ascii="Times New Roman" w:hAnsi="Times New Roman" w:eastAsia="宋体" w:cs="宋体"/>
          <w:b/>
          <w:bCs/>
          <w:color w:val="auto"/>
          <w:szCs w:val="28"/>
        </w:rPr>
        <w:t>1.11 响应和偏差</w:t>
      </w:r>
      <w:bookmarkEnd w:id="113"/>
      <w:bookmarkEnd w:id="114"/>
      <w:r>
        <w:rPr>
          <w:rFonts w:hint="eastAsia" w:ascii="Times New Roman" w:hAnsi="Times New Roman" w:eastAsia="宋体" w:cs="宋体"/>
          <w:b/>
          <w:bCs/>
          <w:color w:val="auto"/>
          <w:szCs w:val="28"/>
        </w:rPr>
        <w:t xml:space="preserve"> </w:t>
      </w:r>
    </w:p>
    <w:p w14:paraId="45C82DE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1.11.1 投标文件应当对招标文件的实质性要求和条件作出满足性或更有利于招标人的响应，否则，投标人的投标将被否决。实质性要求和条件见投标人须知前附表。</w:t>
      </w:r>
    </w:p>
    <w:p w14:paraId="2B95348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1.11.2 投标人应根据招标文件的要求提供投标设备技术性能指标的详细描述、技术支持资料及相关服务和质保期服务计划等内容以对招标文件作出响应。</w:t>
      </w:r>
    </w:p>
    <w:p w14:paraId="160D21C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14:paraId="10D6412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1.11.4 投标人须知前附表规定了可以偏差的范围和最高偏差项数的，偏差应当符合投标人须知前附表规定的偏差范围和最高项数，超出偏差范围和最高偏差项数的投标将被否决。</w:t>
      </w:r>
    </w:p>
    <w:p w14:paraId="068EA8A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1.11.5 投标文件对招标文件的全部偏差，均应在投标文件的商务和技术偏差表中列明，除列明的内容外，视为投标人响应招标文件的全部要求。</w:t>
      </w:r>
    </w:p>
    <w:p w14:paraId="29E7B6BA">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15" w:name="_Toc18245"/>
      <w:bookmarkStart w:id="116" w:name="_Toc28734"/>
      <w:bookmarkStart w:id="117" w:name="_Toc56792758"/>
      <w:bookmarkStart w:id="118" w:name="_Toc13905"/>
      <w:bookmarkStart w:id="119" w:name="_Toc6346"/>
      <w:bookmarkStart w:id="120" w:name="_Toc1568"/>
      <w:bookmarkStart w:id="121" w:name="_Toc25041"/>
      <w:r>
        <w:rPr>
          <w:rFonts w:hint="eastAsia" w:ascii="Times New Roman" w:hAnsi="Times New Roman" w:cs="宋体"/>
          <w:b w:val="0"/>
          <w:color w:val="auto"/>
          <w:szCs w:val="28"/>
        </w:rPr>
        <w:t>2.招标文件</w:t>
      </w:r>
      <w:bookmarkEnd w:id="115"/>
      <w:bookmarkEnd w:id="116"/>
      <w:bookmarkEnd w:id="117"/>
      <w:bookmarkEnd w:id="118"/>
      <w:bookmarkEnd w:id="119"/>
      <w:bookmarkEnd w:id="120"/>
      <w:bookmarkEnd w:id="121"/>
      <w:r>
        <w:rPr>
          <w:rFonts w:hint="eastAsia" w:ascii="Times New Roman" w:hAnsi="Times New Roman" w:cs="宋体"/>
          <w:b w:val="0"/>
          <w:color w:val="auto"/>
          <w:szCs w:val="28"/>
        </w:rPr>
        <w:t xml:space="preserve"> </w:t>
      </w:r>
    </w:p>
    <w:p w14:paraId="3959C4AE">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22" w:name="_Toc38287116"/>
      <w:bookmarkStart w:id="123" w:name="_Toc23651"/>
      <w:r>
        <w:rPr>
          <w:rFonts w:hint="eastAsia" w:ascii="Times New Roman" w:hAnsi="Times New Roman" w:eastAsia="宋体" w:cs="宋体"/>
          <w:b/>
          <w:bCs/>
          <w:color w:val="auto"/>
          <w:szCs w:val="28"/>
        </w:rPr>
        <w:t>2.1 招标文件的组成</w:t>
      </w:r>
      <w:bookmarkEnd w:id="122"/>
      <w:bookmarkEnd w:id="123"/>
      <w:r>
        <w:rPr>
          <w:rFonts w:hint="eastAsia" w:ascii="Times New Roman" w:hAnsi="Times New Roman" w:eastAsia="宋体" w:cs="宋体"/>
          <w:b/>
          <w:bCs/>
          <w:color w:val="auto"/>
          <w:szCs w:val="28"/>
        </w:rPr>
        <w:t xml:space="preserve"> </w:t>
      </w:r>
    </w:p>
    <w:p w14:paraId="43DB092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2.1.1 本招标文件包括： </w:t>
      </w:r>
    </w:p>
    <w:p w14:paraId="44FACAA6">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招标公告（或投标邀请书）； </w:t>
      </w:r>
    </w:p>
    <w:p w14:paraId="643D25F5">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投标人须知； </w:t>
      </w:r>
    </w:p>
    <w:p w14:paraId="18E6182D">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评标办法； </w:t>
      </w:r>
    </w:p>
    <w:p w14:paraId="4E3A269A">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合同条款及格式； </w:t>
      </w:r>
    </w:p>
    <w:p w14:paraId="27E7BAE3">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供货要求； </w:t>
      </w:r>
    </w:p>
    <w:p w14:paraId="7FF9613D">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投标文件格式； </w:t>
      </w:r>
    </w:p>
    <w:p w14:paraId="1D146C01">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投标人须知前附表规定的其他资料。</w:t>
      </w:r>
    </w:p>
    <w:p w14:paraId="33802C2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根据本章第 1.9 款、第 2.2 款和第 2.3 款对招标文件所作的澄清、修改，构成招标文件的组成部分。</w:t>
      </w:r>
    </w:p>
    <w:p w14:paraId="572B443D">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24" w:name="_Toc19906"/>
      <w:bookmarkStart w:id="125" w:name="_Toc38287117"/>
      <w:r>
        <w:rPr>
          <w:rFonts w:hint="eastAsia" w:ascii="Times New Roman" w:hAnsi="Times New Roman" w:eastAsia="宋体" w:cs="宋体"/>
          <w:b/>
          <w:bCs/>
          <w:color w:val="auto"/>
          <w:szCs w:val="28"/>
        </w:rPr>
        <w:t>2.2 招标文件的澄清</w:t>
      </w:r>
      <w:bookmarkEnd w:id="124"/>
      <w:bookmarkEnd w:id="125"/>
      <w:r>
        <w:rPr>
          <w:rFonts w:hint="eastAsia" w:ascii="Times New Roman" w:hAnsi="Times New Roman" w:eastAsia="宋体" w:cs="宋体"/>
          <w:b/>
          <w:bCs/>
          <w:color w:val="auto"/>
          <w:szCs w:val="28"/>
        </w:rPr>
        <w:t xml:space="preserve"> </w:t>
      </w:r>
    </w:p>
    <w:p w14:paraId="31E5B11A">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2.2.1 投标人应仔细阅读和检查招标文件的全部内容。如发现缺页或附件不全，应及时向招标人提出，以便补齐。如有疑问，应在投标人须知前附表规定的时间和形式将提出的问题送达招标人，要求招标人对招标文件予以澄清。</w:t>
      </w:r>
    </w:p>
    <w:p w14:paraId="53C7FD39">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2.2.2 招标文件的澄清将在投标人须知前附表规定的形式上发布，但不指明澄清问题的来源，投标人自行下载，招标人不另行通知。该澄清作为招标文件的组成部分。澄清发出的时间不满足投标人须知前附表规定时间要求的，并且澄清内容可能影响投标文件编制的，</w:t>
      </w:r>
      <w:r>
        <w:rPr>
          <w:rFonts w:ascii="Times New Roman" w:hAnsi="Times New Roman" w:eastAsia="宋体" w:cs="Times New Roman"/>
          <w:color w:val="auto"/>
          <w:sz w:val="28"/>
          <w:szCs w:val="32"/>
        </w:rPr>
        <w:t>将</w:t>
      </w:r>
      <w:r>
        <w:rPr>
          <w:rFonts w:hint="eastAsia" w:ascii="Times New Roman" w:hAnsi="Times New Roman" w:eastAsia="宋体" w:cs="宋体"/>
          <w:color w:val="auto"/>
          <w:sz w:val="28"/>
          <w:szCs w:val="28"/>
        </w:rPr>
        <w:t>相应延长投标截止时间。</w:t>
      </w:r>
    </w:p>
    <w:p w14:paraId="3A4A5830">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2.2.3 投标人须留意投标人须知前附表第2.2.2款所列网站发布的澄清通知，在浏览澄清通知后，投标人自行下载该澄清文件。</w:t>
      </w:r>
    </w:p>
    <w:p w14:paraId="5125F32B">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2.2.4 除非招标人认为确有必要答复，否则，招标人有权拒绝回复投标人在本章第 2.2.1 项规定的时间后的任何澄清要求。</w:t>
      </w:r>
    </w:p>
    <w:p w14:paraId="37EE884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26" w:name="_Toc5486"/>
      <w:bookmarkStart w:id="127" w:name="_Toc38287118"/>
      <w:r>
        <w:rPr>
          <w:rFonts w:hint="eastAsia" w:ascii="Times New Roman" w:hAnsi="Times New Roman" w:eastAsia="宋体" w:cs="宋体"/>
          <w:b/>
          <w:bCs/>
          <w:color w:val="auto"/>
          <w:szCs w:val="28"/>
        </w:rPr>
        <w:t>2.3 招标文件的修改</w:t>
      </w:r>
      <w:bookmarkEnd w:id="126"/>
      <w:bookmarkEnd w:id="127"/>
      <w:r>
        <w:rPr>
          <w:rFonts w:hint="eastAsia" w:ascii="Times New Roman" w:hAnsi="Times New Roman" w:eastAsia="宋体" w:cs="宋体"/>
          <w:b/>
          <w:bCs/>
          <w:color w:val="auto"/>
          <w:szCs w:val="28"/>
        </w:rPr>
        <w:t xml:space="preserve"> </w:t>
      </w:r>
    </w:p>
    <w:p w14:paraId="54EE9C2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28" w:name="_Hlk39762241"/>
      <w:r>
        <w:rPr>
          <w:rFonts w:hint="eastAsia" w:ascii="Times New Roman" w:hAnsi="Times New Roman" w:eastAsia="宋体" w:cs="宋体"/>
          <w:color w:val="auto"/>
          <w:sz w:val="28"/>
          <w:szCs w:val="28"/>
        </w:rPr>
        <w:t>2.3.1</w:t>
      </w:r>
      <w:r>
        <w:rPr>
          <w:color w:val="auto"/>
          <w:sz w:val="28"/>
          <w:szCs w:val="32"/>
        </w:rPr>
        <w:t>招标文件</w:t>
      </w:r>
      <w:r>
        <w:rPr>
          <w:rFonts w:hint="eastAsia"/>
          <w:color w:val="auto"/>
          <w:sz w:val="28"/>
          <w:szCs w:val="32"/>
        </w:rPr>
        <w:t>的修改</w:t>
      </w:r>
      <w:r>
        <w:rPr>
          <w:color w:val="auto"/>
          <w:sz w:val="28"/>
          <w:szCs w:val="32"/>
        </w:rPr>
        <w:t>在投标人须知前附表规定的</w:t>
      </w:r>
      <w:r>
        <w:rPr>
          <w:rFonts w:hint="eastAsia"/>
          <w:color w:val="auto"/>
          <w:sz w:val="28"/>
          <w:szCs w:val="32"/>
        </w:rPr>
        <w:t>形式</w:t>
      </w:r>
      <w:r>
        <w:rPr>
          <w:color w:val="auto"/>
          <w:sz w:val="28"/>
          <w:szCs w:val="32"/>
        </w:rPr>
        <w:t>上发布</w:t>
      </w:r>
      <w:r>
        <w:rPr>
          <w:rFonts w:hint="eastAsia" w:ascii="Times New Roman" w:hAnsi="Times New Roman" w:eastAsia="宋体" w:cs="宋体"/>
          <w:color w:val="auto"/>
          <w:sz w:val="28"/>
          <w:szCs w:val="28"/>
        </w:rPr>
        <w:t>。该修改内容作为招标文件的组成部分。修改招标文件的时间距本章第4.2.1项规定的投标截止时间不足15日的，并且修改内容可能影响投标文件编制的，将相应延长投标截止时间。</w:t>
      </w:r>
    </w:p>
    <w:p w14:paraId="60E8686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2.3.2 投标人须留意投标人须知前附表第2.3.1款所列网站发布的修改通知，在浏览修改通知后，投标人自行下载该修改文件。</w:t>
      </w:r>
      <w:bookmarkEnd w:id="128"/>
    </w:p>
    <w:p w14:paraId="4EF9AC5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29" w:name="_Toc29570"/>
      <w:bookmarkStart w:id="130" w:name="_Toc38287119"/>
      <w:r>
        <w:rPr>
          <w:rFonts w:hint="eastAsia" w:ascii="Times New Roman" w:hAnsi="Times New Roman" w:eastAsia="宋体" w:cs="宋体"/>
          <w:b/>
          <w:bCs/>
          <w:color w:val="auto"/>
          <w:szCs w:val="28"/>
        </w:rPr>
        <w:t>2.4 招标文件的异议</w:t>
      </w:r>
      <w:bookmarkEnd w:id="129"/>
      <w:bookmarkEnd w:id="130"/>
      <w:r>
        <w:rPr>
          <w:rFonts w:hint="eastAsia" w:ascii="Times New Roman" w:hAnsi="Times New Roman" w:eastAsia="宋体" w:cs="宋体"/>
          <w:b/>
          <w:bCs/>
          <w:color w:val="auto"/>
          <w:szCs w:val="28"/>
        </w:rPr>
        <w:t xml:space="preserve"> </w:t>
      </w:r>
    </w:p>
    <w:p w14:paraId="5B54F0D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31" w:name="_Hlk39762250"/>
      <w:r>
        <w:rPr>
          <w:rFonts w:hint="eastAsia" w:ascii="Times New Roman" w:hAnsi="Times New Roman" w:eastAsia="宋体" w:cs="宋体"/>
          <w:color w:val="auto"/>
          <w:sz w:val="28"/>
          <w:szCs w:val="28"/>
        </w:rPr>
        <w:t xml:space="preserve">投标人或者其他利害关系人对招标文件有异议的，应当在投标截止时间 10 日前以书面形式提出。招标人将在收到异议之日起 3 日内作出答复；作出答复前，将暂停招标投标活动。 </w:t>
      </w:r>
      <w:bookmarkEnd w:id="131"/>
    </w:p>
    <w:p w14:paraId="64A8A8F8">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32" w:name="_Toc24745"/>
      <w:bookmarkStart w:id="133" w:name="_Toc26025"/>
      <w:bookmarkStart w:id="134" w:name="_Toc24417"/>
      <w:bookmarkStart w:id="135" w:name="_Toc1599"/>
      <w:bookmarkStart w:id="136" w:name="_Toc24796"/>
      <w:bookmarkStart w:id="137" w:name="_Toc20464"/>
      <w:bookmarkStart w:id="138" w:name="_Toc56792759"/>
      <w:r>
        <w:rPr>
          <w:rFonts w:hint="eastAsia" w:ascii="Times New Roman" w:hAnsi="Times New Roman" w:cs="宋体"/>
          <w:b w:val="0"/>
          <w:color w:val="auto"/>
          <w:szCs w:val="28"/>
        </w:rPr>
        <w:t>3.投标文件</w:t>
      </w:r>
      <w:bookmarkEnd w:id="132"/>
      <w:bookmarkEnd w:id="133"/>
      <w:bookmarkEnd w:id="134"/>
      <w:bookmarkEnd w:id="135"/>
      <w:bookmarkEnd w:id="136"/>
      <w:bookmarkEnd w:id="137"/>
      <w:bookmarkEnd w:id="138"/>
      <w:r>
        <w:rPr>
          <w:rFonts w:hint="eastAsia" w:ascii="Times New Roman" w:hAnsi="Times New Roman" w:cs="宋体"/>
          <w:b w:val="0"/>
          <w:color w:val="auto"/>
          <w:szCs w:val="28"/>
        </w:rPr>
        <w:t xml:space="preserve"> </w:t>
      </w:r>
    </w:p>
    <w:p w14:paraId="356720C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39" w:name="_Toc20220"/>
      <w:r>
        <w:rPr>
          <w:rFonts w:hint="eastAsia" w:ascii="Times New Roman" w:hAnsi="Times New Roman" w:eastAsia="宋体" w:cs="宋体"/>
          <w:b/>
          <w:bCs/>
          <w:color w:val="auto"/>
          <w:szCs w:val="28"/>
        </w:rPr>
        <w:t>3.1 投标文件的组成</w:t>
      </w:r>
      <w:bookmarkEnd w:id="139"/>
      <w:r>
        <w:rPr>
          <w:rFonts w:hint="eastAsia" w:ascii="Times New Roman" w:hAnsi="Times New Roman" w:eastAsia="宋体" w:cs="宋体"/>
          <w:b/>
          <w:bCs/>
          <w:color w:val="auto"/>
          <w:szCs w:val="28"/>
        </w:rPr>
        <w:t xml:space="preserve"> </w:t>
      </w:r>
    </w:p>
    <w:p w14:paraId="5060BD8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3.1.1 投标文件应包括下列内容： </w:t>
      </w:r>
    </w:p>
    <w:p w14:paraId="2A545C2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（1）投标函； </w:t>
      </w:r>
    </w:p>
    <w:p w14:paraId="015F47A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（2）法定代表人（单位负责人）身份证明或授权委托书； </w:t>
      </w:r>
    </w:p>
    <w:p w14:paraId="3F4C166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（3）联合体协议书； </w:t>
      </w:r>
    </w:p>
    <w:p w14:paraId="65042D4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（4）投标保证金； </w:t>
      </w:r>
    </w:p>
    <w:p w14:paraId="6C4918F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（5）商务和技术偏差表； </w:t>
      </w:r>
    </w:p>
    <w:p w14:paraId="4B507DD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（6）分项报价表； </w:t>
      </w:r>
    </w:p>
    <w:p w14:paraId="69F8C2E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（7）资格审查资料； </w:t>
      </w:r>
    </w:p>
    <w:p w14:paraId="0758EB7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（8）投标设备技术性能指标的详细描述；</w:t>
      </w:r>
    </w:p>
    <w:p w14:paraId="794CD5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（9）技术支持资料； </w:t>
      </w:r>
    </w:p>
    <w:p w14:paraId="13B774F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（10）</w:t>
      </w:r>
      <w:r>
        <w:rPr>
          <w:rFonts w:hint="eastAsia" w:ascii="Times New Roman" w:hAnsi="Times New Roman" w:eastAsia="宋体" w:cs="宋体"/>
          <w:color w:val="auto"/>
          <w:sz w:val="28"/>
          <w:szCs w:val="28"/>
        </w:rPr>
        <w:tab/>
      </w:r>
      <w:r>
        <w:rPr>
          <w:rFonts w:hint="eastAsia" w:ascii="Times New Roman" w:hAnsi="Times New Roman" w:eastAsia="宋体" w:cs="宋体"/>
          <w:color w:val="auto"/>
          <w:sz w:val="28"/>
          <w:szCs w:val="28"/>
        </w:rPr>
        <w:t xml:space="preserve">技术服务和质保期服务计划； </w:t>
      </w:r>
    </w:p>
    <w:p w14:paraId="000FAE8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（11）投标人须知前附表规定的其他资料。</w:t>
      </w:r>
    </w:p>
    <w:p w14:paraId="74A6653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投标人在评标过程中作出的符合法律法规和招标文件规定的澄清确认，构成投标文件的组成部分。</w:t>
      </w:r>
    </w:p>
    <w:p w14:paraId="2E863E2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3.1.2 投标人须知前附表规定不接受联合体投标的，或投标人没有组成联合体的，投标文件不包括本章第 3.1.1（3）目所指的联合体协议书。</w:t>
      </w:r>
    </w:p>
    <w:p w14:paraId="6F0B752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3.1.3 投标人须知前附表未要求提交投标保证金的，投标文件不包括本章第 3.1.1（4）目所指的投标保证金。</w:t>
      </w:r>
    </w:p>
    <w:p w14:paraId="259A0CDF">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0" w:name="_Toc16087"/>
      <w:r>
        <w:rPr>
          <w:rFonts w:hint="eastAsia" w:ascii="Times New Roman" w:hAnsi="Times New Roman" w:eastAsia="宋体" w:cs="宋体"/>
          <w:b/>
          <w:bCs/>
          <w:color w:val="auto"/>
          <w:szCs w:val="28"/>
        </w:rPr>
        <w:t>3.2 投标报价</w:t>
      </w:r>
      <w:bookmarkEnd w:id="140"/>
      <w:r>
        <w:rPr>
          <w:rFonts w:hint="eastAsia" w:ascii="Times New Roman" w:hAnsi="Times New Roman" w:eastAsia="宋体" w:cs="宋体"/>
          <w:b/>
          <w:bCs/>
          <w:color w:val="auto"/>
          <w:szCs w:val="28"/>
        </w:rPr>
        <w:t xml:space="preserve"> </w:t>
      </w:r>
    </w:p>
    <w:p w14:paraId="21EC876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3.2.1 投标报价应包括国家规定的增值税税金，除投标人须知前附表另有规定外，增值税税金按一般计税方法计算。投标人应按第六章“投标文件格式”的要求在投标函中进行报价并填写分项报价表。</w:t>
      </w:r>
    </w:p>
    <w:p w14:paraId="0A1248D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3.2.2 投标人应充分了解该项目的总体情况以及影响投标报价的其他要素。</w:t>
      </w:r>
    </w:p>
    <w:p w14:paraId="7A81273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 4.3 款的有关要求。</w:t>
      </w:r>
    </w:p>
    <w:p w14:paraId="47CA2AE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3.2.4 招标人设有最高投标限价的，投标人的投标报价不得超过最高投标限价，最高投标限价在投标人须知前附表中载明。</w:t>
      </w:r>
    </w:p>
    <w:p w14:paraId="31DD4D3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3.2.5 投标报价的其他要求见投标人须知前附表。</w:t>
      </w:r>
    </w:p>
    <w:p w14:paraId="11E81AA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1" w:name="_Toc27194"/>
      <w:r>
        <w:rPr>
          <w:rFonts w:hint="eastAsia" w:ascii="Times New Roman" w:hAnsi="Times New Roman" w:eastAsia="宋体" w:cs="宋体"/>
          <w:b/>
          <w:bCs/>
          <w:color w:val="auto"/>
          <w:szCs w:val="28"/>
        </w:rPr>
        <w:t>3.3 投标有效期</w:t>
      </w:r>
      <w:bookmarkEnd w:id="141"/>
      <w:r>
        <w:rPr>
          <w:rFonts w:hint="eastAsia" w:ascii="Times New Roman" w:hAnsi="Times New Roman" w:eastAsia="宋体" w:cs="宋体"/>
          <w:b/>
          <w:bCs/>
          <w:color w:val="auto"/>
          <w:szCs w:val="28"/>
        </w:rPr>
        <w:t xml:space="preserve"> </w:t>
      </w:r>
    </w:p>
    <w:p w14:paraId="1052A90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3.3.1 除投标人须知前附表另有规定外，投标有效期为90天。</w:t>
      </w:r>
    </w:p>
    <w:p w14:paraId="4E2AFB6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3.3.2 在投标有效期内，投标人撤销投标文件的，应承担招标文件和法律规定的责任。</w:t>
      </w:r>
    </w:p>
    <w:p w14:paraId="61FCAA4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351CBD7C">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2" w:name="_Toc13543"/>
      <w:r>
        <w:rPr>
          <w:rFonts w:hint="eastAsia" w:ascii="Times New Roman" w:hAnsi="Times New Roman" w:eastAsia="宋体" w:cs="宋体"/>
          <w:b/>
          <w:bCs/>
          <w:color w:val="auto"/>
          <w:szCs w:val="28"/>
        </w:rPr>
        <w:t xml:space="preserve">3.4 </w:t>
      </w:r>
      <w:bookmarkEnd w:id="142"/>
      <w:r>
        <w:rPr>
          <w:rFonts w:hint="eastAsia" w:ascii="Times New Roman" w:hAnsi="Times New Roman" w:eastAsia="宋体" w:cs="宋体"/>
          <w:b/>
          <w:bCs/>
          <w:color w:val="auto"/>
          <w:szCs w:val="28"/>
        </w:rPr>
        <w:t xml:space="preserve">投标保证金 </w:t>
      </w:r>
    </w:p>
    <w:p w14:paraId="2A9DFC2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投标保证金递交应符合投标人须知前附表的规定。</w:t>
      </w:r>
    </w:p>
    <w:p w14:paraId="09DFA0F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3.4.2 投标人不按本章第3.4.1项要求提交投标保证金的，评标委员会将否决其投标。</w:t>
      </w:r>
    </w:p>
    <w:p w14:paraId="632FD98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3.4.3 招标人最迟将在与中标人签订合同后5日内，向未中标的投标人和中标人退还投标保证金。投标保证金以现金或者支票形式递交的，还应退还银行同期存款利息。</w:t>
      </w:r>
    </w:p>
    <w:p w14:paraId="3DBA200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3.4.4 有下列情形之一的，投标保证金不予退还：</w:t>
      </w:r>
    </w:p>
    <w:p w14:paraId="286ADD7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（1）投标人在投标有效期内撤销或修改其投标文件；</w:t>
      </w:r>
    </w:p>
    <w:p w14:paraId="26C012C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（2）中标人在收到中标通知书后，无正当理由不与招标人订立合同，在签订合同时向招标人提出附加条件，或者不按照招标文件要求提交履约保证金；</w:t>
      </w:r>
    </w:p>
    <w:p w14:paraId="319D1444">
      <w:pPr>
        <w:ind w:firstLine="560" w:firstLineChars="200"/>
      </w:pPr>
      <w:r>
        <w:rPr>
          <w:rFonts w:hint="eastAsia" w:ascii="Times New Roman" w:hAnsi="Times New Roman" w:eastAsia="宋体" w:cs="宋体"/>
          <w:color w:val="auto"/>
          <w:sz w:val="28"/>
          <w:szCs w:val="28"/>
        </w:rPr>
        <w:t>（3）发生投标人须知前附表规定的其他可以不予退还投标保证金的情形。</w:t>
      </w:r>
    </w:p>
    <w:p w14:paraId="721F427A">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3" w:name="_Toc32236"/>
      <w:r>
        <w:rPr>
          <w:rFonts w:hint="eastAsia" w:ascii="Times New Roman" w:hAnsi="Times New Roman" w:eastAsia="宋体" w:cs="宋体"/>
          <w:b/>
          <w:bCs/>
          <w:color w:val="auto"/>
          <w:szCs w:val="28"/>
        </w:rPr>
        <w:t xml:space="preserve">3.5 资格审查资料（适用于已进行资格预审的） </w:t>
      </w:r>
    </w:p>
    <w:p w14:paraId="344630FE">
      <w:pPr>
        <w:ind w:firstLine="560" w:firstLineChars="200"/>
      </w:pPr>
      <w:r>
        <w:rPr>
          <w:rFonts w:hint="eastAsia" w:ascii="Times New Roman" w:hAnsi="Times New Roman" w:eastAsia="宋体" w:cs="宋体"/>
          <w:color w:val="auto"/>
          <w:sz w:val="28"/>
          <w:szCs w:val="28"/>
        </w:rPr>
        <w:t>投标人在递交投标文件前，发生可能影响其投标资格的新情况的，应更新或补充其在申请资格预审时提供的资料，以证实其各项资格条件仍能继续满足资格预审文件的要求，且没有实质性降低。</w:t>
      </w:r>
      <w:r>
        <w:rPr>
          <w:rFonts w:hint="eastAsia"/>
        </w:rPr>
        <w:t xml:space="preserve"> </w:t>
      </w:r>
    </w:p>
    <w:p w14:paraId="03D23EB1">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3.5 资格审查资料</w:t>
      </w:r>
      <w:bookmarkEnd w:id="143"/>
      <w:r>
        <w:rPr>
          <w:rFonts w:hint="eastAsia" w:ascii="Times New Roman" w:hAnsi="Times New Roman" w:eastAsia="宋体" w:cs="宋体"/>
          <w:b/>
          <w:bCs/>
          <w:color w:val="auto"/>
          <w:szCs w:val="28"/>
        </w:rPr>
        <w:t xml:space="preserve">（适用于未进行资格预审的） </w:t>
      </w:r>
    </w:p>
    <w:p w14:paraId="33BBCB8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除投标人须知前附表另有规定外，投标人应按下列规定提供资格审查资料，以证明其满足本章第 1.4 款规定的资质、财务、业绩、信誉等要求。</w:t>
      </w:r>
    </w:p>
    <w:p w14:paraId="467C52A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44" w:name="_Hlk39762361"/>
      <w:r>
        <w:rPr>
          <w:rFonts w:hint="eastAsia" w:ascii="Times New Roman" w:hAnsi="Times New Roman" w:eastAsia="宋体" w:cs="宋体"/>
          <w:color w:val="auto"/>
          <w:sz w:val="28"/>
          <w:szCs w:val="28"/>
        </w:rPr>
        <w:t>3.5.1 “投标人基本情况表”应附企业法人营业执照和组织机构代码证的扫描件（按照“三证合一”或“五证合一”登记制度进行登记的，可仅提供营业执照扫描件）：</w:t>
      </w:r>
    </w:p>
    <w:p w14:paraId="2A7BFBF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（1）投标人为企业的，应提交营业执照和组织机构代码证的扫描件（按照“三证合一”或“五证合一”登记制度进行登记的，可仅提供营业执照扫描件）； </w:t>
      </w:r>
    </w:p>
    <w:p w14:paraId="717DA252">
      <w:pPr>
        <w:widowControl w:val="0"/>
        <w:numPr>
          <w:ilvl w:val="0"/>
          <w:numId w:val="4"/>
        </w:numPr>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投标人为依法允许经营的事业单位的，应提交事业单位法人证书和组织机构代码证的扫描件。</w:t>
      </w:r>
    </w:p>
    <w:p w14:paraId="7BC9061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3.5.2 “近年财务状况表”应附经会计师事务所或审计机构审计的财务会计报表，包括资产负债表、现金流量表、利润表和财务情况说明书的扫描件，具体时间要求见投标人须知前附表。投标人的成立时间少于投标人须知前附表规定时间的，应提供成立以来的财务状况表。</w:t>
      </w:r>
    </w:p>
    <w:bookmarkEnd w:id="144"/>
    <w:p w14:paraId="69FBAC8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3.5.3 “近年完成的类似项目情况表”应附中标通知书、合同协议书、设备进场验收证书等的扫描件，具体时间要求见投标人须知前附表。每张表格只填写一个项目，并标明序号。</w:t>
      </w:r>
    </w:p>
    <w:p w14:paraId="77174B0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3.5.4  “正在供货和新承接的项目情况表”应附中标通知书、合同协议书扫描件。每张表格只填写一个项目，并标明序号。</w:t>
      </w:r>
    </w:p>
    <w:p w14:paraId="53A53E8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3.5.5 “近年发生的诉讼及仲裁情况”应说明投标人败诉的设备买卖合同的相关情况，并附法院或仲裁机构作出的判决、裁决等有关法律文书扫描件，具体时间要求见投标人须知前附表。</w:t>
      </w:r>
    </w:p>
    <w:p w14:paraId="055CA0E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3.5.6 投标人须知前附表规定接受联合体投标的，本章第3.5.1项至第3.5.5项规定的表格和资料应包括联合体各方相关情况。</w:t>
      </w:r>
    </w:p>
    <w:p w14:paraId="4D94976D">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5" w:name="_Toc17656"/>
      <w:r>
        <w:rPr>
          <w:rFonts w:hint="eastAsia" w:ascii="Times New Roman" w:hAnsi="Times New Roman" w:eastAsia="宋体" w:cs="宋体"/>
          <w:b/>
          <w:bCs/>
          <w:color w:val="auto"/>
          <w:szCs w:val="28"/>
        </w:rPr>
        <w:t>3.6 备选投标方案</w:t>
      </w:r>
      <w:bookmarkEnd w:id="145"/>
      <w:r>
        <w:rPr>
          <w:rFonts w:hint="eastAsia" w:ascii="Times New Roman" w:hAnsi="Times New Roman" w:eastAsia="宋体" w:cs="宋体"/>
          <w:b/>
          <w:bCs/>
          <w:color w:val="auto"/>
          <w:szCs w:val="28"/>
        </w:rPr>
        <w:t xml:space="preserve"> </w:t>
      </w:r>
    </w:p>
    <w:p w14:paraId="5882199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3.6.1 除投标人须知前附表规定允许外，投标人不得递交备选投标方案，否则其投标将被否决。</w:t>
      </w:r>
    </w:p>
    <w:p w14:paraId="121BE23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52C2FCB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3.6.3 投标人提供两个或两个以上投标报价，或者在投标文件中提供一个报价，但同时提供两个或两个以上供货方案的，视为提供备选方案。</w:t>
      </w:r>
    </w:p>
    <w:p w14:paraId="1D6638C0">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6" w:name="_Toc20983"/>
      <w:r>
        <w:rPr>
          <w:rFonts w:hint="eastAsia" w:ascii="Times New Roman" w:hAnsi="Times New Roman" w:eastAsia="宋体" w:cs="宋体"/>
          <w:b/>
          <w:bCs/>
          <w:color w:val="auto"/>
          <w:szCs w:val="28"/>
        </w:rPr>
        <w:t>3.7 投标文件的编制</w:t>
      </w:r>
      <w:bookmarkEnd w:id="146"/>
      <w:r>
        <w:rPr>
          <w:rFonts w:hint="eastAsia" w:ascii="Times New Roman" w:hAnsi="Times New Roman" w:eastAsia="宋体" w:cs="宋体"/>
          <w:b/>
          <w:bCs/>
          <w:color w:val="auto"/>
          <w:szCs w:val="28"/>
        </w:rPr>
        <w:t xml:space="preserve"> </w:t>
      </w:r>
    </w:p>
    <w:p w14:paraId="759BD4A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3.7.1 投标文件应按第六章“投标文件格式”进行编写，如有必要，可以增加附页，作为投标文件的组成部分。 </w:t>
      </w:r>
    </w:p>
    <w:p w14:paraId="763AA9C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3.7.2 投标文件应当对招标文件有关供货期、投标有效期、供货要求、招标范围等实质性内容作出响应。投标文件在满足招标文件实质性要求的基础上，可以提出比招标文件要求更有利于招标人的承诺。 </w:t>
      </w:r>
    </w:p>
    <w:p w14:paraId="4390AC6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3.7.3投标文件签章的具体要求见投标人须知前附表。 </w:t>
      </w:r>
    </w:p>
    <w:p w14:paraId="20320B23">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47" w:name="_Toc13952"/>
      <w:bookmarkStart w:id="148" w:name="_Toc17669"/>
      <w:bookmarkStart w:id="149" w:name="_Toc56792760"/>
      <w:bookmarkStart w:id="150" w:name="_Toc31810"/>
      <w:bookmarkStart w:id="151" w:name="_Toc12068"/>
      <w:bookmarkStart w:id="152" w:name="_Toc17878"/>
      <w:bookmarkStart w:id="153" w:name="_Toc24687"/>
      <w:r>
        <w:rPr>
          <w:rFonts w:hint="eastAsia" w:ascii="Times New Roman" w:hAnsi="Times New Roman" w:cs="宋体"/>
          <w:b w:val="0"/>
          <w:color w:val="auto"/>
          <w:szCs w:val="28"/>
        </w:rPr>
        <w:t>4.投标</w:t>
      </w:r>
      <w:bookmarkEnd w:id="147"/>
      <w:bookmarkEnd w:id="148"/>
      <w:bookmarkEnd w:id="149"/>
      <w:bookmarkEnd w:id="150"/>
      <w:bookmarkEnd w:id="151"/>
      <w:bookmarkEnd w:id="152"/>
      <w:bookmarkEnd w:id="153"/>
      <w:r>
        <w:rPr>
          <w:rFonts w:hint="eastAsia" w:ascii="Times New Roman" w:hAnsi="Times New Roman" w:cs="宋体"/>
          <w:b w:val="0"/>
          <w:color w:val="auto"/>
          <w:szCs w:val="28"/>
        </w:rPr>
        <w:t xml:space="preserve"> </w:t>
      </w:r>
    </w:p>
    <w:p w14:paraId="3AE207E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54" w:name="_Toc34749680"/>
      <w:bookmarkStart w:id="155" w:name="_Toc21417"/>
      <w:r>
        <w:rPr>
          <w:rFonts w:hint="eastAsia" w:ascii="Times New Roman" w:hAnsi="Times New Roman" w:eastAsia="宋体" w:cs="宋体"/>
          <w:b/>
          <w:bCs/>
          <w:color w:val="auto"/>
          <w:szCs w:val="28"/>
        </w:rPr>
        <w:t>4.1 投标文件的加密和标记</w:t>
      </w:r>
      <w:bookmarkEnd w:id="154"/>
    </w:p>
    <w:p w14:paraId="0C55AF4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4.1.1投标人应当按照招标文件和电子招标投标交易平台的要求加密投标文件，具体要求见投标人须知前附表。 </w:t>
      </w:r>
    </w:p>
    <w:p w14:paraId="4E326E38">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56" w:name="_Toc34749681"/>
      <w:r>
        <w:rPr>
          <w:rFonts w:hint="eastAsia" w:ascii="Times New Roman" w:hAnsi="Times New Roman" w:eastAsia="宋体" w:cs="宋体"/>
          <w:b/>
          <w:bCs/>
          <w:color w:val="auto"/>
          <w:szCs w:val="28"/>
        </w:rPr>
        <w:t>4.2 投标文件的递交</w:t>
      </w:r>
      <w:bookmarkEnd w:id="156"/>
    </w:p>
    <w:p w14:paraId="7FBB26F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4.2.1 投标人应在投标人须知前附表规定的投标截止时间前递交投标文件。 </w:t>
      </w:r>
    </w:p>
    <w:p w14:paraId="49D3D78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4.2.2 投标人通过下载招标文件的电子招标投标交易平台递交电子投标文件。</w:t>
      </w:r>
      <w:r>
        <w:rPr>
          <w:rFonts w:hint="eastAsia"/>
          <w:color w:val="auto"/>
          <w:sz w:val="28"/>
          <w:szCs w:val="32"/>
        </w:rPr>
        <w:t>电子招标投标交易平台详见</w:t>
      </w:r>
      <w:r>
        <w:rPr>
          <w:color w:val="auto"/>
          <w:sz w:val="28"/>
          <w:szCs w:val="32"/>
        </w:rPr>
        <w:t>投标人</w:t>
      </w:r>
      <w:r>
        <w:rPr>
          <w:rFonts w:hint="eastAsia"/>
          <w:color w:val="auto"/>
          <w:sz w:val="28"/>
          <w:szCs w:val="32"/>
        </w:rPr>
        <w:t>须知前附表。</w:t>
      </w:r>
      <w:r>
        <w:rPr>
          <w:rFonts w:hint="eastAsia" w:ascii="Times New Roman" w:hAnsi="Times New Roman" w:eastAsia="宋体" w:cs="宋体"/>
          <w:color w:val="auto"/>
          <w:sz w:val="28"/>
          <w:szCs w:val="28"/>
        </w:rPr>
        <w:t xml:space="preserve"> </w:t>
      </w:r>
    </w:p>
    <w:p w14:paraId="5EFF6C2B">
      <w:pPr>
        <w:pStyle w:val="4"/>
        <w:keepNext w:val="0"/>
        <w:keepLines w:val="0"/>
        <w:widowControl w:val="0"/>
        <w:adjustRightInd w:val="0"/>
        <w:snapToGrid w:val="0"/>
        <w:spacing w:after="0" w:line="490" w:lineRule="exact"/>
        <w:ind w:left="0" w:right="0" w:firstLine="560" w:firstLineChars="200"/>
        <w:jc w:val="both"/>
        <w:rPr>
          <w:rFonts w:ascii="Times New Roman" w:hAnsi="Times New Roman" w:eastAsia="宋体" w:cs="宋体"/>
          <w:color w:val="auto"/>
          <w:szCs w:val="28"/>
        </w:rPr>
      </w:pPr>
      <w:r>
        <w:rPr>
          <w:rFonts w:hint="eastAsia" w:ascii="Times New Roman" w:hAnsi="Times New Roman" w:eastAsia="宋体" w:cs="宋体"/>
          <w:color w:val="auto"/>
          <w:szCs w:val="28"/>
        </w:rPr>
        <w:t xml:space="preserve">4.2.3逾期送达的投标文件，电子招标投标交易平台将予以拒收。 </w:t>
      </w:r>
    </w:p>
    <w:p w14:paraId="07E5949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4.3 投标文件的修改与撤回</w:t>
      </w:r>
      <w:bookmarkEnd w:id="155"/>
      <w:r>
        <w:rPr>
          <w:rFonts w:hint="eastAsia" w:ascii="Times New Roman" w:hAnsi="Times New Roman" w:eastAsia="宋体" w:cs="宋体"/>
          <w:b/>
          <w:bCs/>
          <w:color w:val="auto"/>
          <w:szCs w:val="28"/>
        </w:rPr>
        <w:t xml:space="preserve"> </w:t>
      </w:r>
    </w:p>
    <w:p w14:paraId="0D8194E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57" w:name="_Toc14443"/>
      <w:r>
        <w:rPr>
          <w:rFonts w:hint="eastAsia" w:ascii="Times New Roman" w:hAnsi="Times New Roman" w:eastAsia="宋体" w:cs="宋体"/>
          <w:color w:val="auto"/>
          <w:sz w:val="28"/>
          <w:szCs w:val="28"/>
        </w:rPr>
        <w:t xml:space="preserve">4.3.1 在本章第 4.2.1 项规定的投标截止时间前，投标人可以修改或撤回已递交的投标文件，但应以书面形式通知招标人。 </w:t>
      </w:r>
    </w:p>
    <w:p w14:paraId="3F3A696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4.3.2投标人修改或撤回已递交投标文件的通知，应按照本章第 3.7.3项的要求加盖电子印章。电子招标投标交易平台收到通知后，即时向投标人发出确认回执通知。 </w:t>
      </w:r>
    </w:p>
    <w:p w14:paraId="3EE9E46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4.3.3 投标人撤回投标文件的，招标人自收到投标人书面撤回通知之日起 5 日内退还已收取的投标保证金。 </w:t>
      </w:r>
    </w:p>
    <w:p w14:paraId="2DEB999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4.3.4 修改的内容为投标文件的组成部分。修改的投标文件应按照本章第 3 条、第 4 条的规定进行编制、密封、标记和递交。 </w:t>
      </w:r>
    </w:p>
    <w:p w14:paraId="4270C1E0">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58" w:name="_Toc15458"/>
      <w:bookmarkStart w:id="159" w:name="_Toc21341"/>
      <w:bookmarkStart w:id="160" w:name="_Toc15364"/>
      <w:bookmarkStart w:id="161" w:name="_Toc23474"/>
      <w:bookmarkStart w:id="162" w:name="_Toc56792761"/>
      <w:bookmarkStart w:id="163" w:name="_Toc21827"/>
      <w:r>
        <w:rPr>
          <w:rFonts w:hint="eastAsia" w:ascii="Times New Roman" w:hAnsi="Times New Roman" w:cs="宋体"/>
          <w:b w:val="0"/>
          <w:color w:val="auto"/>
          <w:szCs w:val="28"/>
        </w:rPr>
        <w:t>5.开标</w:t>
      </w:r>
      <w:bookmarkEnd w:id="157"/>
      <w:bookmarkEnd w:id="158"/>
      <w:bookmarkEnd w:id="159"/>
      <w:bookmarkEnd w:id="160"/>
      <w:bookmarkEnd w:id="161"/>
      <w:bookmarkEnd w:id="162"/>
      <w:bookmarkEnd w:id="163"/>
      <w:r>
        <w:rPr>
          <w:rFonts w:hint="eastAsia" w:ascii="Times New Roman" w:hAnsi="Times New Roman" w:cs="宋体"/>
          <w:b w:val="0"/>
          <w:color w:val="auto"/>
          <w:szCs w:val="28"/>
        </w:rPr>
        <w:t xml:space="preserve"> </w:t>
      </w:r>
    </w:p>
    <w:p w14:paraId="7ACA7DCC">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64" w:name="_Toc16125"/>
      <w:r>
        <w:rPr>
          <w:rFonts w:hint="eastAsia" w:ascii="Times New Roman" w:hAnsi="Times New Roman" w:eastAsia="宋体" w:cs="宋体"/>
          <w:b/>
          <w:bCs/>
          <w:color w:val="auto"/>
          <w:szCs w:val="28"/>
        </w:rPr>
        <w:t>5.1 开标时间和地点</w:t>
      </w:r>
      <w:bookmarkEnd w:id="164"/>
    </w:p>
    <w:p w14:paraId="4548E9A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招标人在本章第 4.2.1 项规定的投标截止时间（开标时间）,通过电子招标投标交易平台公开开标，所有投标人的法定代表人（单位负责人）或其委托代理人应当准时参加。 </w:t>
      </w:r>
    </w:p>
    <w:p w14:paraId="19379C5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65" w:name="_Toc22640"/>
      <w:r>
        <w:rPr>
          <w:rFonts w:hint="eastAsia" w:ascii="Times New Roman" w:hAnsi="Times New Roman" w:eastAsia="宋体" w:cs="宋体"/>
          <w:b/>
          <w:bCs/>
          <w:color w:val="auto"/>
          <w:szCs w:val="28"/>
        </w:rPr>
        <w:t>5.2 开标程序</w:t>
      </w:r>
      <w:bookmarkEnd w:id="165"/>
      <w:r>
        <w:rPr>
          <w:rFonts w:hint="eastAsia" w:ascii="Times New Roman" w:hAnsi="Times New Roman" w:eastAsia="宋体" w:cs="宋体"/>
          <w:b/>
          <w:bCs/>
          <w:color w:val="auto"/>
          <w:szCs w:val="28"/>
        </w:rPr>
        <w:t xml:space="preserve"> </w:t>
      </w:r>
    </w:p>
    <w:p w14:paraId="0575305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66" w:name="_Toc518"/>
      <w:r>
        <w:rPr>
          <w:rFonts w:hint="eastAsia" w:ascii="Times New Roman" w:hAnsi="Times New Roman" w:eastAsia="宋体" w:cs="宋体"/>
          <w:color w:val="auto"/>
          <w:sz w:val="28"/>
          <w:szCs w:val="28"/>
        </w:rPr>
        <w:t>采用电子招标方式的，开标程序按交易平台的规定要求执行。</w:t>
      </w:r>
    </w:p>
    <w:p w14:paraId="7BCD1E3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（1）宣布开标； </w:t>
      </w:r>
    </w:p>
    <w:p w14:paraId="070C702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（2）公布在投标截止时间前递交投标文件的投标人名称； </w:t>
      </w:r>
    </w:p>
    <w:p w14:paraId="0336878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（3）设置解密时间；</w:t>
      </w:r>
    </w:p>
    <w:p w14:paraId="5DF9B18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（4）投标人解密投标文件；</w:t>
      </w:r>
    </w:p>
    <w:p w14:paraId="4F1BD14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（5）导入投标文件；</w:t>
      </w:r>
    </w:p>
    <w:p w14:paraId="79383D5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（6）公布招标项目名称、投标人名称、投标保证金的递交情况、投标报价、交货期、交货地点及其他内容，并记录在案； </w:t>
      </w:r>
    </w:p>
    <w:p w14:paraId="7D9768A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（7）投标人对开标结果进行确认； </w:t>
      </w:r>
    </w:p>
    <w:p w14:paraId="34960A4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（8）系统生成开标记录，开标结束。 </w:t>
      </w:r>
    </w:p>
    <w:p w14:paraId="7B14661B">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5.3 开标异议</w:t>
      </w:r>
      <w:bookmarkEnd w:id="166"/>
      <w:r>
        <w:rPr>
          <w:rFonts w:hint="eastAsia" w:ascii="Times New Roman" w:hAnsi="Times New Roman" w:eastAsia="宋体" w:cs="宋体"/>
          <w:b/>
          <w:bCs/>
          <w:color w:val="auto"/>
          <w:szCs w:val="28"/>
        </w:rPr>
        <w:t xml:space="preserve"> </w:t>
      </w:r>
    </w:p>
    <w:p w14:paraId="589E1BB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投标人对开标有异议的，应当在开标现场提出，招标人或招标代理机构当场作出答复，并制作记录。</w:t>
      </w:r>
    </w:p>
    <w:p w14:paraId="449AD3F0">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67" w:name="_Toc23458"/>
      <w:bookmarkStart w:id="168" w:name="_Toc32736"/>
      <w:bookmarkStart w:id="169" w:name="_Toc11739"/>
      <w:bookmarkStart w:id="170" w:name="_Toc2493"/>
      <w:bookmarkStart w:id="171" w:name="_Toc3525"/>
      <w:bookmarkStart w:id="172" w:name="_Toc56792762"/>
      <w:bookmarkStart w:id="173" w:name="_Toc12911"/>
      <w:r>
        <w:rPr>
          <w:rFonts w:hint="eastAsia" w:ascii="Times New Roman" w:hAnsi="Times New Roman" w:cs="宋体"/>
          <w:b w:val="0"/>
          <w:color w:val="auto"/>
          <w:szCs w:val="28"/>
        </w:rPr>
        <w:t>6.评标</w:t>
      </w:r>
      <w:bookmarkEnd w:id="167"/>
      <w:bookmarkEnd w:id="168"/>
      <w:bookmarkEnd w:id="169"/>
      <w:bookmarkEnd w:id="170"/>
      <w:bookmarkEnd w:id="171"/>
      <w:bookmarkEnd w:id="172"/>
      <w:bookmarkEnd w:id="173"/>
      <w:r>
        <w:rPr>
          <w:rFonts w:hint="eastAsia" w:ascii="Times New Roman" w:hAnsi="Times New Roman" w:cs="宋体"/>
          <w:b w:val="0"/>
          <w:color w:val="auto"/>
          <w:szCs w:val="28"/>
        </w:rPr>
        <w:t xml:space="preserve"> </w:t>
      </w:r>
    </w:p>
    <w:p w14:paraId="02C17376">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74" w:name="_Toc25378"/>
      <w:r>
        <w:rPr>
          <w:rFonts w:hint="eastAsia" w:ascii="Times New Roman" w:hAnsi="Times New Roman" w:eastAsia="宋体" w:cs="宋体"/>
          <w:b/>
          <w:bCs/>
          <w:color w:val="auto"/>
          <w:szCs w:val="28"/>
        </w:rPr>
        <w:t>6.1 评标委员会</w:t>
      </w:r>
      <w:bookmarkEnd w:id="174"/>
      <w:r>
        <w:rPr>
          <w:rFonts w:hint="eastAsia" w:ascii="Times New Roman" w:hAnsi="Times New Roman" w:eastAsia="宋体" w:cs="宋体"/>
          <w:b/>
          <w:bCs/>
          <w:color w:val="auto"/>
          <w:szCs w:val="28"/>
        </w:rPr>
        <w:t xml:space="preserve"> </w:t>
      </w:r>
    </w:p>
    <w:p w14:paraId="52771E1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ECABA0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6.1.2 评标委员会成员有下列情形之一的，应当回避： </w:t>
      </w:r>
    </w:p>
    <w:p w14:paraId="0250066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（1）投标人或投标人主要负责人的近亲属； </w:t>
      </w:r>
    </w:p>
    <w:p w14:paraId="5311443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（2）项目主管部门或者行政监督部门的人员； </w:t>
      </w:r>
    </w:p>
    <w:p w14:paraId="587242A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（3）与投标人有经济利益关系，可能影响对投标公正评审的； </w:t>
      </w:r>
    </w:p>
    <w:p w14:paraId="3272ECC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（4）曾因在招标、评标以及其他与招标投标有关活动中从事违法行为而受过行政处罚或刑事处罚的； </w:t>
      </w:r>
    </w:p>
    <w:p w14:paraId="7DF1B93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（5）与投标人有其他利害关系。</w:t>
      </w:r>
    </w:p>
    <w:p w14:paraId="3D5C9FD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6.1.3 评标过程中，评标委员会成员有回避事由、擅离职守或者因健康等原因不能继续评标的，招标人有权更换。被更换的评标委员会成员作出的评审结论无效，由更换后的评标委员会成员重新进行评审。</w:t>
      </w:r>
    </w:p>
    <w:p w14:paraId="256DFCC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75" w:name="_Toc2395"/>
      <w:r>
        <w:rPr>
          <w:rFonts w:hint="eastAsia" w:ascii="Times New Roman" w:hAnsi="Times New Roman" w:eastAsia="宋体" w:cs="宋体"/>
          <w:b/>
          <w:bCs/>
          <w:color w:val="auto"/>
          <w:szCs w:val="28"/>
        </w:rPr>
        <w:t>6.2 评标原则</w:t>
      </w:r>
      <w:bookmarkEnd w:id="175"/>
      <w:r>
        <w:rPr>
          <w:rFonts w:hint="eastAsia" w:ascii="Times New Roman" w:hAnsi="Times New Roman" w:eastAsia="宋体" w:cs="宋体"/>
          <w:b/>
          <w:bCs/>
          <w:color w:val="auto"/>
          <w:szCs w:val="28"/>
        </w:rPr>
        <w:t xml:space="preserve"> </w:t>
      </w:r>
    </w:p>
    <w:p w14:paraId="07869B0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评标活动遵循公平、公正、科学和择优的原则。</w:t>
      </w:r>
    </w:p>
    <w:p w14:paraId="51F57138">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76" w:name="_Toc13174"/>
      <w:r>
        <w:rPr>
          <w:rFonts w:hint="eastAsia" w:ascii="Times New Roman" w:hAnsi="Times New Roman" w:eastAsia="宋体" w:cs="宋体"/>
          <w:b/>
          <w:bCs/>
          <w:color w:val="auto"/>
          <w:szCs w:val="28"/>
        </w:rPr>
        <w:t>6.3 评标</w:t>
      </w:r>
      <w:bookmarkEnd w:id="176"/>
      <w:r>
        <w:rPr>
          <w:rFonts w:hint="eastAsia" w:ascii="Times New Roman" w:hAnsi="Times New Roman" w:eastAsia="宋体" w:cs="宋体"/>
          <w:b/>
          <w:bCs/>
          <w:color w:val="auto"/>
          <w:szCs w:val="28"/>
        </w:rPr>
        <w:t xml:space="preserve"> </w:t>
      </w:r>
    </w:p>
    <w:p w14:paraId="500554D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6.3.1 评标委员会按照第三章“评标办法”规定的方法、评审因素、标准和程序对投标文件进行评审。第三章“评标办法”没有规定的方法、评审因素和标准，不作为评标依据。</w:t>
      </w:r>
    </w:p>
    <w:p w14:paraId="7794EB0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6.3.2 评标完成后，评标委员会应当向招标人提交书面评标报告和中标候选人名单。评标委员会推荐中标候选人的人数见投标人须知前附表。</w:t>
      </w:r>
    </w:p>
    <w:p w14:paraId="270AA3AC">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77" w:name="_Toc29348"/>
      <w:bookmarkStart w:id="178" w:name="_Toc9725"/>
      <w:bookmarkStart w:id="179" w:name="_Toc56792763"/>
      <w:bookmarkStart w:id="180" w:name="_Toc15410"/>
      <w:bookmarkStart w:id="181" w:name="_Toc1175"/>
      <w:bookmarkStart w:id="182" w:name="_Toc12424"/>
      <w:bookmarkStart w:id="183" w:name="_Toc5707"/>
      <w:r>
        <w:rPr>
          <w:rFonts w:hint="eastAsia" w:ascii="Times New Roman" w:hAnsi="Times New Roman" w:cs="宋体"/>
          <w:b w:val="0"/>
          <w:color w:val="auto"/>
          <w:szCs w:val="28"/>
        </w:rPr>
        <w:t>7.合同授予</w:t>
      </w:r>
      <w:bookmarkEnd w:id="177"/>
      <w:bookmarkEnd w:id="178"/>
      <w:bookmarkEnd w:id="179"/>
      <w:bookmarkEnd w:id="180"/>
      <w:bookmarkEnd w:id="181"/>
      <w:bookmarkEnd w:id="182"/>
      <w:bookmarkEnd w:id="183"/>
      <w:r>
        <w:rPr>
          <w:rFonts w:hint="eastAsia" w:ascii="Times New Roman" w:hAnsi="Times New Roman" w:cs="宋体"/>
          <w:b w:val="0"/>
          <w:color w:val="auto"/>
          <w:szCs w:val="28"/>
        </w:rPr>
        <w:t xml:space="preserve"> </w:t>
      </w:r>
    </w:p>
    <w:p w14:paraId="5E35D5D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4" w:name="_Toc26195"/>
      <w:r>
        <w:rPr>
          <w:rFonts w:hint="eastAsia" w:ascii="Times New Roman" w:hAnsi="Times New Roman" w:eastAsia="宋体" w:cs="宋体"/>
          <w:b/>
          <w:bCs/>
          <w:color w:val="auto"/>
          <w:szCs w:val="28"/>
        </w:rPr>
        <w:t>7.1 中标候选人公示</w:t>
      </w:r>
      <w:bookmarkEnd w:id="184"/>
      <w:r>
        <w:rPr>
          <w:rFonts w:hint="eastAsia" w:ascii="Times New Roman" w:hAnsi="Times New Roman" w:eastAsia="宋体" w:cs="宋体"/>
          <w:b/>
          <w:bCs/>
          <w:color w:val="auto"/>
          <w:szCs w:val="28"/>
        </w:rPr>
        <w:t xml:space="preserve"> </w:t>
      </w:r>
    </w:p>
    <w:p w14:paraId="5258DF6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招标人应当在中标候选人公示前，认真审查评标委员会提交的书面评标报告，发现异常情形的，依照法定程序进行复核，确认存在问题的，依照法定程序予以纠正。如果评标报告审查无异常，招标人在收到评标报告之日起3日内，按照投标人须知前附表规定的公示媒介和期限公示中标候选人，公示期不得少于3日。</w:t>
      </w:r>
    </w:p>
    <w:p w14:paraId="367F9E3B">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5" w:name="_Toc24135"/>
      <w:r>
        <w:rPr>
          <w:rFonts w:hint="eastAsia" w:ascii="Times New Roman" w:hAnsi="Times New Roman" w:eastAsia="宋体" w:cs="宋体"/>
          <w:b/>
          <w:bCs/>
          <w:color w:val="auto"/>
          <w:szCs w:val="28"/>
        </w:rPr>
        <w:t>7.2 评标结果异议</w:t>
      </w:r>
      <w:bookmarkEnd w:id="185"/>
      <w:r>
        <w:rPr>
          <w:rFonts w:hint="eastAsia" w:ascii="Times New Roman" w:hAnsi="Times New Roman" w:eastAsia="宋体" w:cs="宋体"/>
          <w:b/>
          <w:bCs/>
          <w:color w:val="auto"/>
          <w:szCs w:val="28"/>
        </w:rPr>
        <w:t xml:space="preserve"> </w:t>
      </w:r>
    </w:p>
    <w:p w14:paraId="58E6042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投标人或者其他利害关系人对评标结果有异议的，应当在中标候选人公示期间提出。招标人将在收到异议之日起3日内作出答复；作出答复前，应当暂停招标投标活动。</w:t>
      </w:r>
    </w:p>
    <w:p w14:paraId="0B3AAB1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6" w:name="_Toc2421"/>
      <w:r>
        <w:rPr>
          <w:rFonts w:hint="eastAsia" w:ascii="Times New Roman" w:hAnsi="Times New Roman" w:eastAsia="宋体" w:cs="宋体"/>
          <w:b/>
          <w:bCs/>
          <w:color w:val="auto"/>
          <w:szCs w:val="28"/>
        </w:rPr>
        <w:t>7.3 中标候选人履约能力审查</w:t>
      </w:r>
      <w:bookmarkEnd w:id="186"/>
      <w:r>
        <w:rPr>
          <w:rFonts w:hint="eastAsia" w:ascii="Times New Roman" w:hAnsi="Times New Roman" w:eastAsia="宋体" w:cs="宋体"/>
          <w:b/>
          <w:bCs/>
          <w:color w:val="auto"/>
          <w:szCs w:val="28"/>
        </w:rPr>
        <w:t xml:space="preserve"> </w:t>
      </w:r>
    </w:p>
    <w:p w14:paraId="64C206B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中标候选人的经营、财务状况发生较大变化或存在违法行为，招标人认为可能影响其履约能力的，将在发出中标通知书前提请原评标委员会按照招标文件规定的标准和方法进行审查确认。</w:t>
      </w:r>
    </w:p>
    <w:p w14:paraId="02887C4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7" w:name="_Toc21753"/>
      <w:r>
        <w:rPr>
          <w:rFonts w:hint="eastAsia" w:ascii="Times New Roman" w:hAnsi="Times New Roman" w:eastAsia="宋体" w:cs="宋体"/>
          <w:b/>
          <w:bCs/>
          <w:color w:val="auto"/>
          <w:szCs w:val="28"/>
        </w:rPr>
        <w:t>7.4 定标</w:t>
      </w:r>
      <w:bookmarkEnd w:id="187"/>
      <w:r>
        <w:rPr>
          <w:rFonts w:hint="eastAsia" w:ascii="Times New Roman" w:hAnsi="Times New Roman" w:eastAsia="宋体" w:cs="宋体"/>
          <w:b/>
          <w:bCs/>
          <w:color w:val="auto"/>
          <w:szCs w:val="28"/>
        </w:rPr>
        <w:t xml:space="preserve"> </w:t>
      </w:r>
    </w:p>
    <w:p w14:paraId="4913F1C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按照投标人须知前附表的规定，招标人或招标人授权的评标委员会依法确定中标人。</w:t>
      </w:r>
    </w:p>
    <w:p w14:paraId="1D2E43AC">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8" w:name="_Toc14517"/>
      <w:r>
        <w:rPr>
          <w:rFonts w:hint="eastAsia" w:ascii="Times New Roman" w:hAnsi="Times New Roman" w:eastAsia="宋体" w:cs="宋体"/>
          <w:b/>
          <w:bCs/>
          <w:color w:val="auto"/>
          <w:szCs w:val="28"/>
        </w:rPr>
        <w:t>7.5 中标通知</w:t>
      </w:r>
      <w:bookmarkEnd w:id="188"/>
      <w:r>
        <w:rPr>
          <w:rFonts w:hint="eastAsia" w:ascii="Times New Roman" w:hAnsi="Times New Roman" w:eastAsia="宋体" w:cs="宋体"/>
          <w:b/>
          <w:bCs/>
          <w:color w:val="auto"/>
          <w:szCs w:val="28"/>
        </w:rPr>
        <w:t xml:space="preserve"> </w:t>
      </w:r>
    </w:p>
    <w:p w14:paraId="12E6DDB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在本章第 3.3 款规定的投标有效期内，招标人以书面形式向中标人发出中标通知书，同时将中标结果通知未中标的投标人。</w:t>
      </w:r>
    </w:p>
    <w:p w14:paraId="3DD3E90E">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9" w:name="_Toc29268"/>
      <w:r>
        <w:rPr>
          <w:rFonts w:hint="eastAsia" w:ascii="Times New Roman" w:hAnsi="Times New Roman" w:eastAsia="宋体" w:cs="宋体"/>
          <w:b/>
          <w:bCs/>
          <w:color w:val="auto"/>
          <w:szCs w:val="28"/>
        </w:rPr>
        <w:t xml:space="preserve">7.6 </w:t>
      </w:r>
      <w:bookmarkEnd w:id="189"/>
      <w:r>
        <w:rPr>
          <w:rFonts w:hint="eastAsia" w:ascii="Times New Roman" w:hAnsi="Times New Roman" w:eastAsia="宋体" w:cs="宋体"/>
          <w:b/>
          <w:bCs/>
          <w:color w:val="auto"/>
          <w:szCs w:val="28"/>
        </w:rPr>
        <w:t xml:space="preserve">履约保证金 </w:t>
      </w:r>
    </w:p>
    <w:p w14:paraId="05A08D70">
      <w:pPr>
        <w:widowControl w:val="0"/>
        <w:tabs>
          <w:tab w:val="left" w:pos="0"/>
        </w:tabs>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金额为中标合同金额的 10%。联合体中标的，其履约保证金以联合体各方或者联合体中牵头人的名义提交。</w:t>
      </w:r>
    </w:p>
    <w:p w14:paraId="7B5EC2D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7.6.2 中标人不能按本章第7.6.1项要求提交履约保证金的，视为放弃中标，其投标保证金不予退还，给招标人造成的损失超过投标保证金数额的，中标人还应当对超过部分予以赔偿。</w:t>
      </w:r>
    </w:p>
    <w:p w14:paraId="7D66E64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0" w:name="_Toc12276"/>
      <w:r>
        <w:rPr>
          <w:rFonts w:hint="eastAsia" w:ascii="Times New Roman" w:hAnsi="Times New Roman" w:eastAsia="宋体" w:cs="宋体"/>
          <w:b/>
          <w:bCs/>
          <w:color w:val="auto"/>
          <w:szCs w:val="28"/>
        </w:rPr>
        <w:t>7.7 签订合同</w:t>
      </w:r>
      <w:bookmarkEnd w:id="190"/>
      <w:r>
        <w:rPr>
          <w:rFonts w:hint="eastAsia" w:ascii="Times New Roman" w:hAnsi="Times New Roman" w:eastAsia="宋体" w:cs="宋体"/>
          <w:b/>
          <w:bCs/>
          <w:color w:val="auto"/>
          <w:szCs w:val="28"/>
        </w:rPr>
        <w:t xml:space="preserve"> </w:t>
      </w:r>
    </w:p>
    <w:p w14:paraId="6F9C7E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61BDCA7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7.7.2 发出中标通知书后，招标人无正当理由拒签合同，或者在签订合同时向中标人提出附加条件的，招标人向中标人退还投标保证金；给中标人造成损失的，还应当赔偿损失。</w:t>
      </w:r>
    </w:p>
    <w:p w14:paraId="490D5A5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7.7.3 联合体中标的，联合体各方应当共同与招标人签订合同，就中标项目向招标人承担连带责任。</w:t>
      </w:r>
    </w:p>
    <w:p w14:paraId="204FF2BC">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91" w:name="_Toc15989"/>
      <w:bookmarkStart w:id="192" w:name="_Toc56792764"/>
      <w:bookmarkStart w:id="193" w:name="_Toc11472"/>
      <w:bookmarkStart w:id="194" w:name="_Toc14020"/>
      <w:bookmarkStart w:id="195" w:name="_Toc11685"/>
      <w:bookmarkStart w:id="196" w:name="_Toc1706"/>
      <w:bookmarkStart w:id="197" w:name="_Toc17193"/>
      <w:r>
        <w:rPr>
          <w:rFonts w:hint="eastAsia" w:ascii="Times New Roman" w:hAnsi="Times New Roman" w:cs="宋体"/>
          <w:b w:val="0"/>
          <w:color w:val="auto"/>
          <w:szCs w:val="28"/>
        </w:rPr>
        <w:t>8.纪律和监督</w:t>
      </w:r>
      <w:bookmarkEnd w:id="191"/>
      <w:bookmarkEnd w:id="192"/>
      <w:bookmarkEnd w:id="193"/>
      <w:bookmarkEnd w:id="194"/>
      <w:bookmarkEnd w:id="195"/>
      <w:bookmarkEnd w:id="196"/>
      <w:bookmarkEnd w:id="197"/>
      <w:r>
        <w:rPr>
          <w:rFonts w:hint="eastAsia" w:ascii="Times New Roman" w:hAnsi="Times New Roman" w:cs="宋体"/>
          <w:b w:val="0"/>
          <w:color w:val="auto"/>
          <w:szCs w:val="28"/>
        </w:rPr>
        <w:t xml:space="preserve"> </w:t>
      </w:r>
    </w:p>
    <w:p w14:paraId="361FC71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8" w:name="_Toc30066"/>
      <w:r>
        <w:rPr>
          <w:rFonts w:hint="eastAsia" w:ascii="Times New Roman" w:hAnsi="Times New Roman" w:eastAsia="宋体" w:cs="宋体"/>
          <w:b/>
          <w:bCs/>
          <w:color w:val="auto"/>
          <w:szCs w:val="28"/>
        </w:rPr>
        <w:t>8.1 对招标人的纪律要求</w:t>
      </w:r>
      <w:bookmarkEnd w:id="198"/>
      <w:r>
        <w:rPr>
          <w:rFonts w:hint="eastAsia" w:ascii="Times New Roman" w:hAnsi="Times New Roman" w:eastAsia="宋体" w:cs="宋体"/>
          <w:b/>
          <w:bCs/>
          <w:color w:val="auto"/>
          <w:szCs w:val="28"/>
        </w:rPr>
        <w:t xml:space="preserve"> </w:t>
      </w:r>
    </w:p>
    <w:p w14:paraId="7C25074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招标人不得泄露招标投标活动中应当保密的情况和资料，不得与投标人串通损害国家利益、社会公共利益或者他人合法利益。</w:t>
      </w:r>
    </w:p>
    <w:p w14:paraId="33944346">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9" w:name="_Toc31893"/>
      <w:r>
        <w:rPr>
          <w:rFonts w:hint="eastAsia" w:ascii="Times New Roman" w:hAnsi="Times New Roman" w:eastAsia="宋体" w:cs="宋体"/>
          <w:b/>
          <w:bCs/>
          <w:color w:val="auto"/>
          <w:szCs w:val="28"/>
        </w:rPr>
        <w:t>8.2 对投标人的纪律要求</w:t>
      </w:r>
      <w:bookmarkEnd w:id="199"/>
      <w:r>
        <w:rPr>
          <w:rFonts w:hint="eastAsia" w:ascii="Times New Roman" w:hAnsi="Times New Roman" w:eastAsia="宋体" w:cs="宋体"/>
          <w:b/>
          <w:bCs/>
          <w:color w:val="auto"/>
          <w:szCs w:val="28"/>
        </w:rPr>
        <w:t xml:space="preserve"> </w:t>
      </w:r>
    </w:p>
    <w:p w14:paraId="59E5953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79B49EF">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200" w:name="_Toc10244"/>
      <w:r>
        <w:rPr>
          <w:rFonts w:hint="eastAsia" w:ascii="Times New Roman" w:hAnsi="Times New Roman" w:eastAsia="宋体" w:cs="宋体"/>
          <w:b/>
          <w:bCs/>
          <w:color w:val="auto"/>
          <w:szCs w:val="28"/>
        </w:rPr>
        <w:t>8.3 对评标委员会成员的纪律要求</w:t>
      </w:r>
      <w:bookmarkEnd w:id="200"/>
      <w:r>
        <w:rPr>
          <w:rFonts w:hint="eastAsia" w:ascii="Times New Roman" w:hAnsi="Times New Roman" w:eastAsia="宋体" w:cs="宋体"/>
          <w:b/>
          <w:bCs/>
          <w:color w:val="auto"/>
          <w:szCs w:val="28"/>
        </w:rPr>
        <w:t xml:space="preserve"> </w:t>
      </w:r>
    </w:p>
    <w:p w14:paraId="7B702A91">
      <w:pPr>
        <w:ind w:firstLine="560" w:firstLineChars="200"/>
      </w:pPr>
      <w:r>
        <w:rPr>
          <w:rFonts w:hint="eastAsia" w:ascii="Times New Roman" w:hAnsi="Times New Roman" w:eastAsia="宋体" w:cs="宋体"/>
          <w:color w:val="auto"/>
          <w:sz w:val="28"/>
          <w:szCs w:val="28"/>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bookmarkStart w:id="201" w:name="_Toc30562"/>
    </w:p>
    <w:p w14:paraId="191DE73A">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8.4 对与评标活动有关的工作人员的纪律要求</w:t>
      </w:r>
      <w:bookmarkEnd w:id="201"/>
      <w:r>
        <w:rPr>
          <w:rFonts w:hint="eastAsia" w:ascii="Times New Roman" w:hAnsi="Times New Roman" w:eastAsia="宋体" w:cs="宋体"/>
          <w:b/>
          <w:bCs/>
          <w:color w:val="auto"/>
          <w:szCs w:val="28"/>
        </w:rPr>
        <w:t xml:space="preserve"> </w:t>
      </w:r>
    </w:p>
    <w:p w14:paraId="2B3C5AF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45796BE0">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202" w:name="_Toc6074"/>
      <w:r>
        <w:rPr>
          <w:rFonts w:hint="eastAsia" w:ascii="Times New Roman" w:hAnsi="Times New Roman" w:eastAsia="宋体" w:cs="宋体"/>
          <w:b/>
          <w:bCs/>
          <w:color w:val="auto"/>
          <w:szCs w:val="28"/>
        </w:rPr>
        <w:t>8.5 投诉</w:t>
      </w:r>
      <w:bookmarkEnd w:id="202"/>
      <w:r>
        <w:rPr>
          <w:rFonts w:hint="eastAsia" w:ascii="Times New Roman" w:hAnsi="Times New Roman" w:eastAsia="宋体" w:cs="宋体"/>
          <w:b/>
          <w:bCs/>
          <w:color w:val="auto"/>
          <w:szCs w:val="28"/>
        </w:rPr>
        <w:t xml:space="preserve"> </w:t>
      </w:r>
    </w:p>
    <w:p w14:paraId="5E2C3D2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8.5.1投标人或者其他利害关系人认为招标投标活动不符合法律、行政法规规定的，可以自知道或者应当知道之日起10日内向有关行政监督部门投诉。投诉应当有明确的请求和必要的证明材料</w:t>
      </w:r>
    </w:p>
    <w:p w14:paraId="6233C82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8.5.2 投标人或者其他利害关系人对招标文件、开标和评标结果提出投诉的，应当按照投标人须知第2.4 款、第5.3 款和第 7.2 款的规定先向招标人提出异议。异议答复期间不计算在第 8.5.1 项规定的期限内。</w:t>
      </w:r>
    </w:p>
    <w:p w14:paraId="77927414">
      <w:pPr>
        <w:pStyle w:val="3"/>
        <w:keepNext w:val="0"/>
        <w:keepLines w:val="0"/>
        <w:widowControl w:val="0"/>
        <w:adjustRightInd w:val="0"/>
        <w:snapToGrid w:val="0"/>
        <w:spacing w:line="490" w:lineRule="exact"/>
        <w:ind w:left="0" w:right="0" w:firstLine="562" w:firstLineChars="200"/>
        <w:jc w:val="both"/>
        <w:rPr>
          <w:rFonts w:ascii="Times New Roman" w:hAnsi="Times New Roman" w:cs="宋体"/>
          <w:color w:val="auto"/>
          <w:szCs w:val="28"/>
        </w:rPr>
      </w:pPr>
      <w:bookmarkStart w:id="203" w:name="_Toc31477"/>
      <w:bookmarkStart w:id="204" w:name="_Toc56792765"/>
      <w:bookmarkStart w:id="205" w:name="_Toc17654"/>
      <w:r>
        <w:rPr>
          <w:rFonts w:hint="eastAsia" w:ascii="Times New Roman" w:hAnsi="Times New Roman" w:cs="宋体"/>
          <w:color w:val="auto"/>
          <w:szCs w:val="28"/>
        </w:rPr>
        <w:t>9.需要补充的其他内容</w:t>
      </w:r>
      <w:bookmarkEnd w:id="203"/>
      <w:bookmarkEnd w:id="204"/>
      <w:bookmarkEnd w:id="205"/>
      <w:r>
        <w:rPr>
          <w:rFonts w:hint="eastAsia" w:ascii="Times New Roman" w:hAnsi="Times New Roman" w:cs="宋体"/>
          <w:color w:val="auto"/>
          <w:szCs w:val="28"/>
        </w:rPr>
        <w:t xml:space="preserve"> </w:t>
      </w:r>
    </w:p>
    <w:p w14:paraId="487C2365">
      <w:pPr>
        <w:widowControl w:val="0"/>
        <w:adjustRightInd w:val="0"/>
        <w:snapToGrid w:val="0"/>
        <w:spacing w:after="0" w:line="490" w:lineRule="exact"/>
        <w:ind w:firstLine="56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8"/>
          <w:szCs w:val="28"/>
        </w:rPr>
        <w:t>需要补充的其他内容：见投标人须知前附表。</w:t>
      </w:r>
    </w:p>
    <w:p w14:paraId="5D66A48B">
      <w:pPr>
        <w:pStyle w:val="3"/>
        <w:rPr>
          <w:bCs/>
          <w:szCs w:val="20"/>
        </w:rPr>
      </w:pPr>
      <w:r>
        <w:rPr>
          <w:rFonts w:hint="eastAsia" w:ascii="Times New Roman" w:hAnsi="Times New Roman" w:cs="宋体"/>
          <w:color w:val="auto"/>
          <w:szCs w:val="28"/>
        </w:rPr>
        <w:br w:type="page"/>
      </w:r>
      <w:bookmarkStart w:id="206" w:name="_Toc511317968"/>
      <w:bookmarkStart w:id="207" w:name="_Toc269742737"/>
      <w:bookmarkStart w:id="208" w:name="_Toc511317219"/>
      <w:bookmarkStart w:id="209" w:name="_Toc259698637"/>
      <w:bookmarkStart w:id="210" w:name="_Toc15480"/>
      <w:bookmarkStart w:id="211" w:name="_Toc18030"/>
      <w:bookmarkStart w:id="212" w:name="_Toc7369"/>
      <w:r>
        <w:rPr>
          <w:rFonts w:hint="eastAsia" w:ascii="宋体" w:hAnsi="宋体" w:cs="宋体"/>
          <w:szCs w:val="20"/>
        </w:rPr>
        <w:t>附件一</w:t>
      </w:r>
      <w:bookmarkEnd w:id="206"/>
      <w:bookmarkEnd w:id="207"/>
      <w:bookmarkEnd w:id="208"/>
      <w:bookmarkEnd w:id="209"/>
      <w:r>
        <w:rPr>
          <w:rFonts w:hint="eastAsia" w:ascii="宋体" w:hAnsi="宋体" w:cs="宋体"/>
          <w:szCs w:val="20"/>
        </w:rPr>
        <w:t>：</w:t>
      </w:r>
      <w:bookmarkEnd w:id="210"/>
      <w:r>
        <w:rPr>
          <w:rFonts w:hint="eastAsia" w:ascii="宋体" w:hAnsi="宋体" w:cs="宋体"/>
          <w:szCs w:val="20"/>
        </w:rPr>
        <w:t>招标文件澄清申请函</w:t>
      </w:r>
      <w:bookmarkEnd w:id="211"/>
    </w:p>
    <w:p w14:paraId="45C353F1">
      <w:bookmarkStart w:id="213" w:name="_Toc259698638"/>
    </w:p>
    <w:p w14:paraId="71783085">
      <w:pPr>
        <w:spacing w:line="490" w:lineRule="exact"/>
        <w:jc w:val="center"/>
        <w:rPr>
          <w:b/>
          <w:bCs/>
          <w:sz w:val="40"/>
          <w:szCs w:val="20"/>
        </w:rPr>
      </w:pPr>
      <w:r>
        <w:rPr>
          <w:b/>
          <w:bCs/>
          <w:sz w:val="40"/>
          <w:szCs w:val="20"/>
        </w:rPr>
        <w:t>招标文件澄清申请函</w:t>
      </w:r>
      <w:bookmarkEnd w:id="213"/>
    </w:p>
    <w:p w14:paraId="2AEA54B4">
      <w:pPr>
        <w:spacing w:line="490" w:lineRule="exact"/>
        <w:jc w:val="center"/>
        <w:rPr>
          <w:b/>
          <w:bCs/>
          <w:sz w:val="56"/>
          <w:szCs w:val="20"/>
        </w:rPr>
      </w:pPr>
    </w:p>
    <w:p w14:paraId="7AC056ED">
      <w:pPr>
        <w:pStyle w:val="12"/>
        <w:spacing w:line="490" w:lineRule="exact"/>
        <w:ind w:left="560" w:hanging="560"/>
        <w:jc w:val="center"/>
        <w:rPr>
          <w:sz w:val="28"/>
          <w:u w:val="single"/>
        </w:rPr>
      </w:pPr>
      <w:r>
        <w:rPr>
          <w:sz w:val="28"/>
        </w:rPr>
        <w:t xml:space="preserve">                      编号：</w:t>
      </w:r>
      <w:r>
        <w:rPr>
          <w:sz w:val="28"/>
          <w:u w:val="single"/>
        </w:rPr>
        <w:t xml:space="preserve">                </w:t>
      </w:r>
    </w:p>
    <w:p w14:paraId="3FD3C4A0">
      <w:pPr>
        <w:spacing w:line="490" w:lineRule="exact"/>
        <w:rPr>
          <w:sz w:val="28"/>
        </w:rPr>
      </w:pPr>
    </w:p>
    <w:p w14:paraId="3A2AF1C9">
      <w:pPr>
        <w:pStyle w:val="7"/>
        <w:spacing w:line="490" w:lineRule="exact"/>
        <w:ind w:left="0" w:leftChars="0"/>
        <w:rPr>
          <w:sz w:val="28"/>
        </w:rPr>
      </w:pPr>
      <w:r>
        <w:rPr>
          <w:sz w:val="28"/>
          <w:u w:val="single"/>
        </w:rPr>
        <w:t xml:space="preserve">                </w:t>
      </w:r>
      <w:r>
        <w:rPr>
          <w:sz w:val="28"/>
        </w:rPr>
        <w:t>（招标人名称）：</w:t>
      </w:r>
    </w:p>
    <w:p w14:paraId="1C8A86AF">
      <w:pPr>
        <w:autoSpaceDE w:val="0"/>
        <w:autoSpaceDN w:val="0"/>
        <w:adjustRightInd w:val="0"/>
        <w:spacing w:line="490" w:lineRule="exact"/>
        <w:ind w:firstLine="560" w:firstLineChars="200"/>
        <w:rPr>
          <w:sz w:val="28"/>
        </w:rPr>
      </w:pPr>
      <w:r>
        <w:rPr>
          <w:sz w:val="28"/>
        </w:rPr>
        <w:t>经过仔细阅读</w:t>
      </w:r>
      <w:r>
        <w:rPr>
          <w:sz w:val="28"/>
          <w:u w:val="single"/>
        </w:rPr>
        <w:t xml:space="preserve">             </w:t>
      </w:r>
      <w:r>
        <w:rPr>
          <w:sz w:val="28"/>
        </w:rPr>
        <w:t>（项目名称）</w:t>
      </w:r>
      <w:r>
        <w:rPr>
          <w:sz w:val="28"/>
          <w:u w:val="single"/>
        </w:rPr>
        <w:t xml:space="preserve">            </w:t>
      </w:r>
      <w:r>
        <w:rPr>
          <w:sz w:val="28"/>
        </w:rPr>
        <w:t>（标段名称）招标文件后，我方申请对以下问题予以澄清：</w:t>
      </w:r>
    </w:p>
    <w:p w14:paraId="095DB92D">
      <w:pPr>
        <w:autoSpaceDE w:val="0"/>
        <w:autoSpaceDN w:val="0"/>
        <w:adjustRightInd w:val="0"/>
        <w:spacing w:line="490" w:lineRule="exact"/>
        <w:ind w:firstLine="560" w:firstLineChars="200"/>
        <w:rPr>
          <w:sz w:val="28"/>
        </w:rPr>
      </w:pPr>
      <w:r>
        <w:rPr>
          <w:sz w:val="28"/>
        </w:rPr>
        <w:t>1.……</w:t>
      </w:r>
    </w:p>
    <w:p w14:paraId="6B959F67">
      <w:pPr>
        <w:autoSpaceDE w:val="0"/>
        <w:autoSpaceDN w:val="0"/>
        <w:adjustRightInd w:val="0"/>
        <w:spacing w:line="490" w:lineRule="exact"/>
        <w:ind w:firstLine="560" w:firstLineChars="200"/>
        <w:rPr>
          <w:sz w:val="28"/>
        </w:rPr>
      </w:pPr>
      <w:r>
        <w:rPr>
          <w:sz w:val="28"/>
        </w:rPr>
        <w:t>2.……</w:t>
      </w:r>
    </w:p>
    <w:p w14:paraId="66112B20">
      <w:pPr>
        <w:autoSpaceDE w:val="0"/>
        <w:autoSpaceDN w:val="0"/>
        <w:adjustRightInd w:val="0"/>
        <w:spacing w:line="490" w:lineRule="exact"/>
        <w:ind w:firstLine="560" w:firstLineChars="200"/>
        <w:rPr>
          <w:sz w:val="28"/>
        </w:rPr>
      </w:pPr>
      <w:r>
        <w:rPr>
          <w:sz w:val="28"/>
        </w:rPr>
        <w:t>……</w:t>
      </w:r>
    </w:p>
    <w:p w14:paraId="3BB05C71">
      <w:pPr>
        <w:spacing w:line="490" w:lineRule="exact"/>
        <w:rPr>
          <w:sz w:val="28"/>
        </w:rPr>
      </w:pPr>
    </w:p>
    <w:p w14:paraId="77D73184">
      <w:pPr>
        <w:pStyle w:val="12"/>
        <w:spacing w:line="490" w:lineRule="exact"/>
        <w:ind w:left="0" w:right="560" w:firstLine="5180" w:firstLineChars="1850"/>
        <w:rPr>
          <w:sz w:val="28"/>
          <w:u w:val="single"/>
        </w:rPr>
      </w:pPr>
      <w:r>
        <w:rPr>
          <w:sz w:val="28"/>
        </w:rPr>
        <w:t>投标人：</w:t>
      </w:r>
      <w:r>
        <w:rPr>
          <w:sz w:val="28"/>
          <w:u w:val="single"/>
        </w:rPr>
        <w:t xml:space="preserve">                   </w:t>
      </w:r>
    </w:p>
    <w:p w14:paraId="15938653">
      <w:pPr>
        <w:pStyle w:val="12"/>
        <w:spacing w:line="490" w:lineRule="exact"/>
        <w:ind w:left="440" w:leftChars="200" w:right="560" w:firstLine="0" w:firstLineChars="0"/>
        <w:jc w:val="center"/>
        <w:rPr>
          <w:sz w:val="28"/>
        </w:rPr>
      </w:pPr>
      <w:r>
        <w:rPr>
          <w:sz w:val="28"/>
        </w:rPr>
        <w:t xml:space="preserve">                                         </w:t>
      </w:r>
      <w:r>
        <w:rPr>
          <w:rFonts w:hint="eastAsia"/>
          <w:sz w:val="28"/>
        </w:rPr>
        <w:t xml:space="preserve">              </w:t>
      </w:r>
      <w:r>
        <w:rPr>
          <w:sz w:val="28"/>
        </w:rPr>
        <w:t>（盖单位公章）</w:t>
      </w:r>
    </w:p>
    <w:p w14:paraId="5794CAE2">
      <w:pPr>
        <w:pStyle w:val="12"/>
        <w:tabs>
          <w:tab w:val="left" w:pos="6237"/>
        </w:tabs>
        <w:spacing w:line="490" w:lineRule="exact"/>
        <w:ind w:left="440" w:leftChars="200" w:firstLine="0" w:firstLineChars="0"/>
        <w:jc w:val="center"/>
        <w:rPr>
          <w:sz w:val="28"/>
        </w:rPr>
      </w:pPr>
      <w:r>
        <w:rPr>
          <w:rFonts w:hint="eastAsia"/>
          <w:sz w:val="28"/>
        </w:rPr>
        <w:t xml:space="preserve">                                           </w:t>
      </w:r>
      <w:r>
        <w:rPr>
          <w:sz w:val="28"/>
        </w:rPr>
        <w:t xml:space="preserve"> </w:t>
      </w:r>
      <w:r>
        <w:rPr>
          <w:sz w:val="28"/>
          <w:u w:val="single"/>
        </w:rPr>
        <w:t xml:space="preserve">     </w:t>
      </w:r>
      <w:r>
        <w:rPr>
          <w:sz w:val="28"/>
        </w:rPr>
        <w:t>年</w:t>
      </w:r>
      <w:r>
        <w:rPr>
          <w:sz w:val="28"/>
          <w:u w:val="single"/>
        </w:rPr>
        <w:t xml:space="preserve">    </w:t>
      </w:r>
      <w:r>
        <w:rPr>
          <w:sz w:val="28"/>
        </w:rPr>
        <w:t>月</w:t>
      </w:r>
      <w:r>
        <w:rPr>
          <w:sz w:val="28"/>
          <w:u w:val="single"/>
        </w:rPr>
        <w:t xml:space="preserve">    </w:t>
      </w:r>
      <w:r>
        <w:rPr>
          <w:sz w:val="28"/>
        </w:rPr>
        <w:t>日</w:t>
      </w:r>
    </w:p>
    <w:p w14:paraId="02382ACE">
      <w:pPr>
        <w:spacing w:line="490" w:lineRule="exact"/>
        <w:rPr>
          <w:sz w:val="28"/>
        </w:rPr>
      </w:pPr>
    </w:p>
    <w:p w14:paraId="3FCEC720">
      <w:pPr>
        <w:pStyle w:val="3"/>
        <w:rPr>
          <w:bCs/>
          <w:szCs w:val="20"/>
        </w:rPr>
      </w:pPr>
      <w:r>
        <w:rPr>
          <w:sz w:val="20"/>
        </w:rPr>
        <w:br w:type="page"/>
      </w:r>
      <w:bookmarkStart w:id="214" w:name="_Toc511317220"/>
      <w:bookmarkStart w:id="215" w:name="_Toc259698639"/>
      <w:bookmarkStart w:id="216" w:name="_Toc511317969"/>
      <w:bookmarkStart w:id="217" w:name="_Toc269742738"/>
      <w:bookmarkStart w:id="218" w:name="_Toc8070"/>
      <w:bookmarkStart w:id="219" w:name="_Toc16551"/>
      <w:r>
        <w:rPr>
          <w:szCs w:val="20"/>
        </w:rPr>
        <w:t>附件二</w:t>
      </w:r>
      <w:bookmarkEnd w:id="214"/>
      <w:bookmarkEnd w:id="215"/>
      <w:bookmarkEnd w:id="216"/>
      <w:bookmarkEnd w:id="217"/>
      <w:r>
        <w:rPr>
          <w:rFonts w:hint="eastAsia"/>
          <w:szCs w:val="20"/>
        </w:rPr>
        <w:t>：</w:t>
      </w:r>
      <w:bookmarkEnd w:id="218"/>
      <w:r>
        <w:rPr>
          <w:rFonts w:hint="eastAsia"/>
          <w:szCs w:val="20"/>
        </w:rPr>
        <w:t>招标文件澄清通知</w:t>
      </w:r>
      <w:bookmarkEnd w:id="219"/>
    </w:p>
    <w:p w14:paraId="7AB9E97F">
      <w:pPr>
        <w:spacing w:line="490" w:lineRule="exact"/>
        <w:jc w:val="center"/>
        <w:rPr>
          <w:b/>
          <w:bCs/>
          <w:sz w:val="40"/>
          <w:szCs w:val="20"/>
        </w:rPr>
      </w:pPr>
      <w:bookmarkStart w:id="220" w:name="_Toc259698640"/>
      <w:r>
        <w:rPr>
          <w:b/>
          <w:bCs/>
          <w:sz w:val="40"/>
          <w:szCs w:val="20"/>
        </w:rPr>
        <w:t>招标文件澄清通知</w:t>
      </w:r>
      <w:bookmarkEnd w:id="220"/>
    </w:p>
    <w:p w14:paraId="493F99EF">
      <w:pPr>
        <w:spacing w:line="490" w:lineRule="exact"/>
        <w:jc w:val="center"/>
        <w:rPr>
          <w:b/>
          <w:bCs/>
          <w:sz w:val="40"/>
          <w:szCs w:val="20"/>
        </w:rPr>
      </w:pPr>
    </w:p>
    <w:p w14:paraId="280135C6">
      <w:pPr>
        <w:spacing w:line="490" w:lineRule="exact"/>
        <w:jc w:val="center"/>
        <w:rPr>
          <w:sz w:val="28"/>
          <w:szCs w:val="32"/>
        </w:rPr>
      </w:pPr>
      <w:r>
        <w:rPr>
          <w:sz w:val="28"/>
          <w:szCs w:val="32"/>
        </w:rPr>
        <w:t xml:space="preserve">                       编号：</w:t>
      </w:r>
      <w:r>
        <w:rPr>
          <w:sz w:val="28"/>
          <w:szCs w:val="32"/>
          <w:u w:val="single"/>
        </w:rPr>
        <w:t xml:space="preserve">                </w:t>
      </w:r>
    </w:p>
    <w:p w14:paraId="5178BF80">
      <w:pPr>
        <w:spacing w:line="490" w:lineRule="exact"/>
        <w:rPr>
          <w:sz w:val="28"/>
          <w:szCs w:val="32"/>
        </w:rPr>
      </w:pPr>
    </w:p>
    <w:p w14:paraId="205771C9">
      <w:pPr>
        <w:autoSpaceDE w:val="0"/>
        <w:autoSpaceDN w:val="0"/>
        <w:adjustRightInd w:val="0"/>
        <w:spacing w:line="490" w:lineRule="exact"/>
        <w:ind w:firstLine="560" w:firstLineChars="200"/>
        <w:rPr>
          <w:sz w:val="28"/>
          <w:szCs w:val="32"/>
        </w:rPr>
      </w:pPr>
      <w:r>
        <w:rPr>
          <w:sz w:val="28"/>
          <w:szCs w:val="32"/>
        </w:rPr>
        <w:t>经研究，对</w:t>
      </w:r>
      <w:r>
        <w:rPr>
          <w:sz w:val="28"/>
          <w:szCs w:val="32"/>
          <w:u w:val="single"/>
        </w:rPr>
        <w:t xml:space="preserve">                </w:t>
      </w:r>
      <w:r>
        <w:rPr>
          <w:sz w:val="28"/>
          <w:szCs w:val="32"/>
        </w:rPr>
        <w:t>（项目名称）</w:t>
      </w:r>
      <w:r>
        <w:rPr>
          <w:sz w:val="28"/>
          <w:szCs w:val="32"/>
          <w:u w:val="single"/>
        </w:rPr>
        <w:t xml:space="preserve">                </w:t>
      </w:r>
      <w:r>
        <w:rPr>
          <w:sz w:val="28"/>
          <w:szCs w:val="32"/>
        </w:rPr>
        <w:t>（标段名称）招标文件，作如下澄清：</w:t>
      </w:r>
    </w:p>
    <w:p w14:paraId="55B4EF27">
      <w:pPr>
        <w:autoSpaceDE w:val="0"/>
        <w:autoSpaceDN w:val="0"/>
        <w:adjustRightInd w:val="0"/>
        <w:spacing w:line="490" w:lineRule="exact"/>
        <w:ind w:firstLine="560" w:firstLineChars="200"/>
        <w:rPr>
          <w:sz w:val="28"/>
          <w:szCs w:val="32"/>
        </w:rPr>
      </w:pPr>
      <w:r>
        <w:rPr>
          <w:sz w:val="28"/>
          <w:szCs w:val="32"/>
        </w:rPr>
        <w:t>1.……</w:t>
      </w:r>
    </w:p>
    <w:p w14:paraId="1947A1C8">
      <w:pPr>
        <w:autoSpaceDE w:val="0"/>
        <w:autoSpaceDN w:val="0"/>
        <w:adjustRightInd w:val="0"/>
        <w:spacing w:line="490" w:lineRule="exact"/>
        <w:ind w:firstLine="560" w:firstLineChars="200"/>
        <w:rPr>
          <w:sz w:val="28"/>
          <w:szCs w:val="32"/>
        </w:rPr>
      </w:pPr>
      <w:r>
        <w:rPr>
          <w:sz w:val="28"/>
          <w:szCs w:val="32"/>
        </w:rPr>
        <w:t>2.……</w:t>
      </w:r>
    </w:p>
    <w:p w14:paraId="6C163DBC">
      <w:pPr>
        <w:pStyle w:val="12"/>
        <w:spacing w:line="490" w:lineRule="exact"/>
        <w:ind w:left="0" w:firstLine="560" w:firstLineChars="200"/>
        <w:rPr>
          <w:sz w:val="28"/>
          <w:szCs w:val="32"/>
        </w:rPr>
      </w:pPr>
      <w:r>
        <w:rPr>
          <w:sz w:val="28"/>
          <w:szCs w:val="32"/>
        </w:rPr>
        <w:t>……</w:t>
      </w:r>
    </w:p>
    <w:p w14:paraId="2C4B4B76">
      <w:pPr>
        <w:spacing w:line="490" w:lineRule="exact"/>
        <w:rPr>
          <w:sz w:val="28"/>
          <w:szCs w:val="32"/>
        </w:rPr>
      </w:pPr>
    </w:p>
    <w:p w14:paraId="5F9AB293">
      <w:pPr>
        <w:spacing w:line="490" w:lineRule="exact"/>
        <w:rPr>
          <w:sz w:val="28"/>
          <w:szCs w:val="32"/>
        </w:rPr>
      </w:pPr>
    </w:p>
    <w:p w14:paraId="4CC1A0E5">
      <w:pPr>
        <w:spacing w:line="490" w:lineRule="exact"/>
        <w:rPr>
          <w:sz w:val="28"/>
          <w:szCs w:val="32"/>
        </w:rPr>
      </w:pPr>
    </w:p>
    <w:p w14:paraId="3B4655D2">
      <w:pPr>
        <w:spacing w:line="490" w:lineRule="exact"/>
        <w:ind w:firstLine="3360" w:firstLineChars="1200"/>
        <w:rPr>
          <w:sz w:val="28"/>
          <w:szCs w:val="32"/>
          <w:u w:val="single"/>
        </w:rPr>
      </w:pPr>
      <w:r>
        <w:rPr>
          <w:sz w:val="28"/>
          <w:szCs w:val="32"/>
        </w:rPr>
        <w:t>招标人（或招标代理机构）：</w:t>
      </w:r>
      <w:r>
        <w:rPr>
          <w:sz w:val="28"/>
          <w:szCs w:val="32"/>
          <w:u w:val="single"/>
        </w:rPr>
        <w:t xml:space="preserve">                </w:t>
      </w:r>
    </w:p>
    <w:p w14:paraId="145730F5">
      <w:pPr>
        <w:spacing w:line="490" w:lineRule="exact"/>
        <w:jc w:val="right"/>
        <w:rPr>
          <w:sz w:val="28"/>
          <w:szCs w:val="32"/>
        </w:rPr>
      </w:pPr>
      <w:r>
        <w:rPr>
          <w:sz w:val="28"/>
          <w:szCs w:val="32"/>
        </w:rPr>
        <w:t>（盖单位公章）</w:t>
      </w:r>
    </w:p>
    <w:p w14:paraId="6FFDEE68">
      <w:pPr>
        <w:pStyle w:val="12"/>
        <w:spacing w:line="490" w:lineRule="exact"/>
        <w:ind w:left="440" w:leftChars="200" w:firstLine="0" w:firstLineChars="0"/>
        <w:jc w:val="right"/>
        <w:rPr>
          <w:sz w:val="28"/>
          <w:szCs w:val="32"/>
        </w:rPr>
      </w:pP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p>
    <w:p w14:paraId="7BB00FF4">
      <w:pPr>
        <w:pStyle w:val="3"/>
        <w:rPr>
          <w:bCs/>
          <w:szCs w:val="20"/>
        </w:rPr>
      </w:pPr>
      <w:r>
        <w:rPr>
          <w:sz w:val="20"/>
        </w:rPr>
        <w:br w:type="page"/>
      </w:r>
      <w:bookmarkStart w:id="221" w:name="_Toc269742739"/>
      <w:bookmarkStart w:id="222" w:name="_Toc259698641"/>
      <w:bookmarkStart w:id="223" w:name="_Toc511317221"/>
      <w:bookmarkStart w:id="224" w:name="_Toc511317970"/>
      <w:bookmarkStart w:id="225" w:name="_Toc6985"/>
      <w:bookmarkStart w:id="226" w:name="_Toc31489"/>
      <w:r>
        <w:rPr>
          <w:szCs w:val="20"/>
        </w:rPr>
        <w:t>附件三</w:t>
      </w:r>
      <w:bookmarkEnd w:id="221"/>
      <w:bookmarkEnd w:id="222"/>
      <w:bookmarkEnd w:id="223"/>
      <w:bookmarkEnd w:id="224"/>
      <w:r>
        <w:rPr>
          <w:rFonts w:hint="eastAsia"/>
          <w:szCs w:val="20"/>
        </w:rPr>
        <w:t>：</w:t>
      </w:r>
      <w:bookmarkEnd w:id="225"/>
      <w:r>
        <w:rPr>
          <w:rFonts w:hint="eastAsia"/>
          <w:szCs w:val="20"/>
        </w:rPr>
        <w:t>招标文件修改通知</w:t>
      </w:r>
      <w:bookmarkEnd w:id="226"/>
    </w:p>
    <w:p w14:paraId="2C60ED5E"/>
    <w:p w14:paraId="1D7EEE04">
      <w:pPr>
        <w:spacing w:line="490" w:lineRule="exact"/>
        <w:jc w:val="center"/>
        <w:rPr>
          <w:b/>
          <w:bCs/>
          <w:sz w:val="40"/>
          <w:szCs w:val="20"/>
        </w:rPr>
      </w:pPr>
      <w:bookmarkStart w:id="227" w:name="_Toc259698642"/>
      <w:r>
        <w:rPr>
          <w:b/>
          <w:bCs/>
          <w:sz w:val="40"/>
          <w:szCs w:val="20"/>
        </w:rPr>
        <w:t>招标文件修改通知</w:t>
      </w:r>
      <w:bookmarkEnd w:id="227"/>
    </w:p>
    <w:p w14:paraId="297DD224">
      <w:pPr>
        <w:spacing w:line="490" w:lineRule="exact"/>
        <w:jc w:val="center"/>
        <w:rPr>
          <w:b/>
          <w:bCs/>
          <w:sz w:val="40"/>
          <w:szCs w:val="20"/>
        </w:rPr>
      </w:pPr>
    </w:p>
    <w:p w14:paraId="5AF37BE1">
      <w:pPr>
        <w:spacing w:line="490" w:lineRule="exact"/>
        <w:jc w:val="center"/>
        <w:rPr>
          <w:sz w:val="28"/>
          <w:szCs w:val="32"/>
        </w:rPr>
      </w:pPr>
      <w:r>
        <w:rPr>
          <w:sz w:val="28"/>
          <w:szCs w:val="32"/>
        </w:rPr>
        <w:t xml:space="preserve">                           编号：</w:t>
      </w:r>
      <w:r>
        <w:rPr>
          <w:sz w:val="28"/>
          <w:szCs w:val="32"/>
          <w:u w:val="single"/>
        </w:rPr>
        <w:t xml:space="preserve">                </w:t>
      </w:r>
    </w:p>
    <w:p w14:paraId="49E4478C">
      <w:pPr>
        <w:spacing w:line="490" w:lineRule="exact"/>
        <w:rPr>
          <w:sz w:val="28"/>
          <w:szCs w:val="32"/>
        </w:rPr>
      </w:pPr>
    </w:p>
    <w:p w14:paraId="55999369">
      <w:pPr>
        <w:autoSpaceDE w:val="0"/>
        <w:autoSpaceDN w:val="0"/>
        <w:adjustRightInd w:val="0"/>
        <w:spacing w:line="490" w:lineRule="exact"/>
        <w:ind w:firstLine="560" w:firstLineChars="200"/>
        <w:rPr>
          <w:sz w:val="28"/>
          <w:szCs w:val="32"/>
        </w:rPr>
      </w:pPr>
      <w:r>
        <w:rPr>
          <w:sz w:val="28"/>
          <w:szCs w:val="32"/>
        </w:rPr>
        <w:t>经研究，对</w:t>
      </w:r>
      <w:r>
        <w:rPr>
          <w:sz w:val="28"/>
          <w:szCs w:val="32"/>
          <w:u w:val="single"/>
        </w:rPr>
        <w:t xml:space="preserve">            </w:t>
      </w:r>
      <w:r>
        <w:rPr>
          <w:sz w:val="28"/>
          <w:szCs w:val="32"/>
        </w:rPr>
        <w:t>（项目名称）</w:t>
      </w:r>
      <w:r>
        <w:rPr>
          <w:sz w:val="28"/>
          <w:szCs w:val="32"/>
          <w:u w:val="single"/>
        </w:rPr>
        <w:t xml:space="preserve">             </w:t>
      </w:r>
      <w:r>
        <w:rPr>
          <w:sz w:val="28"/>
          <w:szCs w:val="32"/>
        </w:rPr>
        <w:t>（标段名称）招标文件，作如下修改：</w:t>
      </w:r>
    </w:p>
    <w:p w14:paraId="7FB8FCE8">
      <w:pPr>
        <w:autoSpaceDE w:val="0"/>
        <w:autoSpaceDN w:val="0"/>
        <w:adjustRightInd w:val="0"/>
        <w:spacing w:line="490" w:lineRule="exact"/>
        <w:ind w:firstLine="560" w:firstLineChars="200"/>
        <w:rPr>
          <w:sz w:val="28"/>
          <w:szCs w:val="32"/>
        </w:rPr>
      </w:pPr>
      <w:r>
        <w:rPr>
          <w:sz w:val="28"/>
          <w:szCs w:val="32"/>
        </w:rPr>
        <w:t>1.……</w:t>
      </w:r>
    </w:p>
    <w:p w14:paraId="76CB4158">
      <w:pPr>
        <w:autoSpaceDE w:val="0"/>
        <w:autoSpaceDN w:val="0"/>
        <w:adjustRightInd w:val="0"/>
        <w:spacing w:line="490" w:lineRule="exact"/>
        <w:ind w:firstLine="560" w:firstLineChars="200"/>
        <w:rPr>
          <w:sz w:val="28"/>
          <w:szCs w:val="32"/>
        </w:rPr>
      </w:pPr>
      <w:r>
        <w:rPr>
          <w:sz w:val="28"/>
          <w:szCs w:val="32"/>
        </w:rPr>
        <w:t>2.……</w:t>
      </w:r>
    </w:p>
    <w:p w14:paraId="6E96D0EA">
      <w:pPr>
        <w:autoSpaceDE w:val="0"/>
        <w:autoSpaceDN w:val="0"/>
        <w:adjustRightInd w:val="0"/>
        <w:spacing w:line="490" w:lineRule="exact"/>
        <w:ind w:firstLine="560" w:firstLineChars="200"/>
        <w:rPr>
          <w:sz w:val="28"/>
          <w:szCs w:val="32"/>
        </w:rPr>
      </w:pPr>
      <w:r>
        <w:rPr>
          <w:sz w:val="28"/>
          <w:szCs w:val="32"/>
        </w:rPr>
        <w:t>……</w:t>
      </w:r>
    </w:p>
    <w:p w14:paraId="2AD99C44">
      <w:pPr>
        <w:spacing w:line="490" w:lineRule="exact"/>
        <w:rPr>
          <w:sz w:val="28"/>
          <w:szCs w:val="32"/>
        </w:rPr>
      </w:pPr>
    </w:p>
    <w:p w14:paraId="794CAEE5">
      <w:pPr>
        <w:spacing w:line="490" w:lineRule="exact"/>
        <w:rPr>
          <w:sz w:val="28"/>
          <w:szCs w:val="32"/>
        </w:rPr>
      </w:pPr>
    </w:p>
    <w:p w14:paraId="0DDE915D">
      <w:pPr>
        <w:spacing w:line="490" w:lineRule="exact"/>
        <w:rPr>
          <w:sz w:val="28"/>
          <w:szCs w:val="32"/>
        </w:rPr>
      </w:pPr>
    </w:p>
    <w:p w14:paraId="2E7B4E2A">
      <w:pPr>
        <w:spacing w:line="490" w:lineRule="exact"/>
        <w:ind w:firstLine="3360" w:firstLineChars="1200"/>
        <w:rPr>
          <w:sz w:val="28"/>
          <w:szCs w:val="32"/>
          <w:u w:val="single"/>
        </w:rPr>
      </w:pPr>
      <w:r>
        <w:rPr>
          <w:sz w:val="28"/>
          <w:szCs w:val="32"/>
        </w:rPr>
        <w:t>招标人（或招标代理机构）：</w:t>
      </w:r>
      <w:r>
        <w:rPr>
          <w:sz w:val="28"/>
          <w:szCs w:val="32"/>
          <w:u w:val="single"/>
        </w:rPr>
        <w:t xml:space="preserve">                </w:t>
      </w:r>
    </w:p>
    <w:p w14:paraId="4B726FA2">
      <w:pPr>
        <w:spacing w:line="490" w:lineRule="exact"/>
        <w:jc w:val="right"/>
        <w:rPr>
          <w:sz w:val="28"/>
          <w:szCs w:val="32"/>
        </w:rPr>
      </w:pPr>
      <w:r>
        <w:rPr>
          <w:sz w:val="28"/>
          <w:szCs w:val="32"/>
        </w:rPr>
        <w:t>（盖单位公章）</w:t>
      </w:r>
    </w:p>
    <w:p w14:paraId="0031738C">
      <w:pPr>
        <w:jc w:val="right"/>
        <w:rPr>
          <w:sz w:val="28"/>
          <w:szCs w:val="32"/>
        </w:rPr>
      </w:pP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p>
    <w:p w14:paraId="042A5F3C">
      <w:pPr>
        <w:pStyle w:val="3"/>
        <w:rPr>
          <w:rFonts w:ascii="Times New Roman" w:hAnsi="Times New Roman" w:cs="宋体"/>
          <w:bCs/>
          <w:color w:val="auto"/>
          <w:szCs w:val="28"/>
        </w:rPr>
      </w:pPr>
      <w:r>
        <w:rPr>
          <w:rFonts w:hint="eastAsia" w:ascii="Times New Roman" w:hAnsi="Times New Roman" w:cs="宋体"/>
          <w:color w:val="auto"/>
          <w:szCs w:val="28"/>
        </w:rPr>
        <w:br w:type="page"/>
      </w:r>
      <w:bookmarkStart w:id="228" w:name="_Toc21518"/>
      <w:r>
        <w:rPr>
          <w:rFonts w:hint="eastAsia"/>
          <w:szCs w:val="20"/>
        </w:rPr>
        <w:t>附件四：开标记录表</w:t>
      </w:r>
      <w:bookmarkEnd w:id="212"/>
      <w:bookmarkEnd w:id="228"/>
      <w:r>
        <w:rPr>
          <w:rFonts w:hint="eastAsia"/>
          <w:szCs w:val="20"/>
        </w:rPr>
        <w:t xml:space="preserve"> </w:t>
      </w:r>
    </w:p>
    <w:p w14:paraId="68943C11">
      <w:pPr>
        <w:widowControl w:val="0"/>
        <w:spacing w:after="0" w:line="500" w:lineRule="exact"/>
        <w:jc w:val="center"/>
        <w:rPr>
          <w:rFonts w:ascii="Times New Roman" w:hAnsi="Times New Roman" w:eastAsia="宋体" w:cs="宋体"/>
          <w:b/>
          <w:bCs/>
          <w:color w:val="auto"/>
          <w:sz w:val="36"/>
          <w:szCs w:val="32"/>
        </w:rPr>
      </w:pPr>
      <w:r>
        <w:rPr>
          <w:rFonts w:hint="eastAsia" w:ascii="Times New Roman" w:hAnsi="Times New Roman" w:eastAsia="宋体" w:cs="宋体"/>
          <w:b/>
          <w:bCs/>
          <w:color w:val="auto"/>
          <w:sz w:val="36"/>
          <w:szCs w:val="32"/>
        </w:rPr>
        <w:t>开标记录表</w:t>
      </w:r>
    </w:p>
    <w:p w14:paraId="19D13407">
      <w:pPr>
        <w:widowControl w:val="0"/>
        <w:spacing w:after="0" w:line="500" w:lineRule="exact"/>
        <w:rPr>
          <w:rFonts w:ascii="Times New Roman" w:hAnsi="Times New Roman" w:eastAsia="宋体" w:cs="宋体"/>
          <w:b/>
          <w:bCs/>
          <w:color w:val="auto"/>
          <w:sz w:val="28"/>
          <w:szCs w:val="28"/>
        </w:rPr>
      </w:pP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8"/>
          <w:szCs w:val="28"/>
          <w:u w:val="single"/>
        </w:rPr>
        <w:t xml:space="preserve">            </w:t>
      </w:r>
      <w:r>
        <w:rPr>
          <w:rFonts w:hint="eastAsia" w:ascii="Times New Roman" w:hAnsi="Times New Roman" w:eastAsia="宋体" w:cs="宋体"/>
          <w:color w:val="auto"/>
          <w:sz w:val="28"/>
          <w:szCs w:val="28"/>
        </w:rPr>
        <w:t>（项目名称）</w:t>
      </w:r>
      <w:r>
        <w:rPr>
          <w:rFonts w:hint="eastAsia" w:ascii="Times New Roman" w:hAnsi="Times New Roman" w:eastAsia="宋体" w:cs="宋体"/>
          <w:color w:val="auto"/>
          <w:sz w:val="28"/>
          <w:szCs w:val="28"/>
          <w:u w:val="single"/>
        </w:rPr>
        <w:t xml:space="preserve">                </w:t>
      </w:r>
      <w:r>
        <w:rPr>
          <w:rFonts w:hint="eastAsia" w:ascii="Times New Roman" w:hAnsi="Times New Roman" w:eastAsia="宋体" w:cs="宋体"/>
          <w:color w:val="auto"/>
          <w:sz w:val="28"/>
          <w:szCs w:val="28"/>
        </w:rPr>
        <w:t>（标段名称）</w:t>
      </w:r>
    </w:p>
    <w:p w14:paraId="09C5A7B2">
      <w:pPr>
        <w:widowControl w:val="0"/>
        <w:adjustRightInd w:val="0"/>
        <w:snapToGrid w:val="0"/>
        <w:spacing w:after="0" w:line="265" w:lineRule="auto"/>
        <w:ind w:hanging="10"/>
        <w:rPr>
          <w:rFonts w:ascii="Times New Roman" w:hAnsi="Times New Roman" w:eastAsia="宋体" w:cs="宋体"/>
          <w:color w:val="auto"/>
          <w:sz w:val="28"/>
          <w:szCs w:val="28"/>
        </w:rPr>
      </w:pPr>
    </w:p>
    <w:p w14:paraId="7EBEFF26">
      <w:pPr>
        <w:widowControl w:val="0"/>
        <w:adjustRightInd w:val="0"/>
        <w:snapToGrid w:val="0"/>
        <w:spacing w:after="0" w:line="265" w:lineRule="auto"/>
        <w:ind w:hanging="1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开标时间：</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年</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月</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日</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时</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 xml:space="preserve">分 </w:t>
      </w:r>
    </w:p>
    <w:tbl>
      <w:tblPr>
        <w:tblStyle w:val="17"/>
        <w:tblW w:w="5120" w:type="pct"/>
        <w:jc w:val="center"/>
        <w:tblLayout w:type="autofit"/>
        <w:tblCellMar>
          <w:top w:w="0" w:type="dxa"/>
          <w:left w:w="106" w:type="dxa"/>
          <w:bottom w:w="58" w:type="dxa"/>
          <w:right w:w="99" w:type="dxa"/>
        </w:tblCellMar>
      </w:tblPr>
      <w:tblGrid>
        <w:gridCol w:w="1213"/>
        <w:gridCol w:w="1417"/>
        <w:gridCol w:w="1522"/>
        <w:gridCol w:w="1607"/>
        <w:gridCol w:w="1283"/>
        <w:gridCol w:w="1673"/>
      </w:tblGrid>
      <w:tr w14:paraId="2A48CC7C">
        <w:tblPrEx>
          <w:tblCellMar>
            <w:top w:w="0" w:type="dxa"/>
            <w:left w:w="106" w:type="dxa"/>
            <w:bottom w:w="58" w:type="dxa"/>
            <w:right w:w="99" w:type="dxa"/>
          </w:tblCellMar>
        </w:tblPrEx>
        <w:trPr>
          <w:trHeight w:val="101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004F4A72">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序号</w:t>
            </w:r>
          </w:p>
        </w:tc>
        <w:tc>
          <w:tcPr>
            <w:tcW w:w="812" w:type="pct"/>
            <w:tcBorders>
              <w:top w:val="single" w:color="000000" w:sz="4" w:space="0"/>
              <w:left w:val="single" w:color="000000" w:sz="4" w:space="0"/>
              <w:bottom w:val="single" w:color="000000" w:sz="4" w:space="0"/>
              <w:right w:val="single" w:color="000000" w:sz="4" w:space="0"/>
            </w:tcBorders>
            <w:vAlign w:val="center"/>
          </w:tcPr>
          <w:p w14:paraId="7CE7B1C8">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w:t>
            </w:r>
          </w:p>
        </w:tc>
        <w:tc>
          <w:tcPr>
            <w:tcW w:w="873" w:type="pct"/>
            <w:tcBorders>
              <w:top w:val="single" w:color="000000" w:sz="4" w:space="0"/>
              <w:left w:val="single" w:color="000000" w:sz="4" w:space="0"/>
              <w:bottom w:val="single" w:color="000000" w:sz="4" w:space="0"/>
              <w:right w:val="single" w:color="000000" w:sz="4" w:space="0"/>
            </w:tcBorders>
            <w:vAlign w:val="center"/>
          </w:tcPr>
          <w:p w14:paraId="5F9C329A">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投标保证金</w:t>
            </w:r>
          </w:p>
        </w:tc>
        <w:tc>
          <w:tcPr>
            <w:tcW w:w="922" w:type="pct"/>
            <w:tcBorders>
              <w:top w:val="single" w:color="000000" w:sz="4" w:space="0"/>
              <w:left w:val="single" w:color="000000" w:sz="4" w:space="0"/>
              <w:bottom w:val="single" w:color="000000" w:sz="4" w:space="0"/>
              <w:right w:val="single" w:color="000000" w:sz="4" w:space="0"/>
            </w:tcBorders>
            <w:vAlign w:val="center"/>
          </w:tcPr>
          <w:p w14:paraId="064E2A38">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投标报价（元）</w:t>
            </w:r>
          </w:p>
        </w:tc>
        <w:tc>
          <w:tcPr>
            <w:tcW w:w="736" w:type="pct"/>
            <w:tcBorders>
              <w:top w:val="single" w:color="000000" w:sz="4" w:space="0"/>
              <w:left w:val="single" w:color="000000" w:sz="4" w:space="0"/>
              <w:bottom w:val="single" w:color="000000" w:sz="4" w:space="0"/>
              <w:right w:val="single" w:color="000000" w:sz="4" w:space="0"/>
            </w:tcBorders>
            <w:vAlign w:val="center"/>
          </w:tcPr>
          <w:p w14:paraId="7FB66BE0">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备注</w:t>
            </w:r>
          </w:p>
        </w:tc>
        <w:tc>
          <w:tcPr>
            <w:tcW w:w="958" w:type="pct"/>
            <w:tcBorders>
              <w:top w:val="single" w:color="000000" w:sz="4" w:space="0"/>
              <w:left w:val="single" w:color="000000" w:sz="4" w:space="0"/>
              <w:bottom w:val="single" w:color="000000" w:sz="4" w:space="0"/>
              <w:right w:val="single" w:color="000000" w:sz="4" w:space="0"/>
            </w:tcBorders>
            <w:vAlign w:val="center"/>
          </w:tcPr>
          <w:p w14:paraId="14555FCC">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投标人确认</w:t>
            </w:r>
          </w:p>
        </w:tc>
      </w:tr>
      <w:tr w14:paraId="57FE0BB6">
        <w:tblPrEx>
          <w:tblCellMar>
            <w:top w:w="0" w:type="dxa"/>
            <w:left w:w="106" w:type="dxa"/>
            <w:bottom w:w="58" w:type="dxa"/>
            <w:right w:w="99" w:type="dxa"/>
          </w:tblCellMar>
        </w:tblPrEx>
        <w:trPr>
          <w:trHeight w:val="509"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45D96D70">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41484AF6">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0D70A114">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34E02A59">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16C56702">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E0D86ED">
            <w:pPr>
              <w:widowControl w:val="0"/>
              <w:adjustRightInd w:val="0"/>
              <w:snapToGrid w:val="0"/>
              <w:spacing w:after="0" w:line="240" w:lineRule="auto"/>
              <w:jc w:val="center"/>
              <w:rPr>
                <w:rFonts w:ascii="Times New Roman" w:hAnsi="Times New Roman" w:eastAsia="宋体" w:cs="宋体"/>
                <w:color w:val="auto"/>
                <w:sz w:val="28"/>
                <w:szCs w:val="28"/>
              </w:rPr>
            </w:pPr>
          </w:p>
        </w:tc>
      </w:tr>
      <w:tr w14:paraId="7E473152">
        <w:tblPrEx>
          <w:tblCellMar>
            <w:top w:w="0" w:type="dxa"/>
            <w:left w:w="106" w:type="dxa"/>
            <w:bottom w:w="58" w:type="dxa"/>
            <w:right w:w="99" w:type="dxa"/>
          </w:tblCellMar>
        </w:tblPrEx>
        <w:trPr>
          <w:trHeight w:val="511"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4814283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4858DEA4">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146206AF">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0FA71788">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183E797A">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FC6F239">
            <w:pPr>
              <w:widowControl w:val="0"/>
              <w:adjustRightInd w:val="0"/>
              <w:snapToGrid w:val="0"/>
              <w:spacing w:after="0" w:line="240" w:lineRule="auto"/>
              <w:jc w:val="center"/>
              <w:rPr>
                <w:rFonts w:ascii="Times New Roman" w:hAnsi="Times New Roman" w:eastAsia="宋体" w:cs="宋体"/>
                <w:color w:val="auto"/>
                <w:sz w:val="28"/>
                <w:szCs w:val="28"/>
              </w:rPr>
            </w:pPr>
          </w:p>
        </w:tc>
      </w:tr>
      <w:tr w14:paraId="15BE034A">
        <w:tblPrEx>
          <w:tblCellMar>
            <w:top w:w="0" w:type="dxa"/>
            <w:left w:w="106" w:type="dxa"/>
            <w:bottom w:w="58" w:type="dxa"/>
            <w:right w:w="99" w:type="dxa"/>
          </w:tblCellMar>
        </w:tblPrEx>
        <w:trPr>
          <w:trHeight w:val="509"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0C3C14F9">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77FD436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4A10F541">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079DA93D">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46724ED8">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A478B76">
            <w:pPr>
              <w:widowControl w:val="0"/>
              <w:adjustRightInd w:val="0"/>
              <w:snapToGrid w:val="0"/>
              <w:spacing w:after="0" w:line="240" w:lineRule="auto"/>
              <w:jc w:val="center"/>
              <w:rPr>
                <w:rFonts w:ascii="Times New Roman" w:hAnsi="Times New Roman" w:eastAsia="宋体" w:cs="宋体"/>
                <w:color w:val="auto"/>
                <w:sz w:val="28"/>
                <w:szCs w:val="28"/>
              </w:rPr>
            </w:pPr>
          </w:p>
        </w:tc>
      </w:tr>
      <w:tr w14:paraId="51CACFCA">
        <w:tblPrEx>
          <w:tblCellMar>
            <w:top w:w="0" w:type="dxa"/>
            <w:left w:w="106" w:type="dxa"/>
            <w:bottom w:w="58" w:type="dxa"/>
            <w:right w:w="99" w:type="dxa"/>
          </w:tblCellMar>
        </w:tblPrEx>
        <w:trPr>
          <w:trHeight w:val="511"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3590E40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1289D371">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4C814E2C">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17A0C9B3">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0E669818">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10E58FD0">
            <w:pPr>
              <w:widowControl w:val="0"/>
              <w:adjustRightInd w:val="0"/>
              <w:snapToGrid w:val="0"/>
              <w:spacing w:after="0" w:line="240" w:lineRule="auto"/>
              <w:jc w:val="center"/>
              <w:rPr>
                <w:rFonts w:ascii="Times New Roman" w:hAnsi="Times New Roman" w:eastAsia="宋体" w:cs="宋体"/>
                <w:color w:val="auto"/>
                <w:sz w:val="28"/>
                <w:szCs w:val="28"/>
              </w:rPr>
            </w:pPr>
          </w:p>
        </w:tc>
      </w:tr>
      <w:tr w14:paraId="0031F1C7">
        <w:tblPrEx>
          <w:tblCellMar>
            <w:top w:w="0" w:type="dxa"/>
            <w:left w:w="106" w:type="dxa"/>
            <w:bottom w:w="58" w:type="dxa"/>
            <w:right w:w="99" w:type="dxa"/>
          </w:tblCellMar>
        </w:tblPrEx>
        <w:trPr>
          <w:trHeight w:val="509"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6C925F2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465A7001">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1687BFCA">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70D571A9">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477652F6">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15976DE">
            <w:pPr>
              <w:widowControl w:val="0"/>
              <w:adjustRightInd w:val="0"/>
              <w:snapToGrid w:val="0"/>
              <w:spacing w:after="0" w:line="240" w:lineRule="auto"/>
              <w:jc w:val="center"/>
              <w:rPr>
                <w:rFonts w:ascii="Times New Roman" w:hAnsi="Times New Roman" w:eastAsia="宋体" w:cs="宋体"/>
                <w:color w:val="auto"/>
                <w:sz w:val="28"/>
                <w:szCs w:val="28"/>
              </w:rPr>
            </w:pPr>
          </w:p>
        </w:tc>
      </w:tr>
      <w:tr w14:paraId="787F43B5">
        <w:tblPrEx>
          <w:tblCellMar>
            <w:top w:w="0" w:type="dxa"/>
            <w:left w:w="106" w:type="dxa"/>
            <w:bottom w:w="58" w:type="dxa"/>
            <w:right w:w="99" w:type="dxa"/>
          </w:tblCellMar>
        </w:tblPrEx>
        <w:trPr>
          <w:trHeight w:val="511"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17150B94">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1D69EDA8">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03CF136B">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3A289D34">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4323A99C">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4A2E97B8">
            <w:pPr>
              <w:widowControl w:val="0"/>
              <w:adjustRightInd w:val="0"/>
              <w:snapToGrid w:val="0"/>
              <w:spacing w:after="0" w:line="240" w:lineRule="auto"/>
              <w:jc w:val="center"/>
              <w:rPr>
                <w:rFonts w:ascii="Times New Roman" w:hAnsi="Times New Roman" w:eastAsia="宋体" w:cs="宋体"/>
                <w:color w:val="auto"/>
                <w:sz w:val="28"/>
                <w:szCs w:val="28"/>
              </w:rPr>
            </w:pPr>
          </w:p>
        </w:tc>
      </w:tr>
      <w:tr w14:paraId="3B1D9F25">
        <w:tblPrEx>
          <w:tblCellMar>
            <w:top w:w="0" w:type="dxa"/>
            <w:left w:w="106" w:type="dxa"/>
            <w:bottom w:w="58" w:type="dxa"/>
            <w:right w:w="99" w:type="dxa"/>
          </w:tblCellMar>
        </w:tblPrEx>
        <w:trPr>
          <w:trHeight w:val="511" w:hRule="atLeast"/>
          <w:jc w:val="center"/>
        </w:trPr>
        <w:tc>
          <w:tcPr>
            <w:tcW w:w="1509" w:type="pct"/>
            <w:gridSpan w:val="2"/>
            <w:tcBorders>
              <w:top w:val="single" w:color="000000" w:sz="4" w:space="0"/>
              <w:left w:val="single" w:color="000000" w:sz="4" w:space="0"/>
              <w:bottom w:val="single" w:color="000000" w:sz="4" w:space="0"/>
              <w:right w:val="single" w:color="000000" w:sz="4" w:space="0"/>
            </w:tcBorders>
            <w:vAlign w:val="center"/>
          </w:tcPr>
          <w:p w14:paraId="45557D1A">
            <w:pPr>
              <w:widowControl w:val="0"/>
              <w:adjustRightInd w:val="0"/>
              <w:snapToGrid w:val="0"/>
              <w:spacing w:after="0" w:line="240" w:lineRule="auto"/>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最高限价：（元）</w:t>
            </w:r>
          </w:p>
        </w:tc>
        <w:tc>
          <w:tcPr>
            <w:tcW w:w="3490" w:type="pct"/>
            <w:gridSpan w:val="4"/>
            <w:tcBorders>
              <w:top w:val="single" w:color="000000" w:sz="4" w:space="0"/>
              <w:left w:val="single" w:color="000000" w:sz="4" w:space="0"/>
              <w:bottom w:val="single" w:color="000000" w:sz="4" w:space="0"/>
              <w:right w:val="single" w:color="000000" w:sz="4" w:space="0"/>
            </w:tcBorders>
            <w:vAlign w:val="center"/>
          </w:tcPr>
          <w:p w14:paraId="7BAD1C25">
            <w:pPr>
              <w:widowControl w:val="0"/>
              <w:adjustRightInd w:val="0"/>
              <w:snapToGrid w:val="0"/>
              <w:spacing w:after="0" w:line="240" w:lineRule="auto"/>
              <w:rPr>
                <w:rFonts w:ascii="Times New Roman" w:hAnsi="Times New Roman" w:eastAsia="宋体" w:cs="宋体"/>
                <w:color w:val="auto"/>
                <w:sz w:val="28"/>
                <w:szCs w:val="28"/>
              </w:rPr>
            </w:pPr>
          </w:p>
        </w:tc>
      </w:tr>
    </w:tbl>
    <w:p w14:paraId="7A6F10E6">
      <w:pPr>
        <w:widowControl w:val="0"/>
        <w:adjustRightInd w:val="0"/>
        <w:snapToGrid w:val="0"/>
        <w:spacing w:before="156" w:beforeLines="50" w:after="156" w:afterLines="50" w:line="240" w:lineRule="auto"/>
        <w:jc w:val="right"/>
        <w:rPr>
          <w:rFonts w:ascii="Times New Roman" w:hAnsi="Times New Roman" w:eastAsia="宋体" w:cs="宋体"/>
          <w:color w:val="auto"/>
          <w:sz w:val="28"/>
          <w:szCs w:val="28"/>
        </w:rPr>
      </w:pPr>
    </w:p>
    <w:p w14:paraId="11E84C2E">
      <w:pPr>
        <w:rPr>
          <w:rFonts w:ascii="Times New Roman" w:hAnsi="Times New Roman" w:eastAsia="宋体" w:cs="宋体"/>
          <w:color w:val="auto"/>
          <w:sz w:val="28"/>
          <w:szCs w:val="28"/>
        </w:rPr>
      </w:pPr>
      <w:r>
        <w:rPr>
          <w:rFonts w:hint="eastAsia" w:ascii="Times New Roman" w:hAnsi="Times New Roman" w:eastAsia="宋体" w:cs="宋体"/>
          <w:bCs/>
          <w:color w:val="auto"/>
          <w:sz w:val="28"/>
          <w:szCs w:val="28"/>
        </w:rPr>
        <w:t>招标人代表：</w:t>
      </w:r>
      <w:r>
        <w:rPr>
          <w:rFonts w:hint="eastAsia" w:ascii="Times New Roman" w:hAnsi="Times New Roman" w:eastAsia="宋体" w:cs="宋体"/>
          <w:bCs/>
          <w:color w:val="auto"/>
          <w:sz w:val="28"/>
          <w:szCs w:val="28"/>
          <w:u w:val="single"/>
        </w:rPr>
        <w:t xml:space="preserve">            </w:t>
      </w:r>
      <w:r>
        <w:rPr>
          <w:rFonts w:hint="eastAsia" w:ascii="Times New Roman" w:hAnsi="Times New Roman" w:eastAsia="宋体" w:cs="宋体"/>
          <w:bCs/>
          <w:color w:val="auto"/>
          <w:sz w:val="28"/>
          <w:szCs w:val="28"/>
        </w:rPr>
        <w:t xml:space="preserve"> 唱标人：</w:t>
      </w:r>
      <w:r>
        <w:rPr>
          <w:rFonts w:hint="eastAsia" w:ascii="Times New Roman" w:hAnsi="Times New Roman" w:eastAsia="宋体" w:cs="宋体"/>
          <w:bCs/>
          <w:color w:val="auto"/>
          <w:sz w:val="28"/>
          <w:szCs w:val="28"/>
          <w:u w:val="single"/>
        </w:rPr>
        <w:t xml:space="preserve">            </w:t>
      </w:r>
      <w:r>
        <w:rPr>
          <w:rFonts w:hint="eastAsia" w:ascii="Times New Roman" w:hAnsi="Times New Roman" w:eastAsia="宋体" w:cs="宋体"/>
          <w:bCs/>
          <w:color w:val="auto"/>
          <w:sz w:val="28"/>
          <w:szCs w:val="28"/>
        </w:rPr>
        <w:t xml:space="preserve"> 监标人：</w:t>
      </w:r>
      <w:r>
        <w:rPr>
          <w:rFonts w:hint="eastAsia" w:ascii="Times New Roman" w:hAnsi="Times New Roman" w:eastAsia="宋体" w:cs="宋体"/>
          <w:bCs/>
          <w:color w:val="auto"/>
          <w:sz w:val="28"/>
          <w:szCs w:val="28"/>
          <w:u w:val="single"/>
        </w:rPr>
        <w:t xml:space="preserve">         </w:t>
      </w:r>
      <w:r>
        <w:rPr>
          <w:rFonts w:hint="eastAsia" w:ascii="Times New Roman" w:hAnsi="Times New Roman" w:eastAsia="宋体" w:cs="宋体"/>
          <w:color w:val="auto"/>
          <w:sz w:val="28"/>
          <w:szCs w:val="28"/>
        </w:rPr>
        <w:br w:type="page"/>
      </w:r>
    </w:p>
    <w:p w14:paraId="17BF47AC">
      <w:pPr>
        <w:outlineLvl w:val="1"/>
        <w:rPr>
          <w:rFonts w:ascii="Times New Roman" w:hAnsi="Times New Roman" w:eastAsia="宋体" w:cs="宋体"/>
          <w:bCs/>
          <w:color w:val="auto"/>
          <w:sz w:val="28"/>
          <w:szCs w:val="28"/>
        </w:rPr>
      </w:pPr>
      <w:bookmarkStart w:id="229" w:name="_Toc26376"/>
      <w:r>
        <w:rPr>
          <w:rFonts w:hint="eastAsia"/>
          <w:b/>
          <w:sz w:val="28"/>
          <w:szCs w:val="20"/>
        </w:rPr>
        <w:t>附件五：</w:t>
      </w:r>
      <w:bookmarkStart w:id="230" w:name="_Toc1217"/>
      <w:r>
        <w:rPr>
          <w:rFonts w:hint="eastAsia"/>
          <w:b/>
          <w:sz w:val="28"/>
          <w:szCs w:val="20"/>
        </w:rPr>
        <w:t>定标决定</w:t>
      </w:r>
      <w:bookmarkEnd w:id="229"/>
    </w:p>
    <w:p w14:paraId="202D457D">
      <w:pPr>
        <w:spacing w:line="490" w:lineRule="exact"/>
        <w:jc w:val="center"/>
        <w:rPr>
          <w:rFonts w:ascii="Times New Roman" w:hAnsi="Times New Roman" w:eastAsia="宋体" w:cs="Times New Roman"/>
          <w:b/>
          <w:bCs/>
          <w:color w:val="auto"/>
          <w:sz w:val="40"/>
          <w:szCs w:val="20"/>
        </w:rPr>
      </w:pPr>
      <w:r>
        <w:rPr>
          <w:rFonts w:hint="eastAsia" w:ascii="Times New Roman" w:hAnsi="Times New Roman" w:eastAsia="宋体" w:cs="Times New Roman"/>
          <w:b/>
          <w:bCs/>
          <w:color w:val="auto"/>
          <w:sz w:val="40"/>
          <w:szCs w:val="20"/>
        </w:rPr>
        <w:t>定标决定</w:t>
      </w:r>
    </w:p>
    <w:p w14:paraId="03CF8223">
      <w:pPr>
        <w:rPr>
          <w:rFonts w:cs="仿宋"/>
          <w:color w:val="auto"/>
        </w:rPr>
      </w:pPr>
    </w:p>
    <w:p w14:paraId="4AC03542">
      <w:pPr>
        <w:spacing w:line="360" w:lineRule="auto"/>
        <w:rPr>
          <w:rFonts w:ascii="宋体" w:hAnsi="宋体" w:eastAsia="宋体"/>
          <w:color w:val="auto"/>
          <w:sz w:val="24"/>
          <w:szCs w:val="24"/>
        </w:rPr>
      </w:pPr>
      <w:r>
        <w:rPr>
          <w:rFonts w:hint="eastAsia" w:ascii="宋体" w:hAnsi="宋体" w:eastAsia="宋体"/>
          <w:color w:val="auto"/>
          <w:sz w:val="24"/>
          <w:szCs w:val="24"/>
          <w:u w:val="single"/>
        </w:rPr>
        <w:t>（代理机构名称）</w:t>
      </w:r>
      <w:r>
        <w:rPr>
          <w:rFonts w:ascii="宋体" w:hAnsi="宋体" w:eastAsia="宋体"/>
          <w:color w:val="auto"/>
          <w:sz w:val="24"/>
          <w:szCs w:val="24"/>
          <w:u w:val="single"/>
        </w:rPr>
        <w:t xml:space="preserve"> </w:t>
      </w:r>
      <w:r>
        <w:rPr>
          <w:rFonts w:hint="eastAsia" w:ascii="宋体" w:hAnsi="宋体" w:eastAsia="宋体"/>
          <w:color w:val="auto"/>
          <w:sz w:val="24"/>
          <w:szCs w:val="24"/>
        </w:rPr>
        <w:t>：</w:t>
      </w:r>
    </w:p>
    <w:p w14:paraId="4AC7F5D3">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项目名称：</w:t>
      </w:r>
    </w:p>
    <w:p w14:paraId="742E791D">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标段名称：</w:t>
      </w:r>
    </w:p>
    <w:p w14:paraId="35E94918">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标段编号：</w:t>
      </w:r>
    </w:p>
    <w:p w14:paraId="51A5E56D">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本项目于</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年</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月</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日在</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（评标地点）</w:t>
      </w:r>
      <w:r>
        <w:rPr>
          <w:rFonts w:ascii="宋体" w:hAnsi="宋体" w:eastAsia="宋体"/>
          <w:color w:val="auto"/>
          <w:sz w:val="24"/>
          <w:szCs w:val="24"/>
          <w:u w:val="single"/>
        </w:rPr>
        <w:t xml:space="preserve">    </w:t>
      </w:r>
      <w:r>
        <w:rPr>
          <w:rFonts w:hint="eastAsia" w:ascii="宋体" w:hAnsi="宋体" w:eastAsia="宋体"/>
          <w:color w:val="auto"/>
          <w:sz w:val="24"/>
          <w:szCs w:val="24"/>
        </w:rPr>
        <w:t>评标结束，候选人公示期内无异议及投诉，根据评标委员会的推荐意见，按照相关法律法规和招标文件规定，</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（招标人名称）</w:t>
      </w:r>
      <w:r>
        <w:rPr>
          <w:rFonts w:ascii="宋体" w:hAnsi="宋体" w:eastAsia="宋体"/>
          <w:color w:val="auto"/>
          <w:sz w:val="24"/>
          <w:szCs w:val="24"/>
          <w:u w:val="single"/>
        </w:rPr>
        <w:t xml:space="preserve">    </w:t>
      </w:r>
      <w:r>
        <w:rPr>
          <w:rFonts w:hint="eastAsia" w:ascii="宋体" w:hAnsi="宋体" w:eastAsia="宋体"/>
          <w:color w:val="auto"/>
          <w:sz w:val="24"/>
          <w:szCs w:val="24"/>
        </w:rPr>
        <w:t>确定本项目（标段）中标人为：</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（中标人名称）</w:t>
      </w:r>
      <w:r>
        <w:rPr>
          <w:rFonts w:ascii="宋体" w:hAnsi="宋体" w:eastAsia="宋体"/>
          <w:color w:val="auto"/>
          <w:sz w:val="24"/>
          <w:szCs w:val="24"/>
          <w:u w:val="single"/>
        </w:rPr>
        <w:t xml:space="preserve">   </w:t>
      </w:r>
      <w:r>
        <w:rPr>
          <w:rFonts w:hint="eastAsia" w:ascii="宋体" w:hAnsi="宋体" w:eastAsia="宋体"/>
          <w:color w:val="auto"/>
          <w:sz w:val="24"/>
          <w:szCs w:val="24"/>
        </w:rPr>
        <w:t>，中标金额为：</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rPr>
        <w:t>。</w:t>
      </w:r>
    </w:p>
    <w:p w14:paraId="645F59EB">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特此决定。</w:t>
      </w:r>
    </w:p>
    <w:p w14:paraId="3909659D">
      <w:pPr>
        <w:spacing w:before="312" w:beforeLines="100" w:after="312" w:afterLines="100" w:line="480" w:lineRule="auto"/>
        <w:rPr>
          <w:rFonts w:ascii="宋体" w:hAnsi="宋体" w:eastAsia="宋体"/>
          <w:color w:val="auto"/>
          <w:sz w:val="24"/>
          <w:szCs w:val="24"/>
        </w:rPr>
      </w:pPr>
    </w:p>
    <w:p w14:paraId="388BF853">
      <w:pPr>
        <w:spacing w:line="480" w:lineRule="auto"/>
        <w:ind w:firstLine="4200" w:firstLineChars="1750"/>
        <w:rPr>
          <w:rFonts w:ascii="宋体" w:hAnsi="宋体" w:eastAsia="宋体"/>
          <w:color w:val="auto"/>
          <w:sz w:val="24"/>
          <w:szCs w:val="24"/>
        </w:rPr>
      </w:pPr>
    </w:p>
    <w:p w14:paraId="6CC25C25">
      <w:pPr>
        <w:wordWrap w:val="0"/>
        <w:spacing w:line="480" w:lineRule="auto"/>
        <w:jc w:val="right"/>
        <w:rPr>
          <w:rFonts w:ascii="宋体" w:hAnsi="宋体" w:eastAsia="宋体"/>
          <w:color w:val="auto"/>
          <w:sz w:val="24"/>
          <w:szCs w:val="24"/>
        </w:rPr>
      </w:pPr>
      <w:r>
        <w:rPr>
          <w:rFonts w:hint="eastAsia" w:ascii="宋体" w:hAnsi="宋体" w:eastAsia="宋体"/>
          <w:color w:val="auto"/>
          <w:sz w:val="24"/>
          <w:szCs w:val="24"/>
        </w:rPr>
        <w:t>招标人：</w:t>
      </w:r>
      <w:r>
        <w:rPr>
          <w:color w:val="auto"/>
          <w:sz w:val="24"/>
          <w:szCs w:val="24"/>
          <w:u w:val="single"/>
        </w:rPr>
        <w:t xml:space="preserve">       （全称）         </w:t>
      </w:r>
      <w:r>
        <w:rPr>
          <w:color w:val="auto"/>
          <w:sz w:val="24"/>
          <w:szCs w:val="24"/>
        </w:rPr>
        <w:t>（</w:t>
      </w:r>
      <w:r>
        <w:rPr>
          <w:rFonts w:hint="eastAsia" w:cs="仿宋"/>
          <w:color w:val="auto"/>
          <w:sz w:val="24"/>
          <w:szCs w:val="24"/>
        </w:rPr>
        <w:t>盖单位公章</w:t>
      </w:r>
      <w:r>
        <w:rPr>
          <w:color w:val="auto"/>
          <w:sz w:val="24"/>
          <w:szCs w:val="24"/>
        </w:rPr>
        <w:t>）</w:t>
      </w:r>
      <w:r>
        <w:rPr>
          <w:rFonts w:ascii="宋体" w:hAnsi="宋体" w:eastAsia="宋体"/>
          <w:color w:val="auto"/>
          <w:sz w:val="24"/>
          <w:szCs w:val="24"/>
        </w:rPr>
        <w:t xml:space="preserve">  </w:t>
      </w:r>
    </w:p>
    <w:p w14:paraId="7755E908">
      <w:pPr>
        <w:widowControl w:val="0"/>
        <w:adjustRightInd w:val="0"/>
        <w:snapToGrid w:val="0"/>
        <w:spacing w:after="0" w:line="490" w:lineRule="exact"/>
        <w:jc w:val="right"/>
        <w:rPr>
          <w:rFonts w:ascii="Times New Roman" w:hAnsi="Times New Roman" w:eastAsia="宋体" w:cs="宋体"/>
          <w:color w:val="auto"/>
          <w:sz w:val="24"/>
          <w:szCs w:val="24"/>
        </w:rPr>
        <w:sectPr>
          <w:pgSz w:w="11906" w:h="16838"/>
          <w:pgMar w:top="1440" w:right="1800" w:bottom="1440" w:left="1800" w:header="737" w:footer="850" w:gutter="0"/>
          <w:cols w:space="720" w:num="1"/>
          <w:docGrid w:type="lines" w:linePitch="312" w:charSpace="0"/>
        </w:sectPr>
      </w:pPr>
      <w:r>
        <w:rPr>
          <w:color w:val="auto"/>
          <w:sz w:val="24"/>
          <w:szCs w:val="24"/>
          <w:u w:val="single"/>
        </w:rPr>
        <w:t xml:space="preserve">      </w:t>
      </w:r>
      <w:r>
        <w:rPr>
          <w:color w:val="auto"/>
          <w:sz w:val="24"/>
          <w:szCs w:val="24"/>
        </w:rPr>
        <w:t>年</w:t>
      </w:r>
      <w:r>
        <w:rPr>
          <w:color w:val="auto"/>
          <w:sz w:val="24"/>
          <w:szCs w:val="24"/>
          <w:u w:val="single"/>
        </w:rPr>
        <w:t xml:space="preserve">       </w:t>
      </w:r>
      <w:r>
        <w:rPr>
          <w:color w:val="auto"/>
          <w:sz w:val="24"/>
          <w:szCs w:val="24"/>
        </w:rPr>
        <w:t>月</w:t>
      </w:r>
      <w:r>
        <w:rPr>
          <w:color w:val="auto"/>
          <w:sz w:val="24"/>
          <w:szCs w:val="24"/>
          <w:u w:val="single"/>
        </w:rPr>
        <w:t xml:space="preserve">       </w:t>
      </w:r>
      <w:r>
        <w:rPr>
          <w:color w:val="auto"/>
          <w:sz w:val="24"/>
          <w:szCs w:val="24"/>
        </w:rPr>
        <w:t>日</w:t>
      </w:r>
      <w:r>
        <w:rPr>
          <w:rFonts w:hint="eastAsia" w:ascii="Times New Roman" w:hAnsi="Times New Roman" w:eastAsia="宋体" w:cs="宋体"/>
          <w:color w:val="auto"/>
          <w:sz w:val="24"/>
          <w:szCs w:val="24"/>
        </w:rPr>
        <w:t xml:space="preserve"> </w:t>
      </w:r>
      <w:bookmarkEnd w:id="230"/>
      <w:bookmarkStart w:id="231" w:name="_Toc511317972"/>
      <w:bookmarkStart w:id="232" w:name="_Toc511317223"/>
      <w:bookmarkStart w:id="233" w:name="_Toc20031"/>
      <w:bookmarkStart w:id="234" w:name="_Toc259698647"/>
    </w:p>
    <w:p w14:paraId="35D9BFD5">
      <w:pPr>
        <w:pStyle w:val="3"/>
      </w:pPr>
      <w:bookmarkStart w:id="235" w:name="_Toc28778"/>
      <w:r>
        <w:rPr>
          <w:rFonts w:hint="eastAsia"/>
        </w:rPr>
        <w:t>附件</w:t>
      </w:r>
      <w:bookmarkEnd w:id="231"/>
      <w:bookmarkEnd w:id="232"/>
      <w:r>
        <w:rPr>
          <w:rFonts w:hint="eastAsia"/>
        </w:rPr>
        <w:t>六：</w:t>
      </w:r>
      <w:bookmarkEnd w:id="233"/>
      <w:r>
        <w:rPr>
          <w:rFonts w:hint="eastAsia"/>
        </w:rPr>
        <w:t>中标通知书</w:t>
      </w:r>
      <w:bookmarkEnd w:id="235"/>
      <w:r>
        <w:rPr>
          <w:rFonts w:hint="eastAsia"/>
        </w:rPr>
        <w:t xml:space="preserve"> </w:t>
      </w:r>
    </w:p>
    <w:p w14:paraId="7DA125D1">
      <w:pPr>
        <w:spacing w:line="490" w:lineRule="exact"/>
        <w:jc w:val="center"/>
        <w:rPr>
          <w:rFonts w:ascii="宋体" w:hAnsi="宋体" w:eastAsia="宋体" w:cs="宋体"/>
          <w:b/>
          <w:bCs/>
          <w:color w:val="auto"/>
          <w:sz w:val="30"/>
          <w:szCs w:val="30"/>
        </w:rPr>
      </w:pPr>
      <w:r>
        <w:rPr>
          <w:rFonts w:hint="eastAsia" w:ascii="宋体" w:hAnsi="宋体" w:eastAsia="宋体" w:cs="宋体"/>
          <w:b/>
          <w:bCs/>
          <w:color w:val="auto"/>
          <w:sz w:val="30"/>
          <w:szCs w:val="30"/>
        </w:rPr>
        <w:t>中标通知书（货物类）</w:t>
      </w:r>
    </w:p>
    <w:p w14:paraId="2A34C228">
      <w:pPr>
        <w:spacing w:line="240" w:lineRule="exact"/>
        <w:rPr>
          <w:rFonts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编号：</w:t>
      </w:r>
      <w:r>
        <w:rPr>
          <w:rFonts w:hint="eastAsia" w:ascii="宋体" w:hAnsi="宋体" w:eastAsia="宋体" w:cs="宋体"/>
          <w:color w:val="auto"/>
          <w:sz w:val="21"/>
          <w:szCs w:val="21"/>
          <w:u w:val="single"/>
        </w:rPr>
        <w:t xml:space="preserve">                     </w:t>
      </w:r>
    </w:p>
    <w:p w14:paraId="45093C7E">
      <w:pPr>
        <w:spacing w:line="24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你方于</w:t>
      </w:r>
      <w:r>
        <w:rPr>
          <w:rFonts w:hint="eastAsia" w:ascii="宋体" w:hAnsi="宋体" w:eastAsia="宋体" w:cs="宋体"/>
          <w:color w:val="auto"/>
          <w:sz w:val="21"/>
          <w:szCs w:val="21"/>
          <w:u w:val="single"/>
        </w:rPr>
        <w:t xml:space="preserve">   年 月  日 </w:t>
      </w:r>
      <w:r>
        <w:rPr>
          <w:rFonts w:hint="eastAsia" w:ascii="宋体" w:hAnsi="宋体" w:eastAsia="宋体" w:cs="宋体"/>
          <w:color w:val="auto"/>
          <w:sz w:val="21"/>
          <w:szCs w:val="21"/>
        </w:rPr>
        <w:t>所递交的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的投标文件已被我方接受，被确定为中标人。请你单位派代表持本中标通知书及相关资料在接到本通知书后30日内到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与我方签订承包合同。在此之前按照招标文件规定向我方提交履约担保。</w:t>
      </w:r>
    </w:p>
    <w:p w14:paraId="0E627DF3">
      <w:pPr>
        <w:spacing w:line="240" w:lineRule="exact"/>
        <w:ind w:firstLine="422" w:firstLineChars="200"/>
        <w:jc w:val="center"/>
        <w:rPr>
          <w:rFonts w:ascii="宋体" w:hAnsi="宋体" w:eastAsia="宋体" w:cs="宋体"/>
          <w:b/>
          <w:bCs/>
          <w:color w:val="auto"/>
          <w:sz w:val="21"/>
          <w:szCs w:val="21"/>
        </w:rPr>
      </w:pPr>
      <w:r>
        <w:rPr>
          <w:rFonts w:hint="eastAsia" w:ascii="宋体" w:hAnsi="宋体" w:eastAsia="宋体" w:cs="宋体"/>
          <w:b/>
          <w:bCs/>
          <w:color w:val="auto"/>
          <w:sz w:val="21"/>
          <w:szCs w:val="21"/>
        </w:rPr>
        <w:t>工程概况及中标内容</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0"/>
        <w:gridCol w:w="2680"/>
        <w:gridCol w:w="1584"/>
        <w:gridCol w:w="2808"/>
        <w:gridCol w:w="4720"/>
      </w:tblGrid>
      <w:tr w14:paraId="10FF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860" w:type="dxa"/>
            <w:vAlign w:val="center"/>
          </w:tcPr>
          <w:p w14:paraId="73869463">
            <w:pPr>
              <w:pStyle w:val="24"/>
              <w:jc w:val="center"/>
              <w:rPr>
                <w:sz w:val="21"/>
                <w:szCs w:val="21"/>
              </w:rPr>
            </w:pPr>
            <w:r>
              <w:rPr>
                <w:rFonts w:hint="eastAsia"/>
                <w:sz w:val="21"/>
                <w:szCs w:val="21"/>
              </w:rPr>
              <w:t>标段名称</w:t>
            </w:r>
          </w:p>
        </w:tc>
        <w:tc>
          <w:tcPr>
            <w:tcW w:w="11792" w:type="dxa"/>
            <w:gridSpan w:val="4"/>
            <w:vAlign w:val="center"/>
          </w:tcPr>
          <w:p w14:paraId="0CF79440">
            <w:pPr>
              <w:spacing w:line="240" w:lineRule="exact"/>
              <w:ind w:firstLine="420" w:firstLineChars="200"/>
              <w:rPr>
                <w:rFonts w:ascii="宋体" w:hAnsi="宋体" w:eastAsia="宋体" w:cs="宋体"/>
                <w:color w:val="auto"/>
                <w:sz w:val="21"/>
                <w:szCs w:val="21"/>
              </w:rPr>
            </w:pPr>
          </w:p>
        </w:tc>
      </w:tr>
      <w:tr w14:paraId="2CBE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860" w:type="dxa"/>
            <w:vAlign w:val="center"/>
          </w:tcPr>
          <w:p w14:paraId="2668AA46">
            <w:pPr>
              <w:pStyle w:val="24"/>
              <w:jc w:val="center"/>
              <w:rPr>
                <w:sz w:val="21"/>
                <w:szCs w:val="21"/>
              </w:rPr>
            </w:pPr>
            <w:r>
              <w:rPr>
                <w:rFonts w:hint="eastAsia"/>
                <w:sz w:val="21"/>
                <w:szCs w:val="21"/>
              </w:rPr>
              <w:t>供货地址</w:t>
            </w:r>
          </w:p>
        </w:tc>
        <w:tc>
          <w:tcPr>
            <w:tcW w:w="11792" w:type="dxa"/>
            <w:gridSpan w:val="4"/>
            <w:vAlign w:val="center"/>
          </w:tcPr>
          <w:p w14:paraId="1859166D">
            <w:pPr>
              <w:spacing w:line="240" w:lineRule="exact"/>
              <w:ind w:firstLine="420" w:firstLineChars="200"/>
              <w:rPr>
                <w:rFonts w:ascii="宋体" w:hAnsi="宋体" w:eastAsia="宋体" w:cs="宋体"/>
                <w:color w:val="auto"/>
                <w:sz w:val="21"/>
                <w:szCs w:val="21"/>
              </w:rPr>
            </w:pPr>
          </w:p>
        </w:tc>
      </w:tr>
      <w:tr w14:paraId="217C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60" w:type="dxa"/>
            <w:vAlign w:val="center"/>
          </w:tcPr>
          <w:p w14:paraId="10789D35">
            <w:pPr>
              <w:pStyle w:val="24"/>
              <w:jc w:val="center"/>
              <w:rPr>
                <w:sz w:val="21"/>
                <w:szCs w:val="21"/>
              </w:rPr>
            </w:pPr>
            <w:r>
              <w:rPr>
                <w:rFonts w:hint="eastAsia"/>
                <w:sz w:val="21"/>
                <w:szCs w:val="21"/>
              </w:rPr>
              <w:t>中标内容</w:t>
            </w:r>
          </w:p>
        </w:tc>
        <w:tc>
          <w:tcPr>
            <w:tcW w:w="11792" w:type="dxa"/>
            <w:gridSpan w:val="4"/>
            <w:vAlign w:val="center"/>
          </w:tcPr>
          <w:p w14:paraId="7E33BA3D">
            <w:pPr>
              <w:spacing w:line="240" w:lineRule="exact"/>
              <w:ind w:firstLine="420" w:firstLineChars="200"/>
              <w:rPr>
                <w:rFonts w:ascii="宋体" w:hAnsi="宋体" w:eastAsia="宋体" w:cs="宋体"/>
                <w:color w:val="auto"/>
                <w:sz w:val="21"/>
                <w:szCs w:val="21"/>
              </w:rPr>
            </w:pPr>
          </w:p>
        </w:tc>
      </w:tr>
      <w:tr w14:paraId="1358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860" w:type="dxa"/>
            <w:vAlign w:val="center"/>
          </w:tcPr>
          <w:p w14:paraId="491F1783">
            <w:pPr>
              <w:pStyle w:val="24"/>
              <w:jc w:val="center"/>
              <w:rPr>
                <w:sz w:val="21"/>
                <w:szCs w:val="21"/>
              </w:rPr>
            </w:pPr>
            <w:r>
              <w:rPr>
                <w:rFonts w:hint="eastAsia"/>
                <w:sz w:val="21"/>
                <w:szCs w:val="21"/>
              </w:rPr>
              <w:t>计划供货期</w:t>
            </w:r>
          </w:p>
        </w:tc>
        <w:tc>
          <w:tcPr>
            <w:tcW w:w="4264" w:type="dxa"/>
            <w:gridSpan w:val="2"/>
            <w:vAlign w:val="center"/>
          </w:tcPr>
          <w:p w14:paraId="48D5E9FC">
            <w:pPr>
              <w:spacing w:line="240" w:lineRule="exact"/>
              <w:ind w:firstLine="420" w:firstLineChars="200"/>
              <w:rPr>
                <w:rFonts w:ascii="宋体" w:hAnsi="宋体" w:eastAsia="宋体" w:cs="宋体"/>
                <w:color w:val="auto"/>
                <w:sz w:val="21"/>
                <w:szCs w:val="21"/>
              </w:rPr>
            </w:pPr>
          </w:p>
        </w:tc>
        <w:tc>
          <w:tcPr>
            <w:tcW w:w="2808" w:type="dxa"/>
            <w:vAlign w:val="center"/>
          </w:tcPr>
          <w:p w14:paraId="517E49E1">
            <w:pPr>
              <w:pStyle w:val="24"/>
              <w:jc w:val="center"/>
              <w:rPr>
                <w:sz w:val="21"/>
                <w:szCs w:val="21"/>
              </w:rPr>
            </w:pPr>
            <w:r>
              <w:rPr>
                <w:rFonts w:hint="eastAsia"/>
                <w:sz w:val="21"/>
                <w:szCs w:val="21"/>
              </w:rPr>
              <w:t>总供货期（日历天）</w:t>
            </w:r>
          </w:p>
        </w:tc>
        <w:tc>
          <w:tcPr>
            <w:tcW w:w="4720" w:type="dxa"/>
            <w:vAlign w:val="center"/>
          </w:tcPr>
          <w:p w14:paraId="74E514B4">
            <w:pPr>
              <w:spacing w:line="240" w:lineRule="exact"/>
              <w:ind w:firstLine="420" w:firstLineChars="200"/>
              <w:rPr>
                <w:rFonts w:ascii="宋体" w:hAnsi="宋体" w:eastAsia="宋体" w:cs="宋体"/>
                <w:color w:val="auto"/>
                <w:sz w:val="21"/>
                <w:szCs w:val="21"/>
              </w:rPr>
            </w:pPr>
          </w:p>
        </w:tc>
      </w:tr>
      <w:tr w14:paraId="6508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60" w:type="dxa"/>
            <w:vAlign w:val="center"/>
          </w:tcPr>
          <w:p w14:paraId="36EA33E3">
            <w:pPr>
              <w:pStyle w:val="24"/>
              <w:jc w:val="center"/>
              <w:rPr>
                <w:sz w:val="21"/>
                <w:szCs w:val="21"/>
              </w:rPr>
            </w:pPr>
            <w:r>
              <w:rPr>
                <w:rFonts w:hint="eastAsia"/>
                <w:sz w:val="21"/>
                <w:szCs w:val="21"/>
              </w:rPr>
              <w:t>项目负责人</w:t>
            </w:r>
          </w:p>
        </w:tc>
        <w:tc>
          <w:tcPr>
            <w:tcW w:w="4264" w:type="dxa"/>
            <w:gridSpan w:val="2"/>
            <w:vAlign w:val="center"/>
          </w:tcPr>
          <w:p w14:paraId="51D5574B">
            <w:pPr>
              <w:spacing w:line="240" w:lineRule="exact"/>
              <w:ind w:firstLine="420" w:firstLineChars="200"/>
              <w:rPr>
                <w:rFonts w:ascii="宋体" w:hAnsi="宋体" w:eastAsia="宋体" w:cs="宋体"/>
                <w:color w:val="auto"/>
                <w:sz w:val="21"/>
                <w:szCs w:val="21"/>
              </w:rPr>
            </w:pPr>
          </w:p>
        </w:tc>
        <w:tc>
          <w:tcPr>
            <w:tcW w:w="2808" w:type="dxa"/>
            <w:vAlign w:val="center"/>
          </w:tcPr>
          <w:p w14:paraId="0082AB32">
            <w:pPr>
              <w:pStyle w:val="24"/>
              <w:jc w:val="center"/>
              <w:rPr>
                <w:sz w:val="21"/>
                <w:szCs w:val="21"/>
              </w:rPr>
            </w:pPr>
            <w:r>
              <w:rPr>
                <w:rFonts w:hint="eastAsia"/>
                <w:sz w:val="21"/>
                <w:szCs w:val="21"/>
              </w:rPr>
              <w:t>质量标准</w:t>
            </w:r>
          </w:p>
        </w:tc>
        <w:tc>
          <w:tcPr>
            <w:tcW w:w="4720" w:type="dxa"/>
            <w:vAlign w:val="center"/>
          </w:tcPr>
          <w:p w14:paraId="2FEE5390">
            <w:pPr>
              <w:spacing w:line="240" w:lineRule="exact"/>
              <w:ind w:firstLine="420" w:firstLineChars="200"/>
              <w:rPr>
                <w:rFonts w:ascii="宋体" w:hAnsi="宋体" w:eastAsia="宋体" w:cs="宋体"/>
                <w:color w:val="auto"/>
                <w:sz w:val="21"/>
                <w:szCs w:val="21"/>
              </w:rPr>
            </w:pPr>
          </w:p>
        </w:tc>
      </w:tr>
      <w:tr w14:paraId="0C8D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60" w:type="dxa"/>
            <w:vMerge w:val="restart"/>
            <w:vAlign w:val="center"/>
          </w:tcPr>
          <w:p w14:paraId="14911EE1">
            <w:pPr>
              <w:pStyle w:val="24"/>
              <w:jc w:val="center"/>
              <w:rPr>
                <w:sz w:val="21"/>
                <w:szCs w:val="21"/>
              </w:rPr>
            </w:pPr>
            <w:r>
              <w:rPr>
                <w:rFonts w:hint="eastAsia"/>
                <w:sz w:val="21"/>
                <w:szCs w:val="21"/>
              </w:rPr>
              <w:t>中标金额</w:t>
            </w:r>
          </w:p>
        </w:tc>
        <w:tc>
          <w:tcPr>
            <w:tcW w:w="11792" w:type="dxa"/>
            <w:gridSpan w:val="4"/>
            <w:vAlign w:val="center"/>
          </w:tcPr>
          <w:p w14:paraId="1E5A62D3">
            <w:pPr>
              <w:pStyle w:val="24"/>
              <w:rPr>
                <w:sz w:val="21"/>
                <w:szCs w:val="21"/>
              </w:rPr>
            </w:pPr>
            <w:r>
              <w:rPr>
                <w:rFonts w:hint="eastAsia"/>
                <w:sz w:val="21"/>
                <w:szCs w:val="21"/>
              </w:rPr>
              <w:t>大写：</w:t>
            </w:r>
          </w:p>
        </w:tc>
      </w:tr>
      <w:tr w14:paraId="3EC37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860" w:type="dxa"/>
            <w:vMerge w:val="continue"/>
            <w:vAlign w:val="center"/>
          </w:tcPr>
          <w:p w14:paraId="3E60205D">
            <w:pPr>
              <w:pStyle w:val="24"/>
              <w:rPr>
                <w:sz w:val="21"/>
                <w:szCs w:val="21"/>
              </w:rPr>
            </w:pPr>
          </w:p>
        </w:tc>
        <w:tc>
          <w:tcPr>
            <w:tcW w:w="11792" w:type="dxa"/>
            <w:gridSpan w:val="4"/>
            <w:vAlign w:val="center"/>
          </w:tcPr>
          <w:p w14:paraId="08C66954">
            <w:pPr>
              <w:pStyle w:val="24"/>
              <w:rPr>
                <w:sz w:val="21"/>
                <w:szCs w:val="21"/>
              </w:rPr>
            </w:pPr>
            <w:r>
              <w:rPr>
                <w:rFonts w:hint="eastAsia"/>
                <w:sz w:val="21"/>
                <w:szCs w:val="21"/>
              </w:rPr>
              <w:t>小写：</w:t>
            </w:r>
          </w:p>
        </w:tc>
      </w:tr>
      <w:tr w14:paraId="084C8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860" w:type="dxa"/>
            <w:vAlign w:val="center"/>
          </w:tcPr>
          <w:p w14:paraId="6ADEF3EF">
            <w:pPr>
              <w:pStyle w:val="24"/>
              <w:jc w:val="center"/>
              <w:rPr>
                <w:sz w:val="21"/>
                <w:szCs w:val="21"/>
              </w:rPr>
            </w:pPr>
            <w:r>
              <w:rPr>
                <w:rFonts w:hint="eastAsia"/>
                <w:sz w:val="21"/>
                <w:szCs w:val="21"/>
              </w:rPr>
              <w:t>需要说明的事项</w:t>
            </w:r>
          </w:p>
        </w:tc>
        <w:tc>
          <w:tcPr>
            <w:tcW w:w="11792" w:type="dxa"/>
            <w:gridSpan w:val="4"/>
            <w:vAlign w:val="center"/>
          </w:tcPr>
          <w:p w14:paraId="06410AEB">
            <w:pPr>
              <w:spacing w:line="240" w:lineRule="exact"/>
              <w:ind w:firstLine="420" w:firstLineChars="200"/>
              <w:rPr>
                <w:rFonts w:ascii="宋体" w:hAnsi="宋体" w:eastAsia="宋体" w:cs="宋体"/>
                <w:color w:val="auto"/>
                <w:sz w:val="21"/>
                <w:szCs w:val="21"/>
              </w:rPr>
            </w:pPr>
          </w:p>
        </w:tc>
      </w:tr>
      <w:tr w14:paraId="78A2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4540" w:type="dxa"/>
            <w:gridSpan w:val="2"/>
            <w:vAlign w:val="center"/>
          </w:tcPr>
          <w:p w14:paraId="7BC43280">
            <w:pPr>
              <w:pStyle w:val="24"/>
              <w:rPr>
                <w:sz w:val="21"/>
                <w:szCs w:val="21"/>
              </w:rPr>
            </w:pPr>
            <w:r>
              <w:rPr>
                <w:rFonts w:hint="eastAsia"/>
                <w:sz w:val="21"/>
                <w:szCs w:val="21"/>
              </w:rPr>
              <w:t>招标人（盖章）</w:t>
            </w:r>
          </w:p>
          <w:p w14:paraId="30D25841">
            <w:pPr>
              <w:pStyle w:val="24"/>
              <w:rPr>
                <w:sz w:val="21"/>
                <w:szCs w:val="21"/>
              </w:rPr>
            </w:pPr>
            <w:r>
              <w:rPr>
                <w:rFonts w:hint="eastAsia"/>
                <w:sz w:val="21"/>
                <w:szCs w:val="21"/>
              </w:rPr>
              <w:t>法定代表（签章）</w:t>
            </w:r>
          </w:p>
          <w:p w14:paraId="109083EB">
            <w:pPr>
              <w:pStyle w:val="24"/>
              <w:ind w:firstLine="2100" w:firstLineChars="1000"/>
              <w:rPr>
                <w:rFonts w:hAnsi="宋体" w:cs="宋体"/>
                <w:sz w:val="21"/>
                <w:szCs w:val="21"/>
              </w:rPr>
            </w:pPr>
            <w:r>
              <w:rPr>
                <w:rFonts w:hint="eastAsia"/>
                <w:sz w:val="21"/>
                <w:szCs w:val="21"/>
              </w:rPr>
              <w:t>年   月   日</w:t>
            </w:r>
          </w:p>
        </w:tc>
        <w:tc>
          <w:tcPr>
            <w:tcW w:w="4392" w:type="dxa"/>
            <w:gridSpan w:val="2"/>
            <w:vAlign w:val="center"/>
          </w:tcPr>
          <w:p w14:paraId="13217ABB">
            <w:pPr>
              <w:pStyle w:val="24"/>
              <w:rPr>
                <w:sz w:val="21"/>
                <w:szCs w:val="21"/>
              </w:rPr>
            </w:pPr>
            <w:r>
              <w:rPr>
                <w:rFonts w:hint="eastAsia"/>
                <w:sz w:val="21"/>
                <w:szCs w:val="21"/>
              </w:rPr>
              <w:t>招标代理（盖章）</w:t>
            </w:r>
          </w:p>
          <w:p w14:paraId="066E1FCB">
            <w:pPr>
              <w:pStyle w:val="24"/>
              <w:rPr>
                <w:sz w:val="21"/>
                <w:szCs w:val="21"/>
              </w:rPr>
            </w:pPr>
            <w:r>
              <w:rPr>
                <w:rFonts w:hint="eastAsia"/>
                <w:sz w:val="21"/>
                <w:szCs w:val="21"/>
              </w:rPr>
              <w:t>法定代表（签章）</w:t>
            </w:r>
          </w:p>
          <w:p w14:paraId="49C669A4">
            <w:pPr>
              <w:pStyle w:val="24"/>
              <w:ind w:firstLine="2100" w:firstLineChars="1000"/>
              <w:rPr>
                <w:rFonts w:hAnsi="宋体" w:cs="宋体"/>
                <w:sz w:val="21"/>
                <w:szCs w:val="21"/>
              </w:rPr>
            </w:pPr>
            <w:r>
              <w:rPr>
                <w:rFonts w:hint="eastAsia"/>
                <w:sz w:val="21"/>
                <w:szCs w:val="21"/>
              </w:rPr>
              <w:t>年   月   日</w:t>
            </w:r>
          </w:p>
        </w:tc>
        <w:tc>
          <w:tcPr>
            <w:tcW w:w="4720" w:type="dxa"/>
            <w:vAlign w:val="center"/>
          </w:tcPr>
          <w:p w14:paraId="5BCF8993">
            <w:pPr>
              <w:pStyle w:val="24"/>
              <w:rPr>
                <w:sz w:val="21"/>
                <w:szCs w:val="21"/>
              </w:rPr>
            </w:pPr>
            <w:r>
              <w:rPr>
                <w:rFonts w:hint="eastAsia"/>
                <w:sz w:val="21"/>
                <w:szCs w:val="21"/>
              </w:rPr>
              <w:t>监管部门（盖章）</w:t>
            </w:r>
          </w:p>
          <w:p w14:paraId="43DDB3CE">
            <w:pPr>
              <w:pStyle w:val="24"/>
              <w:rPr>
                <w:sz w:val="21"/>
                <w:szCs w:val="21"/>
              </w:rPr>
            </w:pPr>
            <w:r>
              <w:rPr>
                <w:rFonts w:hint="eastAsia"/>
                <w:sz w:val="21"/>
                <w:szCs w:val="21"/>
              </w:rPr>
              <w:t>经办人（签章）</w:t>
            </w:r>
          </w:p>
          <w:p w14:paraId="2B47B2CA">
            <w:pPr>
              <w:pStyle w:val="24"/>
              <w:ind w:firstLine="2520" w:firstLineChars="1200"/>
              <w:rPr>
                <w:rFonts w:hAnsi="宋体" w:cs="宋体"/>
                <w:sz w:val="21"/>
                <w:szCs w:val="21"/>
              </w:rPr>
            </w:pPr>
            <w:r>
              <w:rPr>
                <w:rFonts w:hint="eastAsia"/>
                <w:sz w:val="21"/>
                <w:szCs w:val="21"/>
              </w:rPr>
              <w:t>年  月  日</w:t>
            </w:r>
          </w:p>
        </w:tc>
      </w:tr>
      <w:bookmarkEnd w:id="234"/>
    </w:tbl>
    <w:p w14:paraId="15709F84">
      <w:pPr>
        <w:spacing w:line="490" w:lineRule="exact"/>
        <w:outlineLvl w:val="2"/>
        <w:rPr>
          <w:b/>
          <w:sz w:val="28"/>
          <w:szCs w:val="20"/>
        </w:rPr>
        <w:sectPr>
          <w:pgSz w:w="16838" w:h="11906" w:orient="landscape"/>
          <w:pgMar w:top="1800" w:right="1440" w:bottom="1800" w:left="1440" w:header="737" w:footer="850" w:gutter="0"/>
          <w:cols w:space="720" w:num="1"/>
          <w:docGrid w:type="lines" w:linePitch="312" w:charSpace="0"/>
        </w:sectPr>
      </w:pPr>
      <w:bookmarkStart w:id="236" w:name="_Toc23852"/>
      <w:bookmarkStart w:id="237" w:name="_Toc56792767"/>
      <w:bookmarkStart w:id="238" w:name="_Toc18341"/>
      <w:bookmarkStart w:id="239" w:name="_Toc7781"/>
      <w:bookmarkStart w:id="240" w:name="_Toc27545"/>
      <w:bookmarkStart w:id="241" w:name="_Toc8185"/>
      <w:bookmarkStart w:id="242" w:name="_Toc17550"/>
    </w:p>
    <w:p w14:paraId="1CA43F2E">
      <w:pPr>
        <w:pStyle w:val="3"/>
      </w:pPr>
      <w:bookmarkStart w:id="243" w:name="_Toc30527"/>
      <w:r>
        <w:t>附件</w:t>
      </w:r>
      <w:r>
        <w:rPr>
          <w:rFonts w:hint="eastAsia"/>
        </w:rPr>
        <w:t>七：中标结果通知书</w:t>
      </w:r>
      <w:bookmarkEnd w:id="243"/>
    </w:p>
    <w:p w14:paraId="64189256">
      <w:pPr>
        <w:spacing w:line="490" w:lineRule="exact"/>
        <w:jc w:val="center"/>
        <w:rPr>
          <w:bCs/>
          <w:sz w:val="36"/>
          <w:szCs w:val="20"/>
        </w:rPr>
      </w:pPr>
    </w:p>
    <w:p w14:paraId="1DB2EA26">
      <w:pPr>
        <w:pStyle w:val="12"/>
        <w:spacing w:line="490" w:lineRule="exact"/>
        <w:ind w:left="803" w:hanging="803"/>
        <w:jc w:val="center"/>
        <w:rPr>
          <w:b/>
          <w:sz w:val="40"/>
          <w:szCs w:val="28"/>
        </w:rPr>
      </w:pPr>
      <w:bookmarkStart w:id="244" w:name="_Toc259698650"/>
      <w:r>
        <w:rPr>
          <w:b/>
          <w:sz w:val="40"/>
          <w:szCs w:val="28"/>
        </w:rPr>
        <w:t>中标结果通知书</w:t>
      </w:r>
      <w:bookmarkEnd w:id="244"/>
      <w:r>
        <w:rPr>
          <w:b/>
          <w:sz w:val="40"/>
          <w:szCs w:val="28"/>
        </w:rPr>
        <w:t>（如有）</w:t>
      </w:r>
    </w:p>
    <w:p w14:paraId="73CD85C6">
      <w:pPr>
        <w:spacing w:line="490" w:lineRule="exact"/>
        <w:jc w:val="center"/>
        <w:rPr>
          <w:sz w:val="28"/>
        </w:rPr>
      </w:pPr>
    </w:p>
    <w:p w14:paraId="2E91F232">
      <w:pPr>
        <w:spacing w:line="490" w:lineRule="exact"/>
        <w:jc w:val="center"/>
        <w:rPr>
          <w:sz w:val="28"/>
          <w:szCs w:val="28"/>
          <w:u w:val="single"/>
        </w:rPr>
      </w:pPr>
      <w:r>
        <w:rPr>
          <w:sz w:val="28"/>
          <w:szCs w:val="28"/>
        </w:rPr>
        <w:t xml:space="preserve">                                 编号：</w:t>
      </w:r>
      <w:r>
        <w:rPr>
          <w:sz w:val="28"/>
          <w:szCs w:val="28"/>
          <w:u w:val="single"/>
        </w:rPr>
        <w:t xml:space="preserve">             </w:t>
      </w:r>
    </w:p>
    <w:p w14:paraId="300525FB">
      <w:pPr>
        <w:spacing w:line="490" w:lineRule="exact"/>
        <w:jc w:val="center"/>
        <w:rPr>
          <w:sz w:val="28"/>
          <w:szCs w:val="32"/>
        </w:rPr>
      </w:pPr>
    </w:p>
    <w:p w14:paraId="508EE267">
      <w:pPr>
        <w:pStyle w:val="7"/>
        <w:spacing w:line="490" w:lineRule="exact"/>
        <w:ind w:left="0" w:leftChars="0"/>
        <w:rPr>
          <w:sz w:val="28"/>
          <w:szCs w:val="32"/>
        </w:rPr>
      </w:pPr>
      <w:r>
        <w:rPr>
          <w:sz w:val="28"/>
          <w:szCs w:val="32"/>
          <w:u w:val="single"/>
        </w:rPr>
        <w:t xml:space="preserve">                </w:t>
      </w:r>
      <w:r>
        <w:rPr>
          <w:sz w:val="28"/>
          <w:szCs w:val="32"/>
        </w:rPr>
        <w:t>（未中标人名称）：</w:t>
      </w:r>
    </w:p>
    <w:p w14:paraId="1490698E">
      <w:pPr>
        <w:autoSpaceDE w:val="0"/>
        <w:autoSpaceDN w:val="0"/>
        <w:adjustRightInd w:val="0"/>
        <w:spacing w:line="490" w:lineRule="exact"/>
        <w:ind w:firstLine="560" w:firstLineChars="200"/>
        <w:rPr>
          <w:sz w:val="28"/>
          <w:szCs w:val="32"/>
        </w:rPr>
      </w:pPr>
      <w:r>
        <w:rPr>
          <w:sz w:val="28"/>
          <w:szCs w:val="32"/>
        </w:rPr>
        <w:t>我方已接受</w:t>
      </w:r>
      <w:r>
        <w:rPr>
          <w:sz w:val="28"/>
          <w:szCs w:val="32"/>
          <w:u w:val="single"/>
        </w:rPr>
        <w:t xml:space="preserve">          </w:t>
      </w:r>
      <w:r>
        <w:rPr>
          <w:sz w:val="28"/>
          <w:szCs w:val="32"/>
        </w:rPr>
        <w:t>（中标人名称）于</w:t>
      </w:r>
      <w:r>
        <w:rPr>
          <w:sz w:val="28"/>
          <w:szCs w:val="32"/>
          <w:u w:val="single"/>
        </w:rPr>
        <w:t xml:space="preserve">         </w:t>
      </w:r>
      <w:r>
        <w:rPr>
          <w:sz w:val="28"/>
          <w:szCs w:val="32"/>
        </w:rPr>
        <w:t>（投标日期）所递交的</w:t>
      </w:r>
      <w:r>
        <w:rPr>
          <w:sz w:val="28"/>
          <w:szCs w:val="32"/>
          <w:u w:val="single"/>
        </w:rPr>
        <w:t xml:space="preserve">           </w:t>
      </w:r>
      <w:r>
        <w:rPr>
          <w:sz w:val="28"/>
          <w:szCs w:val="32"/>
        </w:rPr>
        <w:t>（项目名称）</w:t>
      </w:r>
      <w:r>
        <w:rPr>
          <w:sz w:val="28"/>
          <w:szCs w:val="32"/>
          <w:u w:val="single"/>
        </w:rPr>
        <w:t xml:space="preserve">             </w:t>
      </w:r>
      <w:r>
        <w:rPr>
          <w:sz w:val="28"/>
          <w:szCs w:val="32"/>
        </w:rPr>
        <w:t>（标段名称）投标文件，确定</w:t>
      </w:r>
      <w:r>
        <w:rPr>
          <w:sz w:val="28"/>
          <w:szCs w:val="32"/>
          <w:u w:val="single"/>
        </w:rPr>
        <w:t xml:space="preserve">           </w:t>
      </w:r>
      <w:r>
        <w:rPr>
          <w:sz w:val="28"/>
          <w:szCs w:val="32"/>
        </w:rPr>
        <w:t>（中标人名称）为中标人。</w:t>
      </w:r>
    </w:p>
    <w:p w14:paraId="032E21CA">
      <w:pPr>
        <w:autoSpaceDE w:val="0"/>
        <w:autoSpaceDN w:val="0"/>
        <w:adjustRightInd w:val="0"/>
        <w:spacing w:line="490" w:lineRule="exact"/>
        <w:ind w:firstLine="560" w:firstLineChars="200"/>
        <w:rPr>
          <w:sz w:val="28"/>
          <w:szCs w:val="32"/>
        </w:rPr>
      </w:pPr>
      <w:r>
        <w:rPr>
          <w:sz w:val="28"/>
          <w:szCs w:val="32"/>
        </w:rPr>
        <w:t>感谢你单位对我方工作的大力支持！</w:t>
      </w:r>
    </w:p>
    <w:p w14:paraId="1BD2F483">
      <w:pPr>
        <w:spacing w:line="490" w:lineRule="exact"/>
        <w:rPr>
          <w:sz w:val="28"/>
          <w:szCs w:val="32"/>
        </w:rPr>
      </w:pPr>
    </w:p>
    <w:p w14:paraId="06FB0CED">
      <w:pPr>
        <w:spacing w:line="490" w:lineRule="exact"/>
        <w:rPr>
          <w:sz w:val="28"/>
          <w:szCs w:val="32"/>
        </w:rPr>
      </w:pPr>
    </w:p>
    <w:p w14:paraId="682BA794">
      <w:pPr>
        <w:spacing w:line="490" w:lineRule="exact"/>
        <w:rPr>
          <w:sz w:val="28"/>
          <w:szCs w:val="32"/>
        </w:rPr>
      </w:pPr>
    </w:p>
    <w:p w14:paraId="6DC8BD8B">
      <w:pPr>
        <w:spacing w:line="490" w:lineRule="exact"/>
        <w:ind w:firstLine="1822" w:firstLineChars="651"/>
        <w:rPr>
          <w:sz w:val="28"/>
          <w:szCs w:val="32"/>
        </w:rPr>
      </w:pPr>
      <w:r>
        <w:rPr>
          <w:sz w:val="28"/>
          <w:szCs w:val="32"/>
        </w:rPr>
        <w:t>招  标  人：</w:t>
      </w:r>
      <w:r>
        <w:rPr>
          <w:sz w:val="28"/>
          <w:szCs w:val="32"/>
          <w:u w:val="single"/>
        </w:rPr>
        <w:t xml:space="preserve">       （全称）   </w:t>
      </w:r>
      <w:r>
        <w:rPr>
          <w:rFonts w:hint="eastAsia"/>
          <w:sz w:val="28"/>
          <w:szCs w:val="32"/>
          <w:u w:val="single"/>
        </w:rPr>
        <w:t xml:space="preserve">  </w:t>
      </w:r>
      <w:r>
        <w:rPr>
          <w:sz w:val="28"/>
          <w:szCs w:val="32"/>
          <w:u w:val="single"/>
        </w:rPr>
        <w:t xml:space="preserve">   </w:t>
      </w:r>
      <w:r>
        <w:rPr>
          <w:sz w:val="28"/>
          <w:szCs w:val="32"/>
        </w:rPr>
        <w:t>（</w:t>
      </w:r>
      <w:r>
        <w:rPr>
          <w:rFonts w:hint="eastAsia" w:cs="仿宋"/>
          <w:sz w:val="28"/>
          <w:szCs w:val="32"/>
        </w:rPr>
        <w:t>盖单位公章</w:t>
      </w:r>
      <w:r>
        <w:rPr>
          <w:sz w:val="28"/>
          <w:szCs w:val="32"/>
        </w:rPr>
        <w:t>）</w:t>
      </w:r>
    </w:p>
    <w:p w14:paraId="491C6319">
      <w:pPr>
        <w:spacing w:line="490" w:lineRule="exact"/>
        <w:ind w:right="420" w:firstLine="1822" w:firstLineChars="651"/>
        <w:rPr>
          <w:sz w:val="28"/>
          <w:szCs w:val="32"/>
        </w:rPr>
      </w:pPr>
      <w:r>
        <w:rPr>
          <w:sz w:val="28"/>
          <w:szCs w:val="32"/>
        </w:rPr>
        <w:t>法定代表人：</w:t>
      </w:r>
      <w:r>
        <w:rPr>
          <w:sz w:val="28"/>
          <w:szCs w:val="32"/>
          <w:u w:val="single"/>
        </w:rPr>
        <w:t xml:space="preserve">      </w:t>
      </w:r>
      <w:r>
        <w:rPr>
          <w:rFonts w:hint="eastAsia" w:cs="仿宋"/>
          <w:sz w:val="28"/>
          <w:szCs w:val="32"/>
          <w:u w:val="single"/>
        </w:rPr>
        <w:t>（签字或盖章）</w:t>
      </w:r>
      <w:r>
        <w:rPr>
          <w:sz w:val="28"/>
          <w:szCs w:val="32"/>
          <w:u w:val="single"/>
        </w:rPr>
        <w:t xml:space="preserve">        </w:t>
      </w:r>
    </w:p>
    <w:p w14:paraId="61129B9C">
      <w:pPr>
        <w:spacing w:line="490" w:lineRule="exact"/>
        <w:ind w:right="420" w:firstLine="3780" w:firstLineChars="1350"/>
        <w:rPr>
          <w:sz w:val="28"/>
          <w:szCs w:val="32"/>
        </w:rPr>
      </w:pP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p>
    <w:p w14:paraId="21E88E3C">
      <w:pPr>
        <w:sectPr>
          <w:pgSz w:w="11906" w:h="16838"/>
          <w:pgMar w:top="1440" w:right="1800" w:bottom="1440" w:left="1800" w:header="737" w:footer="850" w:gutter="0"/>
          <w:cols w:space="720" w:num="1"/>
          <w:docGrid w:type="lines" w:linePitch="312" w:charSpace="0"/>
        </w:sectPr>
      </w:pPr>
    </w:p>
    <w:p w14:paraId="71A5501D">
      <w:pPr>
        <w:pStyle w:val="2"/>
        <w:keepNext w:val="0"/>
        <w:keepLines w:val="0"/>
        <w:widowControl w:val="0"/>
        <w:adjustRightInd w:val="0"/>
        <w:snapToGrid w:val="0"/>
        <w:spacing w:after="0"/>
        <w:ind w:left="0" w:right="0"/>
        <w:rPr>
          <w:rFonts w:ascii="Times New Roman" w:hAnsi="Times New Roman" w:eastAsia="宋体" w:cs="Times New Roman"/>
          <w:b/>
          <w:bCs/>
          <w:color w:val="auto"/>
          <w:sz w:val="36"/>
        </w:rPr>
      </w:pPr>
      <w:bookmarkStart w:id="245" w:name="_Toc31745"/>
      <w:r>
        <w:rPr>
          <w:rFonts w:hint="eastAsia" w:ascii="Times New Roman" w:hAnsi="Times New Roman" w:eastAsia="宋体" w:cs="Times New Roman"/>
          <w:b/>
          <w:bCs/>
          <w:color w:val="auto"/>
          <w:sz w:val="36"/>
          <w:szCs w:val="44"/>
        </w:rPr>
        <w:t>第三章 评标办法（综合评估法）</w:t>
      </w:r>
      <w:bookmarkEnd w:id="236"/>
      <w:bookmarkEnd w:id="245"/>
    </w:p>
    <w:p w14:paraId="6DFF4AD7">
      <w:pPr>
        <w:pStyle w:val="3"/>
        <w:spacing w:after="156" w:afterLines="50"/>
        <w:jc w:val="center"/>
      </w:pPr>
      <w:bookmarkStart w:id="246" w:name="_Toc23405"/>
      <w:r>
        <w:rPr>
          <w:rFonts w:hint="eastAsia"/>
        </w:rPr>
        <w:t>评标办法前附表</w:t>
      </w:r>
      <w:bookmarkEnd w:id="237"/>
      <w:bookmarkEnd w:id="238"/>
      <w:bookmarkEnd w:id="239"/>
      <w:bookmarkEnd w:id="240"/>
      <w:bookmarkEnd w:id="241"/>
      <w:bookmarkEnd w:id="242"/>
      <w:bookmarkEnd w:id="246"/>
    </w:p>
    <w:tbl>
      <w:tblPr>
        <w:tblStyle w:val="17"/>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85" w:type="dxa"/>
          <w:bottom w:w="57" w:type="dxa"/>
          <w:right w:w="85" w:type="dxa"/>
        </w:tblCellMar>
      </w:tblPr>
      <w:tblGrid>
        <w:gridCol w:w="846"/>
        <w:gridCol w:w="73"/>
        <w:gridCol w:w="1129"/>
        <w:gridCol w:w="2058"/>
        <w:gridCol w:w="5528"/>
      </w:tblGrid>
      <w:tr w14:paraId="78B67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blHeader/>
          <w:jc w:val="center"/>
        </w:trPr>
        <w:tc>
          <w:tcPr>
            <w:tcW w:w="2048" w:type="dxa"/>
            <w:gridSpan w:val="3"/>
            <w:vAlign w:val="center"/>
          </w:tcPr>
          <w:p w14:paraId="75E6FFEE">
            <w:pPr>
              <w:widowControl w:val="0"/>
              <w:adjustRightInd w:val="0"/>
              <w:snapToGrid w:val="0"/>
              <w:spacing w:before="156" w:beforeLines="50" w:after="156" w:afterLines="50" w:line="280" w:lineRule="exact"/>
              <w:jc w:val="center"/>
              <w:rPr>
                <w:rFonts w:ascii="Times New Roman" w:hAnsi="Times New Roman" w:eastAsia="宋体" w:cs="宋体"/>
                <w:b/>
                <w:color w:val="auto"/>
                <w:sz w:val="21"/>
                <w:szCs w:val="21"/>
              </w:rPr>
            </w:pPr>
            <w:r>
              <w:rPr>
                <w:rFonts w:hint="eastAsia" w:ascii="Times New Roman" w:hAnsi="Times New Roman" w:eastAsia="宋体" w:cs="宋体"/>
                <w:b/>
                <w:color w:val="auto"/>
                <w:sz w:val="21"/>
                <w:szCs w:val="21"/>
              </w:rPr>
              <w:t>条款号</w:t>
            </w:r>
          </w:p>
        </w:tc>
        <w:tc>
          <w:tcPr>
            <w:tcW w:w="2058" w:type="dxa"/>
            <w:vAlign w:val="center"/>
          </w:tcPr>
          <w:p w14:paraId="39F547F8">
            <w:pPr>
              <w:widowControl w:val="0"/>
              <w:adjustRightInd w:val="0"/>
              <w:snapToGrid w:val="0"/>
              <w:spacing w:before="156" w:beforeLines="50" w:after="156" w:afterLines="50" w:line="280" w:lineRule="exact"/>
              <w:jc w:val="center"/>
              <w:rPr>
                <w:rFonts w:ascii="Times New Roman" w:hAnsi="Times New Roman" w:eastAsia="宋体" w:cs="宋体"/>
                <w:b/>
                <w:color w:val="auto"/>
                <w:sz w:val="21"/>
                <w:szCs w:val="21"/>
              </w:rPr>
            </w:pPr>
            <w:r>
              <w:rPr>
                <w:rFonts w:hint="eastAsia" w:ascii="Times New Roman" w:hAnsi="Times New Roman" w:eastAsia="宋体" w:cs="宋体"/>
                <w:b/>
                <w:color w:val="auto"/>
                <w:sz w:val="21"/>
                <w:szCs w:val="21"/>
              </w:rPr>
              <w:t>评审因素</w:t>
            </w:r>
          </w:p>
        </w:tc>
        <w:tc>
          <w:tcPr>
            <w:tcW w:w="5528" w:type="dxa"/>
            <w:vAlign w:val="center"/>
          </w:tcPr>
          <w:p w14:paraId="11D6CE56">
            <w:pPr>
              <w:widowControl w:val="0"/>
              <w:adjustRightInd w:val="0"/>
              <w:snapToGrid w:val="0"/>
              <w:spacing w:before="156" w:beforeLines="50" w:after="156" w:afterLines="50" w:line="280" w:lineRule="exact"/>
              <w:jc w:val="center"/>
              <w:rPr>
                <w:rFonts w:ascii="Times New Roman" w:hAnsi="Times New Roman" w:eastAsia="宋体" w:cs="宋体"/>
                <w:b/>
                <w:color w:val="auto"/>
                <w:sz w:val="21"/>
                <w:szCs w:val="21"/>
              </w:rPr>
            </w:pPr>
            <w:r>
              <w:rPr>
                <w:rFonts w:hint="eastAsia" w:ascii="Times New Roman" w:hAnsi="Times New Roman" w:eastAsia="宋体" w:cs="宋体"/>
                <w:b/>
                <w:color w:val="auto"/>
                <w:sz w:val="21"/>
                <w:szCs w:val="21"/>
              </w:rPr>
              <w:t>评审标准</w:t>
            </w:r>
          </w:p>
        </w:tc>
      </w:tr>
      <w:tr w14:paraId="12C0B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Align w:val="center"/>
          </w:tcPr>
          <w:p w14:paraId="0B612A6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w:t>
            </w:r>
          </w:p>
        </w:tc>
        <w:tc>
          <w:tcPr>
            <w:tcW w:w="1202" w:type="dxa"/>
            <w:gridSpan w:val="2"/>
            <w:vAlign w:val="center"/>
          </w:tcPr>
          <w:p w14:paraId="29A47CB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评标办法</w:t>
            </w:r>
          </w:p>
        </w:tc>
        <w:tc>
          <w:tcPr>
            <w:tcW w:w="2058" w:type="dxa"/>
            <w:vAlign w:val="center"/>
          </w:tcPr>
          <w:p w14:paraId="26518DB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中标候选人排序方法</w:t>
            </w:r>
          </w:p>
        </w:tc>
        <w:tc>
          <w:tcPr>
            <w:tcW w:w="5528" w:type="dxa"/>
            <w:vAlign w:val="center"/>
          </w:tcPr>
          <w:p w14:paraId="21B75EE8">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综合评分相等时，以投标报价低的优先；投标报价也相等的，以技术得分高的优先；技术得分也相等的，以商务得分高的优先；商务得分也相同，由评标委员会研究确定。</w:t>
            </w:r>
          </w:p>
        </w:tc>
      </w:tr>
      <w:tr w14:paraId="6591E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restart"/>
            <w:vAlign w:val="center"/>
          </w:tcPr>
          <w:p w14:paraId="070E580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2.1.1</w:t>
            </w:r>
          </w:p>
        </w:tc>
        <w:tc>
          <w:tcPr>
            <w:tcW w:w="1202" w:type="dxa"/>
            <w:gridSpan w:val="2"/>
            <w:vMerge w:val="restart"/>
            <w:vAlign w:val="center"/>
          </w:tcPr>
          <w:p w14:paraId="4C52A54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形式评审标准</w:t>
            </w:r>
          </w:p>
        </w:tc>
        <w:tc>
          <w:tcPr>
            <w:tcW w:w="2058" w:type="dxa"/>
            <w:vAlign w:val="center"/>
          </w:tcPr>
          <w:p w14:paraId="199AA3B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投标人名称</w:t>
            </w:r>
          </w:p>
        </w:tc>
        <w:tc>
          <w:tcPr>
            <w:tcW w:w="5528" w:type="dxa"/>
            <w:vAlign w:val="center"/>
          </w:tcPr>
          <w:p w14:paraId="5C87ECBD">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与营业执照（事业单位法人证书）、资质证书一致</w:t>
            </w:r>
          </w:p>
        </w:tc>
      </w:tr>
      <w:tr w14:paraId="2C030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28EA8FA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9969BB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1E09A5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投标文件的签章</w:t>
            </w:r>
          </w:p>
        </w:tc>
        <w:tc>
          <w:tcPr>
            <w:tcW w:w="5528" w:type="dxa"/>
            <w:vAlign w:val="center"/>
          </w:tcPr>
          <w:p w14:paraId="108DD3CD">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符合第二章投标人须知第3.7.4项规定</w:t>
            </w:r>
          </w:p>
        </w:tc>
      </w:tr>
      <w:tr w14:paraId="2F8DD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BC733CA">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41A925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A6DECA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投标文件格式</w:t>
            </w:r>
          </w:p>
        </w:tc>
        <w:tc>
          <w:tcPr>
            <w:tcW w:w="5528" w:type="dxa"/>
            <w:vAlign w:val="center"/>
          </w:tcPr>
          <w:p w14:paraId="261C87AE">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符合第六章“投标文件格式”的规定</w:t>
            </w:r>
          </w:p>
        </w:tc>
      </w:tr>
      <w:tr w14:paraId="536E6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705E6B5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148C1C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F3E826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联合体投标人</w:t>
            </w:r>
          </w:p>
          <w:p w14:paraId="6C1D692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（如有）</w:t>
            </w:r>
          </w:p>
        </w:tc>
        <w:tc>
          <w:tcPr>
            <w:tcW w:w="5528" w:type="dxa"/>
            <w:vAlign w:val="center"/>
          </w:tcPr>
          <w:p w14:paraId="3F58F9A7">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提交符合招标文件要求的联合体协议书，明确各方承担连带责任，并明确联合体牵头人</w:t>
            </w:r>
          </w:p>
        </w:tc>
      </w:tr>
      <w:tr w14:paraId="0E5AC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4CFB151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6414F3">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5849E1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rPr>
              <w:t>投标报价</w:t>
            </w:r>
          </w:p>
        </w:tc>
        <w:tc>
          <w:tcPr>
            <w:tcW w:w="5528" w:type="dxa"/>
            <w:vAlign w:val="center"/>
          </w:tcPr>
          <w:p w14:paraId="3BB0F2AE">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只能有一个投标报价</w:t>
            </w:r>
          </w:p>
        </w:tc>
      </w:tr>
      <w:tr w14:paraId="69C18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restart"/>
            <w:vAlign w:val="center"/>
          </w:tcPr>
          <w:p w14:paraId="4B2D1F9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2.1.2</w:t>
            </w:r>
          </w:p>
        </w:tc>
        <w:tc>
          <w:tcPr>
            <w:tcW w:w="1202" w:type="dxa"/>
            <w:gridSpan w:val="2"/>
            <w:vMerge w:val="restart"/>
            <w:vAlign w:val="center"/>
          </w:tcPr>
          <w:p w14:paraId="1D22004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资格评审标准</w:t>
            </w:r>
          </w:p>
        </w:tc>
        <w:tc>
          <w:tcPr>
            <w:tcW w:w="2058" w:type="dxa"/>
            <w:vAlign w:val="center"/>
          </w:tcPr>
          <w:p w14:paraId="3C72945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营业执照（事业单位法人证书）</w:t>
            </w:r>
          </w:p>
        </w:tc>
        <w:tc>
          <w:tcPr>
            <w:tcW w:w="5528" w:type="dxa"/>
            <w:vAlign w:val="center"/>
          </w:tcPr>
          <w:p w14:paraId="12B2A06F">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3.5.1 项规定，具备有效的营业执照（事业单位法人证书）</w:t>
            </w:r>
          </w:p>
        </w:tc>
      </w:tr>
      <w:tr w14:paraId="53CD4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3FFEB20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2901A29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EC877F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资质要求</w:t>
            </w:r>
          </w:p>
        </w:tc>
        <w:tc>
          <w:tcPr>
            <w:tcW w:w="5528" w:type="dxa"/>
            <w:vAlign w:val="center"/>
          </w:tcPr>
          <w:p w14:paraId="2BAE2BA6">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116FA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4A8B73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8A254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9C5F72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业绩要求</w:t>
            </w:r>
          </w:p>
        </w:tc>
        <w:tc>
          <w:tcPr>
            <w:tcW w:w="5528" w:type="dxa"/>
            <w:vAlign w:val="center"/>
          </w:tcPr>
          <w:p w14:paraId="6AA68600">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19578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344608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1380B8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E1E6CB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信誉要求</w:t>
            </w:r>
          </w:p>
        </w:tc>
        <w:tc>
          <w:tcPr>
            <w:tcW w:w="5528" w:type="dxa"/>
            <w:vAlign w:val="center"/>
          </w:tcPr>
          <w:p w14:paraId="403DAE61">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2BFD9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4E3FA0F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A0F0E6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2EA95E9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其他要求</w:t>
            </w:r>
          </w:p>
        </w:tc>
        <w:tc>
          <w:tcPr>
            <w:tcW w:w="5528" w:type="dxa"/>
            <w:vAlign w:val="center"/>
          </w:tcPr>
          <w:p w14:paraId="329F7FFB">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11EB0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3B7AC4C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6FDD0B5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E0825A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联合体投标人</w:t>
            </w:r>
          </w:p>
        </w:tc>
        <w:tc>
          <w:tcPr>
            <w:tcW w:w="5528" w:type="dxa"/>
            <w:vAlign w:val="center"/>
          </w:tcPr>
          <w:p w14:paraId="6998470F">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1.4.2 项规定</w:t>
            </w:r>
          </w:p>
        </w:tc>
      </w:tr>
      <w:tr w14:paraId="547A5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049A2C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23F5521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55B8BB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不存在禁止投标的情形</w:t>
            </w:r>
          </w:p>
        </w:tc>
        <w:tc>
          <w:tcPr>
            <w:tcW w:w="5528" w:type="dxa"/>
            <w:vAlign w:val="center"/>
          </w:tcPr>
          <w:p w14:paraId="740A9170">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不存在第二章“投标人须知”第 1.4.3项规定的任何一种情形。</w:t>
            </w:r>
            <w:r>
              <w:rPr>
                <w:rFonts w:hint="eastAsia" w:ascii="宋体" w:hAnsi="宋体" w:eastAsia="宋体" w:cs="宋体"/>
                <w:color w:val="auto"/>
                <w:sz w:val="21"/>
                <w:szCs w:val="21"/>
              </w:rPr>
              <w:t>（</w:t>
            </w:r>
            <w:r>
              <w:rPr>
                <w:rFonts w:hint="eastAsia" w:ascii="宋体" w:hAnsi="宋体" w:eastAsia="宋体" w:cs="宋体"/>
                <w:b/>
                <w:bCs/>
                <w:color w:val="auto"/>
                <w:sz w:val="21"/>
                <w:szCs w:val="21"/>
              </w:rPr>
              <w:t>投标函中是否承诺</w:t>
            </w:r>
            <w:r>
              <w:rPr>
                <w:rFonts w:hint="eastAsia" w:ascii="宋体" w:hAnsi="宋体" w:eastAsia="宋体" w:cs="宋体"/>
                <w:color w:val="auto"/>
                <w:sz w:val="21"/>
                <w:szCs w:val="21"/>
              </w:rPr>
              <w:t>）</w:t>
            </w:r>
          </w:p>
        </w:tc>
      </w:tr>
      <w:tr w14:paraId="67768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75BC639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45B4E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2839F755">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投标设备制造商的资质要求（如有）</w:t>
            </w:r>
          </w:p>
        </w:tc>
        <w:tc>
          <w:tcPr>
            <w:tcW w:w="5528" w:type="dxa"/>
            <w:vAlign w:val="center"/>
          </w:tcPr>
          <w:p w14:paraId="52D2438E">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5B08A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571" w:hRule="atLeast"/>
          <w:jc w:val="center"/>
        </w:trPr>
        <w:tc>
          <w:tcPr>
            <w:tcW w:w="846" w:type="dxa"/>
            <w:vAlign w:val="center"/>
          </w:tcPr>
          <w:p w14:paraId="4997610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2.1.2</w:t>
            </w:r>
          </w:p>
        </w:tc>
        <w:tc>
          <w:tcPr>
            <w:tcW w:w="1202" w:type="dxa"/>
            <w:gridSpan w:val="2"/>
            <w:vAlign w:val="center"/>
          </w:tcPr>
          <w:p w14:paraId="4F715DD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资格评审标准</w:t>
            </w:r>
          </w:p>
        </w:tc>
        <w:tc>
          <w:tcPr>
            <w:tcW w:w="2058" w:type="dxa"/>
            <w:vAlign w:val="center"/>
          </w:tcPr>
          <w:p w14:paraId="4B2B0D2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投标设备的业绩要求（如有）</w:t>
            </w:r>
          </w:p>
        </w:tc>
        <w:tc>
          <w:tcPr>
            <w:tcW w:w="5528" w:type="dxa"/>
            <w:vAlign w:val="center"/>
          </w:tcPr>
          <w:p w14:paraId="4DA55708">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5DBE5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restart"/>
            <w:vAlign w:val="center"/>
          </w:tcPr>
          <w:p w14:paraId="75D5FF0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2.1.3</w:t>
            </w:r>
          </w:p>
        </w:tc>
        <w:tc>
          <w:tcPr>
            <w:tcW w:w="1202" w:type="dxa"/>
            <w:gridSpan w:val="2"/>
            <w:vMerge w:val="restart"/>
            <w:vAlign w:val="center"/>
          </w:tcPr>
          <w:p w14:paraId="2DA5C15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响应性评审标准</w:t>
            </w:r>
          </w:p>
        </w:tc>
        <w:tc>
          <w:tcPr>
            <w:tcW w:w="2058" w:type="dxa"/>
            <w:vAlign w:val="center"/>
          </w:tcPr>
          <w:p w14:paraId="4AF785D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投标报价</w:t>
            </w:r>
          </w:p>
        </w:tc>
        <w:tc>
          <w:tcPr>
            <w:tcW w:w="5528" w:type="dxa"/>
            <w:vAlign w:val="center"/>
          </w:tcPr>
          <w:p w14:paraId="14D580E4">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3.2 款规定</w:t>
            </w:r>
          </w:p>
        </w:tc>
      </w:tr>
      <w:tr w14:paraId="1D54B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69ECF6C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2C30695">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4EE04C0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投标内容</w:t>
            </w:r>
          </w:p>
        </w:tc>
        <w:tc>
          <w:tcPr>
            <w:tcW w:w="5528" w:type="dxa"/>
            <w:vAlign w:val="center"/>
          </w:tcPr>
          <w:p w14:paraId="0DD0C651">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1.3.1 项规定</w:t>
            </w:r>
          </w:p>
        </w:tc>
      </w:tr>
      <w:tr w14:paraId="4EAE7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57520C4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01ACFA93">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4158E8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交货期</w:t>
            </w:r>
          </w:p>
        </w:tc>
        <w:tc>
          <w:tcPr>
            <w:tcW w:w="5528" w:type="dxa"/>
            <w:vAlign w:val="center"/>
          </w:tcPr>
          <w:p w14:paraId="2A09A292">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1.3.2 项规定</w:t>
            </w:r>
          </w:p>
        </w:tc>
      </w:tr>
      <w:tr w14:paraId="75AC2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161D20C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67E57F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8008B7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交货地点及方式</w:t>
            </w:r>
          </w:p>
        </w:tc>
        <w:tc>
          <w:tcPr>
            <w:tcW w:w="5528" w:type="dxa"/>
            <w:vAlign w:val="center"/>
          </w:tcPr>
          <w:p w14:paraId="77F463F8">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1.3.3 项规定</w:t>
            </w:r>
          </w:p>
        </w:tc>
      </w:tr>
      <w:tr w14:paraId="5729A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67D3CEF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3B6B86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53CD6B3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技术性能指标</w:t>
            </w:r>
          </w:p>
        </w:tc>
        <w:tc>
          <w:tcPr>
            <w:tcW w:w="5528" w:type="dxa"/>
            <w:vAlign w:val="center"/>
          </w:tcPr>
          <w:p w14:paraId="0A96D302">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1.3.4 项规定</w:t>
            </w:r>
          </w:p>
        </w:tc>
      </w:tr>
      <w:tr w14:paraId="7C03C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73C9AA0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1A8C5CC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5D02BEA">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投标有效期</w:t>
            </w:r>
          </w:p>
        </w:tc>
        <w:tc>
          <w:tcPr>
            <w:tcW w:w="5528" w:type="dxa"/>
            <w:vAlign w:val="center"/>
          </w:tcPr>
          <w:p w14:paraId="6E317FE1">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3.3.1 项规定</w:t>
            </w:r>
          </w:p>
        </w:tc>
      </w:tr>
      <w:tr w14:paraId="508C2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38D0F9D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40EA9D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1958D8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投标保证金</w:t>
            </w:r>
          </w:p>
        </w:tc>
        <w:tc>
          <w:tcPr>
            <w:tcW w:w="5528" w:type="dxa"/>
            <w:vAlign w:val="center"/>
          </w:tcPr>
          <w:p w14:paraId="6163E66F">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3.4.1 项规定</w:t>
            </w:r>
          </w:p>
        </w:tc>
      </w:tr>
      <w:tr w14:paraId="43603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2AECC22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E1FA0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342F6C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权利义务</w:t>
            </w:r>
          </w:p>
        </w:tc>
        <w:tc>
          <w:tcPr>
            <w:tcW w:w="5528" w:type="dxa"/>
            <w:vAlign w:val="center"/>
          </w:tcPr>
          <w:p w14:paraId="0B0113C5">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1.11.1 项规定和第四章“合同条款及格式”中的实质性要求和条件</w:t>
            </w:r>
          </w:p>
        </w:tc>
      </w:tr>
      <w:tr w14:paraId="7067A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5CE7931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3B01E39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52841D3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投标设备及技术服务和质保期服务</w:t>
            </w:r>
          </w:p>
        </w:tc>
        <w:tc>
          <w:tcPr>
            <w:tcW w:w="5528" w:type="dxa"/>
            <w:vAlign w:val="center"/>
          </w:tcPr>
          <w:p w14:paraId="3160FA1B">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符合第五章“供货要求”中的实质性要求和条件</w:t>
            </w:r>
          </w:p>
        </w:tc>
      </w:tr>
      <w:tr w14:paraId="76C64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53E6850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D8A5C8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500D3C2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技术支持资料</w:t>
            </w:r>
          </w:p>
        </w:tc>
        <w:tc>
          <w:tcPr>
            <w:tcW w:w="5528" w:type="dxa"/>
            <w:vAlign w:val="center"/>
          </w:tcPr>
          <w:p w14:paraId="26C88C97">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1.11.3 项规定</w:t>
            </w:r>
          </w:p>
        </w:tc>
      </w:tr>
      <w:tr w14:paraId="27139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2F553AB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3BAD46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1733D4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投标人告知承诺函</w:t>
            </w:r>
          </w:p>
        </w:tc>
        <w:tc>
          <w:tcPr>
            <w:tcW w:w="5528" w:type="dxa"/>
            <w:vAlign w:val="center"/>
          </w:tcPr>
          <w:p w14:paraId="1D036A59">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提供有效的投标人告知承诺函</w:t>
            </w:r>
          </w:p>
        </w:tc>
      </w:tr>
      <w:tr w14:paraId="42ADD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353D667B">
            <w:pPr>
              <w:widowControl w:val="0"/>
              <w:adjustRightInd w:val="0"/>
              <w:snapToGrid w:val="0"/>
              <w:spacing w:before="156" w:beforeLines="50" w:after="156" w:afterLines="50" w:line="280" w:lineRule="exact"/>
              <w:jc w:val="center"/>
              <w:rPr>
                <w:rFonts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条款号</w:t>
            </w:r>
          </w:p>
        </w:tc>
        <w:tc>
          <w:tcPr>
            <w:tcW w:w="2058" w:type="dxa"/>
            <w:vAlign w:val="center"/>
          </w:tcPr>
          <w:p w14:paraId="0F915E65">
            <w:pPr>
              <w:widowControl w:val="0"/>
              <w:adjustRightInd w:val="0"/>
              <w:snapToGrid w:val="0"/>
              <w:spacing w:before="156" w:beforeLines="50" w:after="156" w:afterLines="50" w:line="280" w:lineRule="exact"/>
              <w:jc w:val="center"/>
              <w:rPr>
                <w:rFonts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条款内容</w:t>
            </w:r>
          </w:p>
        </w:tc>
        <w:tc>
          <w:tcPr>
            <w:tcW w:w="5528" w:type="dxa"/>
            <w:vAlign w:val="center"/>
          </w:tcPr>
          <w:p w14:paraId="56DEF6C5">
            <w:pPr>
              <w:widowControl w:val="0"/>
              <w:adjustRightInd w:val="0"/>
              <w:snapToGrid w:val="0"/>
              <w:spacing w:before="156" w:beforeLines="50" w:after="156" w:afterLines="50" w:line="280" w:lineRule="exact"/>
              <w:jc w:val="center"/>
              <w:rPr>
                <w:rFonts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编列内容</w:t>
            </w:r>
          </w:p>
        </w:tc>
      </w:tr>
      <w:tr w14:paraId="6049C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225B8183">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2.2.1</w:t>
            </w:r>
          </w:p>
        </w:tc>
        <w:tc>
          <w:tcPr>
            <w:tcW w:w="2058" w:type="dxa"/>
            <w:vAlign w:val="center"/>
          </w:tcPr>
          <w:p w14:paraId="2B8431D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分值构成</w:t>
            </w:r>
          </w:p>
          <w:p w14:paraId="0978E83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（总分100分）</w:t>
            </w:r>
          </w:p>
        </w:tc>
        <w:tc>
          <w:tcPr>
            <w:tcW w:w="5528" w:type="dxa"/>
            <w:vAlign w:val="center"/>
          </w:tcPr>
          <w:p w14:paraId="7E722B8C">
            <w:pPr>
              <w:widowControl w:val="0"/>
              <w:spacing w:line="280" w:lineRule="exact"/>
              <w:rPr>
                <w:rFonts w:ascii="Times New Roman" w:hAnsi="Times New Roman" w:eastAsia="宋体"/>
                <w:color w:val="auto"/>
                <w:sz w:val="21"/>
                <w:szCs w:val="21"/>
              </w:rPr>
            </w:pPr>
            <w:r>
              <w:rPr>
                <w:rFonts w:ascii="Times New Roman" w:hAnsi="Times New Roman" w:eastAsia="宋体"/>
                <w:color w:val="auto"/>
                <w:sz w:val="21"/>
                <w:szCs w:val="21"/>
              </w:rPr>
              <w:t>（1）</w:t>
            </w:r>
            <w:r>
              <w:rPr>
                <w:rFonts w:hint="eastAsia" w:ascii="Times New Roman" w:hAnsi="Times New Roman" w:eastAsia="宋体" w:cs="宋体"/>
                <w:color w:val="auto"/>
                <w:kern w:val="0"/>
                <w:sz w:val="21"/>
                <w:szCs w:val="21"/>
                <w:lang w:bidi="ar"/>
              </w:rPr>
              <w:t>商务部分：</w:t>
            </w:r>
            <w:r>
              <w:rPr>
                <w:rFonts w:ascii="Times New Roman" w:hAnsi="Times New Roman" w:eastAsia="宋体" w:cs="Times New Roman"/>
                <w:color w:val="auto"/>
                <w:kern w:val="0"/>
                <w:sz w:val="21"/>
                <w:szCs w:val="21"/>
                <w:lang w:bidi="ar"/>
              </w:rPr>
              <w:t xml:space="preserve"> </w:t>
            </w:r>
            <w:r>
              <w:rPr>
                <w:rFonts w:ascii="Times New Roman" w:hAnsi="Times New Roman" w:eastAsia="宋体" w:cs="Times New Roman"/>
                <w:color w:val="auto"/>
                <w:kern w:val="0"/>
                <w:sz w:val="21"/>
                <w:szCs w:val="21"/>
                <w:u w:val="single"/>
                <w:lang w:bidi="ar"/>
              </w:rPr>
              <w:t>1</w:t>
            </w:r>
            <w:r>
              <w:rPr>
                <w:rFonts w:hint="eastAsia" w:ascii="Times New Roman" w:hAnsi="Times New Roman" w:eastAsia="宋体" w:cs="宋体"/>
                <w:color w:val="auto"/>
                <w:kern w:val="0"/>
                <w:sz w:val="21"/>
                <w:szCs w:val="21"/>
                <w:lang w:bidi="ar"/>
              </w:rPr>
              <w:t>分</w:t>
            </w:r>
          </w:p>
          <w:p w14:paraId="7CFD8D52">
            <w:pPr>
              <w:widowControl w:val="0"/>
              <w:spacing w:line="280" w:lineRule="exact"/>
              <w:rPr>
                <w:rFonts w:ascii="Times New Roman" w:hAnsi="Times New Roman" w:eastAsia="宋体"/>
                <w:color w:val="auto"/>
                <w:sz w:val="21"/>
                <w:szCs w:val="21"/>
              </w:rPr>
            </w:pPr>
            <w:r>
              <w:rPr>
                <w:rFonts w:ascii="Times New Roman" w:hAnsi="Times New Roman" w:eastAsia="宋体"/>
                <w:color w:val="auto"/>
                <w:sz w:val="21"/>
                <w:szCs w:val="21"/>
              </w:rPr>
              <w:t>（</w:t>
            </w:r>
            <w:r>
              <w:rPr>
                <w:rFonts w:hint="eastAsia" w:ascii="Times New Roman" w:hAnsi="Times New Roman" w:eastAsia="宋体"/>
                <w:color w:val="auto"/>
                <w:sz w:val="21"/>
                <w:szCs w:val="21"/>
              </w:rPr>
              <w:t>2</w:t>
            </w:r>
            <w:r>
              <w:rPr>
                <w:rFonts w:ascii="Times New Roman" w:hAnsi="Times New Roman" w:eastAsia="宋体"/>
                <w:color w:val="auto"/>
                <w:sz w:val="21"/>
                <w:szCs w:val="21"/>
              </w:rPr>
              <w:t>）</w:t>
            </w:r>
            <w:r>
              <w:rPr>
                <w:rFonts w:hint="eastAsia" w:ascii="Times New Roman" w:hAnsi="Times New Roman" w:eastAsia="宋体" w:cs="宋体"/>
                <w:color w:val="auto"/>
                <w:kern w:val="0"/>
                <w:sz w:val="21"/>
                <w:szCs w:val="21"/>
                <w:lang w:bidi="ar"/>
              </w:rPr>
              <w:t>技术部分：</w:t>
            </w:r>
            <w:r>
              <w:rPr>
                <w:rFonts w:hint="eastAsia" w:ascii="Times New Roman" w:hAnsi="Times New Roman" w:eastAsia="宋体" w:cs="宋体"/>
                <w:color w:val="auto"/>
                <w:kern w:val="0"/>
                <w:sz w:val="21"/>
                <w:szCs w:val="21"/>
                <w:u w:val="single"/>
                <w:lang w:bidi="ar"/>
              </w:rPr>
              <w:t>3</w:t>
            </w:r>
            <w:r>
              <w:rPr>
                <w:rFonts w:ascii="Times New Roman" w:hAnsi="Times New Roman" w:eastAsia="宋体" w:cs="宋体"/>
                <w:color w:val="auto"/>
                <w:kern w:val="0"/>
                <w:sz w:val="21"/>
                <w:szCs w:val="21"/>
                <w:u w:val="single"/>
                <w:lang w:bidi="ar"/>
              </w:rPr>
              <w:t>7</w:t>
            </w:r>
            <w:r>
              <w:rPr>
                <w:rFonts w:ascii="Times New Roman" w:hAnsi="Times New Roman" w:eastAsia="宋体" w:cs="Times New Roman"/>
                <w:color w:val="auto"/>
                <w:kern w:val="0"/>
                <w:sz w:val="21"/>
                <w:szCs w:val="21"/>
                <w:lang w:bidi="ar"/>
              </w:rPr>
              <w:t xml:space="preserve"> </w:t>
            </w:r>
            <w:r>
              <w:rPr>
                <w:rFonts w:hint="eastAsia" w:ascii="Times New Roman" w:hAnsi="Times New Roman" w:eastAsia="宋体" w:cs="宋体"/>
                <w:color w:val="auto"/>
                <w:kern w:val="0"/>
                <w:sz w:val="21"/>
                <w:szCs w:val="21"/>
                <w:lang w:bidi="ar"/>
              </w:rPr>
              <w:t>分</w:t>
            </w:r>
            <w:r>
              <w:rPr>
                <w:rFonts w:ascii="Times New Roman" w:hAnsi="Times New Roman" w:eastAsia="宋体" w:cs="Times New Roman"/>
                <w:color w:val="auto"/>
                <w:kern w:val="0"/>
                <w:sz w:val="21"/>
                <w:szCs w:val="21"/>
                <w:lang w:bidi="ar"/>
              </w:rPr>
              <w:t xml:space="preserve"> </w:t>
            </w:r>
          </w:p>
          <w:p w14:paraId="26237F8C">
            <w:pPr>
              <w:widowControl w:val="0"/>
              <w:spacing w:line="280" w:lineRule="exact"/>
              <w:rPr>
                <w:rFonts w:ascii="Times New Roman" w:hAnsi="Times New Roman" w:eastAsia="宋体"/>
                <w:color w:val="auto"/>
                <w:sz w:val="21"/>
                <w:szCs w:val="21"/>
              </w:rPr>
            </w:pPr>
            <w:r>
              <w:rPr>
                <w:rFonts w:ascii="Times New Roman" w:hAnsi="Times New Roman" w:eastAsia="宋体"/>
                <w:color w:val="auto"/>
                <w:sz w:val="21"/>
                <w:szCs w:val="21"/>
              </w:rPr>
              <w:t>（</w:t>
            </w:r>
            <w:r>
              <w:rPr>
                <w:rFonts w:hint="eastAsia" w:ascii="Times New Roman" w:hAnsi="Times New Roman" w:eastAsia="宋体"/>
                <w:color w:val="auto"/>
                <w:sz w:val="21"/>
                <w:szCs w:val="21"/>
              </w:rPr>
              <w:t>3</w:t>
            </w:r>
            <w:r>
              <w:rPr>
                <w:rFonts w:ascii="Times New Roman" w:hAnsi="Times New Roman" w:eastAsia="宋体"/>
                <w:color w:val="auto"/>
                <w:sz w:val="21"/>
                <w:szCs w:val="21"/>
              </w:rPr>
              <w:t>）</w:t>
            </w:r>
            <w:r>
              <w:rPr>
                <w:rFonts w:hint="eastAsia" w:ascii="Times New Roman" w:hAnsi="Times New Roman" w:eastAsia="宋体" w:cs="宋体"/>
                <w:color w:val="auto"/>
                <w:kern w:val="0"/>
                <w:sz w:val="21"/>
                <w:szCs w:val="21"/>
                <w:lang w:bidi="ar"/>
              </w:rPr>
              <w:t>投标报价：</w:t>
            </w:r>
            <w:r>
              <w:rPr>
                <w:rFonts w:ascii="Times New Roman" w:hAnsi="Times New Roman" w:eastAsia="宋体" w:cs="Times New Roman"/>
                <w:color w:val="auto"/>
                <w:kern w:val="0"/>
                <w:sz w:val="21"/>
                <w:szCs w:val="21"/>
                <w:lang w:bidi="ar"/>
              </w:rPr>
              <w:t xml:space="preserve"> </w:t>
            </w:r>
            <w:r>
              <w:rPr>
                <w:rFonts w:hint="eastAsia" w:ascii="Times New Roman" w:hAnsi="Times New Roman" w:eastAsia="宋体" w:cs="Times New Roman"/>
                <w:color w:val="auto"/>
                <w:kern w:val="0"/>
                <w:sz w:val="21"/>
                <w:szCs w:val="21"/>
                <w:u w:val="single"/>
                <w:lang w:bidi="ar"/>
              </w:rPr>
              <w:t>60</w:t>
            </w:r>
            <w:r>
              <w:rPr>
                <w:rFonts w:hint="eastAsia" w:ascii="Times New Roman" w:hAnsi="Times New Roman" w:eastAsia="宋体" w:cs="宋体"/>
                <w:color w:val="auto"/>
                <w:kern w:val="0"/>
                <w:sz w:val="21"/>
                <w:szCs w:val="21"/>
                <w:lang w:bidi="ar"/>
              </w:rPr>
              <w:t>分</w:t>
            </w:r>
            <w:r>
              <w:rPr>
                <w:rFonts w:ascii="Times New Roman" w:hAnsi="Times New Roman" w:eastAsia="宋体" w:cs="Times New Roman"/>
                <w:color w:val="auto"/>
                <w:kern w:val="0"/>
                <w:sz w:val="21"/>
                <w:szCs w:val="21"/>
                <w:lang w:bidi="ar"/>
              </w:rPr>
              <w:t xml:space="preserve"> </w:t>
            </w:r>
          </w:p>
          <w:p w14:paraId="3AE0E1F8">
            <w:pPr>
              <w:widowControl w:val="0"/>
              <w:spacing w:line="280" w:lineRule="exact"/>
              <w:rPr>
                <w:rFonts w:ascii="Times New Roman" w:hAnsi="Times New Roman" w:eastAsia="宋体" w:cs="宋体"/>
                <w:color w:val="auto"/>
                <w:sz w:val="21"/>
                <w:szCs w:val="21"/>
              </w:rPr>
            </w:pPr>
            <w:r>
              <w:rPr>
                <w:rFonts w:ascii="Times New Roman" w:hAnsi="Times New Roman" w:eastAsia="宋体"/>
                <w:color w:val="auto"/>
                <w:sz w:val="21"/>
                <w:szCs w:val="21"/>
              </w:rPr>
              <w:t>（</w:t>
            </w:r>
            <w:r>
              <w:rPr>
                <w:rFonts w:hint="eastAsia" w:ascii="Times New Roman" w:hAnsi="Times New Roman" w:eastAsia="宋体"/>
                <w:color w:val="auto"/>
                <w:sz w:val="21"/>
                <w:szCs w:val="21"/>
              </w:rPr>
              <w:t>4</w:t>
            </w:r>
            <w:r>
              <w:rPr>
                <w:rFonts w:ascii="Times New Roman" w:hAnsi="Times New Roman" w:eastAsia="宋体"/>
                <w:color w:val="auto"/>
                <w:sz w:val="21"/>
                <w:szCs w:val="21"/>
              </w:rPr>
              <w:t>）</w:t>
            </w:r>
            <w:r>
              <w:rPr>
                <w:rFonts w:hint="eastAsia" w:ascii="Times New Roman" w:hAnsi="Times New Roman" w:eastAsia="宋体" w:cs="宋体"/>
                <w:color w:val="auto"/>
                <w:kern w:val="0"/>
                <w:sz w:val="21"/>
                <w:szCs w:val="21"/>
                <w:lang w:bidi="ar"/>
              </w:rPr>
              <w:t>其他评分因素：</w:t>
            </w:r>
            <w:r>
              <w:rPr>
                <w:rFonts w:hint="eastAsia" w:ascii="Times New Roman" w:hAnsi="Times New Roman" w:eastAsia="宋体" w:cs="宋体"/>
                <w:color w:val="auto"/>
                <w:kern w:val="0"/>
                <w:sz w:val="21"/>
                <w:szCs w:val="21"/>
                <w:u w:val="single"/>
                <w:lang w:bidi="ar"/>
              </w:rPr>
              <w:t>2</w:t>
            </w:r>
            <w:r>
              <w:rPr>
                <w:rFonts w:hint="eastAsia" w:ascii="Times New Roman" w:hAnsi="Times New Roman" w:eastAsia="宋体" w:cs="宋体"/>
                <w:color w:val="auto"/>
                <w:kern w:val="0"/>
                <w:sz w:val="21"/>
                <w:szCs w:val="21"/>
                <w:lang w:bidi="ar"/>
              </w:rPr>
              <w:t>分</w:t>
            </w:r>
          </w:p>
        </w:tc>
      </w:tr>
      <w:tr w14:paraId="605AE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091F3B2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2.2.2</w:t>
            </w:r>
          </w:p>
        </w:tc>
        <w:tc>
          <w:tcPr>
            <w:tcW w:w="2058" w:type="dxa"/>
            <w:vAlign w:val="center"/>
          </w:tcPr>
          <w:p w14:paraId="0E2C0F4C">
            <w:pPr>
              <w:widowControl w:val="0"/>
              <w:adjustRightInd w:val="0"/>
              <w:spacing w:after="0" w:line="320" w:lineRule="exact"/>
              <w:jc w:val="center"/>
              <w:rPr>
                <w:rFonts w:ascii="Times New Roman" w:hAnsi="Times New Roman" w:eastAsia="宋体" w:cs="宋体"/>
                <w:color w:val="auto"/>
                <w:sz w:val="21"/>
                <w:szCs w:val="21"/>
              </w:rPr>
            </w:pPr>
            <w:r>
              <w:rPr>
                <w:rFonts w:ascii="Times New Roman" w:hAnsi="Times New Roman" w:eastAsia="宋体"/>
                <w:color w:val="auto"/>
                <w:sz w:val="21"/>
                <w:szCs w:val="21"/>
              </w:rPr>
              <w:t>评标基准价计算方法</w:t>
            </w:r>
          </w:p>
        </w:tc>
        <w:tc>
          <w:tcPr>
            <w:tcW w:w="5528" w:type="dxa"/>
            <w:vAlign w:val="center"/>
          </w:tcPr>
          <w:p w14:paraId="4B5393D3">
            <w:pPr>
              <w:widowControl w:val="0"/>
              <w:adjustRightInd w:val="0"/>
              <w:spacing w:after="0" w:line="320" w:lineRule="exact"/>
              <w:rPr>
                <w:rFonts w:ascii="Times New Roman" w:hAnsi="Times New Roman" w:eastAsia="宋体" w:cs="宋体"/>
                <w:color w:val="auto"/>
                <w:sz w:val="21"/>
                <w:szCs w:val="21"/>
              </w:rPr>
            </w:pPr>
            <w:r>
              <w:rPr>
                <w:rFonts w:hint="eastAsia" w:ascii="Times New Roman" w:hAnsi="Times New Roman" w:eastAsia="宋体"/>
                <w:color w:val="auto"/>
                <w:sz w:val="21"/>
                <w:szCs w:val="21"/>
              </w:rPr>
              <w:t>基准价：如果有效投标单位超过10家(不包含10)，则去掉2个最高价,2个最低价；如果有效投标单位超过5家(不包含5)并不超过10家，则去掉1个最高价,1个最低价；若不超过5家,则不去；将其投标报价取平均值后×100%作为评标基准价。扣分公式：投标报价与基准价相比的偏差率，每高1%扣0.1分，每低1%扣0.1分,注：使用直线插值法计算。</w:t>
            </w:r>
          </w:p>
        </w:tc>
      </w:tr>
      <w:tr w14:paraId="2D24F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1B89FBF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2.2.3</w:t>
            </w:r>
          </w:p>
        </w:tc>
        <w:tc>
          <w:tcPr>
            <w:tcW w:w="2058" w:type="dxa"/>
            <w:vAlign w:val="center"/>
          </w:tcPr>
          <w:p w14:paraId="1792D86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投标报价的偏差率</w:t>
            </w:r>
          </w:p>
          <w:p w14:paraId="778442A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计算公式</w:t>
            </w:r>
          </w:p>
        </w:tc>
        <w:tc>
          <w:tcPr>
            <w:tcW w:w="5528" w:type="dxa"/>
            <w:vAlign w:val="center"/>
          </w:tcPr>
          <w:p w14:paraId="27FCED36">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偏差率=100% ×（投标人报价-评标基准价）/评标基准价</w:t>
            </w:r>
          </w:p>
        </w:tc>
      </w:tr>
      <w:tr w14:paraId="1BA2D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765" w:hRule="atLeast"/>
          <w:jc w:val="center"/>
        </w:trPr>
        <w:tc>
          <w:tcPr>
            <w:tcW w:w="919" w:type="dxa"/>
            <w:gridSpan w:val="2"/>
            <w:vMerge w:val="restart"/>
            <w:vAlign w:val="center"/>
          </w:tcPr>
          <w:p w14:paraId="7E5D1B3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2.2.4（1）</w:t>
            </w:r>
          </w:p>
        </w:tc>
        <w:tc>
          <w:tcPr>
            <w:tcW w:w="1129" w:type="dxa"/>
            <w:vMerge w:val="restart"/>
            <w:vAlign w:val="center"/>
          </w:tcPr>
          <w:p w14:paraId="54E9DDFA">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商务评分标准</w:t>
            </w:r>
          </w:p>
          <w:p w14:paraId="2AF5A74C">
            <w:pPr>
              <w:pStyle w:val="5"/>
              <w:ind w:firstLine="0" w:firstLineChars="0"/>
              <w:jc w:val="center"/>
            </w:pPr>
            <w:r>
              <w:rPr>
                <w:rFonts w:hint="eastAsia" w:cs="宋体"/>
                <w:szCs w:val="21"/>
              </w:rPr>
              <w:t>（</w:t>
            </w:r>
            <w:r>
              <w:rPr>
                <w:rFonts w:cs="宋体"/>
                <w:szCs w:val="21"/>
              </w:rPr>
              <w:t>1</w:t>
            </w:r>
            <w:r>
              <w:rPr>
                <w:rFonts w:hint="eastAsia" w:cs="宋体"/>
                <w:szCs w:val="21"/>
              </w:rPr>
              <w:t>分）</w:t>
            </w:r>
          </w:p>
        </w:tc>
        <w:tc>
          <w:tcPr>
            <w:tcW w:w="2058" w:type="dxa"/>
            <w:vAlign w:val="center"/>
          </w:tcPr>
          <w:p w14:paraId="2D1FE288">
            <w:pPr>
              <w:pStyle w:val="5"/>
              <w:ind w:firstLine="0" w:firstLineChars="0"/>
              <w:jc w:val="center"/>
              <w:rPr>
                <w:rFonts w:cs="宋体"/>
                <w:szCs w:val="21"/>
              </w:rPr>
            </w:pPr>
            <w:r>
              <w:rPr>
                <w:rFonts w:hint="eastAsia" w:cs="宋体"/>
                <w:szCs w:val="21"/>
              </w:rPr>
              <w:t>体系认证</w:t>
            </w:r>
          </w:p>
          <w:p w14:paraId="3B423FAB">
            <w:pPr>
              <w:pStyle w:val="5"/>
              <w:ind w:firstLine="0" w:firstLineChars="0"/>
              <w:jc w:val="center"/>
              <w:rPr>
                <w:rFonts w:cs="宋体"/>
                <w:szCs w:val="21"/>
              </w:rPr>
            </w:pPr>
            <w:r>
              <w:rPr>
                <w:rFonts w:hint="eastAsia" w:cs="宋体"/>
                <w:szCs w:val="21"/>
              </w:rPr>
              <w:t>（</w:t>
            </w:r>
            <w:r>
              <w:rPr>
                <w:rFonts w:cs="宋体"/>
                <w:szCs w:val="21"/>
              </w:rPr>
              <w:t>1</w:t>
            </w:r>
            <w:r>
              <w:rPr>
                <w:rFonts w:hint="eastAsia" w:cs="宋体"/>
                <w:szCs w:val="21"/>
              </w:rPr>
              <w:t>分）</w:t>
            </w:r>
          </w:p>
        </w:tc>
        <w:tc>
          <w:tcPr>
            <w:tcW w:w="5528" w:type="dxa"/>
            <w:vAlign w:val="center"/>
          </w:tcPr>
          <w:p w14:paraId="779148CD">
            <w:pPr>
              <w:pStyle w:val="5"/>
              <w:ind w:firstLine="0" w:firstLineChars="0"/>
            </w:pPr>
            <w:r>
              <w:rPr>
                <w:rFonts w:hint="eastAsia"/>
              </w:rPr>
              <w:t>投标人提供有效的质量体系认证、环境体系认证、职业安全健康体系认证得1分，缺少任意一个此项不得分。</w:t>
            </w:r>
          </w:p>
        </w:tc>
      </w:tr>
      <w:tr w14:paraId="001A5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restart"/>
            <w:vAlign w:val="center"/>
          </w:tcPr>
          <w:p w14:paraId="5224E38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2.2.4（2）</w:t>
            </w:r>
          </w:p>
        </w:tc>
        <w:tc>
          <w:tcPr>
            <w:tcW w:w="1129" w:type="dxa"/>
            <w:vMerge w:val="restart"/>
            <w:vAlign w:val="center"/>
          </w:tcPr>
          <w:p w14:paraId="6C38D5B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技术评分标准</w:t>
            </w:r>
          </w:p>
          <w:p w14:paraId="5B6C492A">
            <w:pPr>
              <w:pStyle w:val="5"/>
              <w:ind w:firstLine="0" w:firstLineChars="0"/>
            </w:pPr>
            <w:r>
              <w:rPr>
                <w:rFonts w:hint="eastAsia" w:cs="宋体"/>
                <w:szCs w:val="21"/>
              </w:rPr>
              <w:t>（3</w:t>
            </w:r>
            <w:r>
              <w:rPr>
                <w:rFonts w:cs="宋体"/>
                <w:szCs w:val="21"/>
              </w:rPr>
              <w:t>7</w:t>
            </w:r>
            <w:r>
              <w:rPr>
                <w:rFonts w:hint="eastAsia" w:cs="宋体"/>
                <w:szCs w:val="21"/>
              </w:rPr>
              <w:t>分）</w:t>
            </w:r>
          </w:p>
        </w:tc>
        <w:tc>
          <w:tcPr>
            <w:tcW w:w="2058" w:type="dxa"/>
            <w:vAlign w:val="center"/>
          </w:tcPr>
          <w:p w14:paraId="643FAF31">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投标设备技术性能指标的详细描述</w:t>
            </w:r>
          </w:p>
          <w:p w14:paraId="7A30C9F5">
            <w:pPr>
              <w:pStyle w:val="5"/>
              <w:ind w:firstLine="0" w:firstLineChars="0"/>
              <w:jc w:val="center"/>
              <w:rPr>
                <w:rFonts w:ascii="Calibri" w:hAnsi="Calibri" w:eastAsia="Calibri" w:cs="Calibri"/>
                <w:color w:val="000000"/>
                <w:sz w:val="22"/>
                <w:szCs w:val="22"/>
              </w:rPr>
            </w:pPr>
            <w:r>
              <w:rPr>
                <w:rFonts w:hint="eastAsia" w:cs="宋体"/>
                <w:szCs w:val="21"/>
              </w:rPr>
              <w:t>（</w:t>
            </w:r>
            <w:r>
              <w:rPr>
                <w:rFonts w:cs="宋体"/>
                <w:szCs w:val="21"/>
              </w:rPr>
              <w:t>6</w:t>
            </w:r>
            <w:r>
              <w:rPr>
                <w:rFonts w:hint="eastAsia" w:cs="宋体"/>
                <w:szCs w:val="21"/>
              </w:rPr>
              <w:t>分）</w:t>
            </w:r>
          </w:p>
        </w:tc>
        <w:tc>
          <w:tcPr>
            <w:tcW w:w="5528" w:type="dxa"/>
            <w:vAlign w:val="center"/>
          </w:tcPr>
          <w:p w14:paraId="3CC0B011">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技术参数中，每有一项负偏离扣1分，本项最低得0分。 </w:t>
            </w:r>
          </w:p>
          <w:p w14:paraId="472F63F4">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（本项总分值</w:t>
            </w:r>
            <w:r>
              <w:rPr>
                <w:rFonts w:ascii="Times New Roman" w:hAnsi="Times New Roman" w:eastAsia="宋体" w:cs="宋体"/>
                <w:color w:val="auto"/>
                <w:sz w:val="21"/>
                <w:szCs w:val="21"/>
              </w:rPr>
              <w:t>6</w:t>
            </w:r>
            <w:r>
              <w:rPr>
                <w:rFonts w:hint="eastAsia" w:ascii="Times New Roman" w:hAnsi="Times New Roman" w:eastAsia="宋体" w:cs="宋体"/>
                <w:color w:val="auto"/>
                <w:sz w:val="21"/>
                <w:szCs w:val="21"/>
              </w:rPr>
              <w:t>分。以设备的技术参数（技术条件）指标为准进行评分，不提供不得分；需提供技术白皮书或产品彩页等技术参数中要求的其他证明材料）</w:t>
            </w:r>
          </w:p>
        </w:tc>
      </w:tr>
      <w:tr w14:paraId="13ECC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0CA4F9A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300B4F65">
            <w:pPr>
              <w:pStyle w:val="5"/>
              <w:ind w:firstLine="0" w:firstLineChars="0"/>
              <w:rPr>
                <w:rFonts w:cs="宋体"/>
                <w:szCs w:val="21"/>
              </w:rPr>
            </w:pPr>
          </w:p>
        </w:tc>
        <w:tc>
          <w:tcPr>
            <w:tcW w:w="2058" w:type="dxa"/>
            <w:vAlign w:val="center"/>
          </w:tcPr>
          <w:p w14:paraId="3CF1ACF9">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项目整体实施方案</w:t>
            </w:r>
          </w:p>
          <w:p w14:paraId="1E85AE81">
            <w:pPr>
              <w:widowControl w:val="0"/>
              <w:adjustRightInd w:val="0"/>
              <w:snapToGrid w:val="0"/>
              <w:spacing w:after="0" w:line="280" w:lineRule="exact"/>
              <w:jc w:val="center"/>
              <w:rPr>
                <w:rFonts w:ascii="Times New Roman" w:hAnsi="Times New Roman" w:eastAsia="宋体" w:cs="Times New Roman"/>
                <w:color w:val="auto"/>
                <w:sz w:val="21"/>
                <w:szCs w:val="24"/>
              </w:rPr>
            </w:pP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7</w:t>
            </w:r>
            <w:r>
              <w:rPr>
                <w:rFonts w:hint="eastAsia" w:ascii="Times New Roman" w:hAnsi="Times New Roman" w:eastAsia="宋体" w:cs="宋体"/>
                <w:color w:val="auto"/>
                <w:sz w:val="21"/>
                <w:szCs w:val="21"/>
              </w:rPr>
              <w:t>分）</w:t>
            </w:r>
          </w:p>
        </w:tc>
        <w:tc>
          <w:tcPr>
            <w:tcW w:w="5528" w:type="dxa"/>
            <w:vAlign w:val="center"/>
          </w:tcPr>
          <w:p w14:paraId="09844529">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w:t>
            </w:r>
            <w:r>
              <w:rPr>
                <w:rFonts w:ascii="Times New Roman" w:hAnsi="Times New Roman" w:eastAsia="宋体" w:cs="宋体"/>
                <w:color w:val="auto"/>
                <w:sz w:val="21"/>
                <w:szCs w:val="21"/>
              </w:rPr>
              <w:t>6</w:t>
            </w: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7</w:t>
            </w:r>
            <w:r>
              <w:rPr>
                <w:rFonts w:hint="eastAsia" w:ascii="Times New Roman" w:hAnsi="Times New Roman" w:eastAsia="宋体" w:cs="宋体"/>
                <w:color w:val="auto"/>
                <w:sz w:val="21"/>
                <w:szCs w:val="21"/>
              </w:rPr>
              <w:t>分；</w:t>
            </w:r>
          </w:p>
          <w:p w14:paraId="325DF58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w:t>
            </w:r>
            <w:r>
              <w:rPr>
                <w:rFonts w:ascii="Times New Roman" w:hAnsi="Times New Roman" w:eastAsia="宋体" w:cs="宋体"/>
                <w:color w:val="auto"/>
                <w:sz w:val="21"/>
                <w:szCs w:val="21"/>
              </w:rPr>
              <w:t>5</w:t>
            </w:r>
            <w:r>
              <w:rPr>
                <w:rFonts w:hint="eastAsia" w:ascii="Times New Roman" w:hAnsi="Times New Roman" w:eastAsia="宋体" w:cs="宋体"/>
                <w:color w:val="auto"/>
                <w:sz w:val="21"/>
                <w:szCs w:val="21"/>
              </w:rPr>
              <w:t>分；</w:t>
            </w:r>
          </w:p>
          <w:p w14:paraId="59A05E3B">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784BEDBF">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23B5A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7D0D582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03FCDC8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6A56F7B">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进度保障方案</w:t>
            </w:r>
          </w:p>
          <w:p w14:paraId="63B270E3">
            <w:pPr>
              <w:pStyle w:val="5"/>
              <w:ind w:firstLine="0" w:firstLineChars="0"/>
              <w:jc w:val="center"/>
            </w:pPr>
            <w:r>
              <w:rPr>
                <w:rFonts w:hint="eastAsia" w:cs="宋体"/>
                <w:szCs w:val="21"/>
              </w:rPr>
              <w:t>（6分）</w:t>
            </w:r>
          </w:p>
        </w:tc>
        <w:tc>
          <w:tcPr>
            <w:tcW w:w="5528" w:type="dxa"/>
            <w:vAlign w:val="center"/>
          </w:tcPr>
          <w:p w14:paraId="4FA19EF0">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方案切实可行，详细，科学合理，有针对性的得5-6分；</w:t>
            </w:r>
          </w:p>
          <w:p w14:paraId="065B3B4D">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方案基本可行，较详细、较合理，针对性较强的得3-4分；</w:t>
            </w:r>
          </w:p>
          <w:p w14:paraId="74FEB1D7">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69F9802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7D89B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0A25C03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654AC3E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04B8125">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生产能力和加工设备及工艺</w:t>
            </w:r>
          </w:p>
          <w:p w14:paraId="6BA60955">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（6分）</w:t>
            </w:r>
          </w:p>
        </w:tc>
        <w:tc>
          <w:tcPr>
            <w:tcW w:w="5528" w:type="dxa"/>
            <w:vAlign w:val="center"/>
          </w:tcPr>
          <w:p w14:paraId="5BC0F81E">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生产能力强，人员情况好，加工设备数量充足、性能先进，加工工艺合理先进的得5-6分；</w:t>
            </w:r>
          </w:p>
          <w:p w14:paraId="14FB70E4">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生产能力较强，人员情况较好，加工设备数量较充足、性能较先进加工工艺较合理先进的得3-4分；                                                </w:t>
            </w:r>
          </w:p>
          <w:p w14:paraId="0D269414">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生产能力一般的得1-2分；</w:t>
            </w:r>
          </w:p>
          <w:p w14:paraId="1C0B6E0D">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19A8B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275912B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1F30A5D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2857FAE2">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安装调试方案</w:t>
            </w:r>
          </w:p>
          <w:p w14:paraId="524083A5">
            <w:pPr>
              <w:widowControl w:val="0"/>
              <w:adjustRightInd w:val="0"/>
              <w:snapToGrid w:val="0"/>
              <w:spacing w:after="0" w:line="280" w:lineRule="exact"/>
              <w:jc w:val="center"/>
            </w:pPr>
            <w:r>
              <w:rPr>
                <w:rFonts w:hint="eastAsia" w:cs="宋体"/>
                <w:color w:val="auto"/>
                <w:sz w:val="21"/>
                <w:szCs w:val="21"/>
              </w:rPr>
              <w:t>（6分）</w:t>
            </w:r>
          </w:p>
        </w:tc>
        <w:tc>
          <w:tcPr>
            <w:tcW w:w="5528" w:type="dxa"/>
            <w:vAlign w:val="center"/>
          </w:tcPr>
          <w:p w14:paraId="10073F17">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方案切实可行，详细，科学合理，有针对性的得5-6分；</w:t>
            </w:r>
          </w:p>
          <w:p w14:paraId="010C0949">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方案基本可行，较详细、较合理，针对性较强的得3-4分；</w:t>
            </w:r>
          </w:p>
          <w:p w14:paraId="45CCE446">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605E3875">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270CA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7952100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5C3D68E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AEE6512">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售后服务方案</w:t>
            </w:r>
          </w:p>
          <w:p w14:paraId="66A846BE">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cs="宋体"/>
                <w:color w:val="auto"/>
                <w:sz w:val="21"/>
                <w:szCs w:val="21"/>
              </w:rPr>
              <w:t>（6分）</w:t>
            </w:r>
          </w:p>
        </w:tc>
        <w:tc>
          <w:tcPr>
            <w:tcW w:w="5528" w:type="dxa"/>
            <w:vAlign w:val="center"/>
          </w:tcPr>
          <w:p w14:paraId="60AED3BE">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方案切实可行，详细，科学合理，有针对性的得5-6分；</w:t>
            </w:r>
          </w:p>
          <w:p w14:paraId="2DFE0F5E">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方案基本可行，较详细、较合理，针对性较强的得3-4分；</w:t>
            </w:r>
          </w:p>
          <w:p w14:paraId="06A05FD8">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51899B0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050DA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Align w:val="center"/>
          </w:tcPr>
          <w:p w14:paraId="2CA6AA0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2.2.4（3）</w:t>
            </w:r>
          </w:p>
        </w:tc>
        <w:tc>
          <w:tcPr>
            <w:tcW w:w="1129" w:type="dxa"/>
            <w:vAlign w:val="center"/>
          </w:tcPr>
          <w:p w14:paraId="10D594C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投标报价评分标准</w:t>
            </w:r>
          </w:p>
          <w:p w14:paraId="6CB86B28">
            <w:pPr>
              <w:pStyle w:val="5"/>
              <w:ind w:firstLine="0" w:firstLineChars="0"/>
              <w:jc w:val="center"/>
            </w:pPr>
            <w:r>
              <w:rPr>
                <w:rFonts w:hint="eastAsia" w:cs="宋体"/>
                <w:szCs w:val="21"/>
              </w:rPr>
              <w:t>（60分）</w:t>
            </w:r>
          </w:p>
        </w:tc>
        <w:tc>
          <w:tcPr>
            <w:tcW w:w="2058" w:type="dxa"/>
            <w:vAlign w:val="center"/>
          </w:tcPr>
          <w:p w14:paraId="79F3BC76">
            <w:pPr>
              <w:widowControl w:val="0"/>
              <w:snapToGrid w:val="0"/>
              <w:spacing w:after="0" w:line="360" w:lineRule="auto"/>
              <w:jc w:val="center"/>
              <w:rPr>
                <w:rFonts w:ascii="Times New Roman" w:hAnsi="Times New Roman" w:eastAsia="宋体" w:cs="仿宋"/>
                <w:color w:val="auto"/>
                <w:sz w:val="21"/>
                <w:szCs w:val="21"/>
              </w:rPr>
            </w:pPr>
            <w:r>
              <w:rPr>
                <w:rFonts w:hint="eastAsia" w:ascii="Times New Roman" w:hAnsi="Times New Roman" w:eastAsia="宋体" w:cs="仿宋"/>
                <w:color w:val="auto"/>
                <w:sz w:val="21"/>
                <w:szCs w:val="21"/>
              </w:rPr>
              <w:t>偏差率</w:t>
            </w:r>
          </w:p>
          <w:p w14:paraId="16920078">
            <w:pPr>
              <w:widowControl w:val="0"/>
              <w:snapToGrid w:val="0"/>
              <w:spacing w:after="0" w:line="360" w:lineRule="auto"/>
              <w:jc w:val="center"/>
            </w:pPr>
            <w:r>
              <w:rPr>
                <w:rFonts w:hint="eastAsia" w:ascii="Times New Roman" w:hAnsi="Times New Roman" w:eastAsia="宋体" w:cs="仿宋"/>
                <w:color w:val="auto"/>
                <w:sz w:val="21"/>
                <w:szCs w:val="21"/>
              </w:rPr>
              <w:t>（60分）</w:t>
            </w:r>
          </w:p>
        </w:tc>
        <w:tc>
          <w:tcPr>
            <w:tcW w:w="5528" w:type="dxa"/>
            <w:vAlign w:val="center"/>
          </w:tcPr>
          <w:p w14:paraId="7A28A9F9">
            <w:pPr>
              <w:widowControl w:val="0"/>
              <w:spacing w:after="0" w:line="400" w:lineRule="exact"/>
              <w:rPr>
                <w:rFonts w:ascii="Times New Roman" w:hAnsi="Times New Roman" w:eastAsia="宋体" w:cs="宋体"/>
                <w:color w:val="auto"/>
                <w:sz w:val="21"/>
                <w:szCs w:val="21"/>
              </w:rPr>
            </w:pPr>
            <w:r>
              <w:rPr>
                <w:rFonts w:hint="eastAsia" w:asciiTheme="minorEastAsia" w:hAnsiTheme="minorEastAsia" w:eastAsiaTheme="minorEastAsia" w:cstheme="minorEastAsia"/>
                <w:sz w:val="21"/>
                <w:szCs w:val="21"/>
              </w:rPr>
              <w:t>基准价：如果有效投标单位超过10家(不包含10)，则去掉2个最高价,2个最低价；如果有效投标单位超过5家(不包含5)并不超过10家，则去掉1个最高价,1个最低价；若不超过5家,则不去；将其投标报价取平均值后×100%作为评标基准价。扣分公式：投标报价与基准价相比的偏差率，每高1%扣0.1分，每低1%扣0.1分,注：使用直线插值法计算。</w:t>
            </w:r>
          </w:p>
        </w:tc>
      </w:tr>
      <w:tr w14:paraId="7856B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Align w:val="center"/>
          </w:tcPr>
          <w:p w14:paraId="76C02B9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2.2.4（4）</w:t>
            </w:r>
          </w:p>
        </w:tc>
        <w:tc>
          <w:tcPr>
            <w:tcW w:w="1129" w:type="dxa"/>
            <w:vAlign w:val="center"/>
          </w:tcPr>
          <w:p w14:paraId="455528E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其他因素评分标准</w:t>
            </w:r>
          </w:p>
          <w:p w14:paraId="6F0F193B">
            <w:pPr>
              <w:pStyle w:val="5"/>
              <w:ind w:firstLine="0" w:firstLineChars="0"/>
              <w:jc w:val="center"/>
            </w:pPr>
            <w:r>
              <w:rPr>
                <w:rFonts w:hint="eastAsia" w:cs="宋体"/>
                <w:szCs w:val="21"/>
              </w:rPr>
              <w:t>（2分）</w:t>
            </w:r>
          </w:p>
        </w:tc>
        <w:tc>
          <w:tcPr>
            <w:tcW w:w="2058" w:type="dxa"/>
            <w:vAlign w:val="center"/>
          </w:tcPr>
          <w:p w14:paraId="3147DB2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企业业绩</w:t>
            </w:r>
          </w:p>
          <w:p w14:paraId="2CB0392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（2分）</w:t>
            </w:r>
          </w:p>
        </w:tc>
        <w:tc>
          <w:tcPr>
            <w:tcW w:w="5528" w:type="dxa"/>
            <w:vAlign w:val="center"/>
          </w:tcPr>
          <w:p w14:paraId="7F8E0F11">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近3年（2022年1月至今），投标人具有类似项目业绩，每有一个合同得2分，最多得2分。</w:t>
            </w:r>
          </w:p>
          <w:p w14:paraId="07E5075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（需提供合同协议书复印件并加盖公章）</w:t>
            </w:r>
          </w:p>
        </w:tc>
      </w:tr>
    </w:tbl>
    <w:p w14:paraId="30B56551">
      <w:pPr>
        <w:spacing w:after="0" w:line="500" w:lineRule="exact"/>
        <w:ind w:firstLine="442" w:firstLineChars="200"/>
        <w:rPr>
          <w:rFonts w:ascii="Times New Roman" w:hAnsi="Times New Roman" w:eastAsia="宋体"/>
          <w:color w:val="auto"/>
          <w:sz w:val="28"/>
          <w:szCs w:val="28"/>
        </w:rPr>
      </w:pPr>
      <w:r>
        <w:rPr>
          <w:rFonts w:hint="eastAsia" w:ascii="Times New Roman" w:hAnsi="Times New Roman" w:eastAsia="宋体" w:cs="宋体"/>
          <w:b/>
          <w:color w:val="auto"/>
        </w:rPr>
        <w:br w:type="page"/>
      </w:r>
      <w:bookmarkStart w:id="247" w:name="_Toc1988"/>
      <w:bookmarkStart w:id="248" w:name="_Toc15089"/>
      <w:bookmarkStart w:id="249" w:name="_Toc56792768"/>
      <w:r>
        <w:rPr>
          <w:rStyle w:val="25"/>
          <w:rFonts w:hint="eastAsia" w:ascii="Times New Roman" w:hAnsi="Times New Roman" w:cs="宋体"/>
          <w:bCs/>
          <w:color w:val="auto"/>
          <w:szCs w:val="21"/>
        </w:rPr>
        <w:t>1.评标办法</w:t>
      </w:r>
      <w:bookmarkEnd w:id="247"/>
    </w:p>
    <w:p w14:paraId="39FC9FE1">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本次评标采用综合评估法。评标委员会对满足招标文件实质性要求的投标文件，按照本章 第</w:t>
      </w:r>
      <w:r>
        <w:rPr>
          <w:rFonts w:ascii="Times New Roman" w:hAnsi="Times New Roman" w:eastAsia="宋体" w:cs="Times New Roman"/>
          <w:color w:val="auto"/>
          <w:kern w:val="0"/>
          <w:sz w:val="28"/>
          <w:szCs w:val="28"/>
          <w:lang w:bidi="ar"/>
        </w:rPr>
        <w:t xml:space="preserve">2.2 </w:t>
      </w:r>
      <w:r>
        <w:rPr>
          <w:rFonts w:hint="eastAsia" w:ascii="Times New Roman" w:hAnsi="Times New Roman" w:eastAsia="宋体" w:cs="宋体"/>
          <w:color w:val="auto"/>
          <w:kern w:val="0"/>
          <w:sz w:val="28"/>
          <w:szCs w:val="28"/>
          <w:lang w:bidi="ar"/>
        </w:rPr>
        <w:t>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p w14:paraId="2B8E5135">
      <w:pPr>
        <w:spacing w:after="0" w:line="500" w:lineRule="exact"/>
        <w:ind w:firstLine="562" w:firstLineChars="200"/>
        <w:rPr>
          <w:rStyle w:val="25"/>
          <w:rFonts w:ascii="Times New Roman" w:hAnsi="Times New Roman" w:cs="宋体"/>
          <w:bCs/>
          <w:color w:val="auto"/>
          <w:szCs w:val="21"/>
        </w:rPr>
      </w:pPr>
      <w:bookmarkStart w:id="250" w:name="_Toc10203"/>
      <w:r>
        <w:rPr>
          <w:rStyle w:val="25"/>
          <w:rFonts w:ascii="Times New Roman" w:hAnsi="Times New Roman" w:cs="宋体"/>
          <w:bCs/>
          <w:color w:val="auto"/>
          <w:szCs w:val="21"/>
        </w:rPr>
        <w:t>2</w:t>
      </w:r>
      <w:r>
        <w:rPr>
          <w:rStyle w:val="25"/>
          <w:rFonts w:hint="eastAsia" w:ascii="Times New Roman" w:hAnsi="Times New Roman" w:cs="宋体"/>
          <w:bCs/>
          <w:color w:val="auto"/>
          <w:szCs w:val="21"/>
        </w:rPr>
        <w:t>.评审标准</w:t>
      </w:r>
      <w:r>
        <w:rPr>
          <w:rStyle w:val="25"/>
          <w:rFonts w:ascii="Times New Roman" w:hAnsi="Times New Roman" w:cs="宋体"/>
          <w:bCs/>
          <w:color w:val="auto"/>
          <w:szCs w:val="21"/>
        </w:rPr>
        <w:t xml:space="preserve"> </w:t>
      </w:r>
    </w:p>
    <w:bookmarkEnd w:id="250"/>
    <w:p w14:paraId="0DCE2943">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2.1 </w:t>
      </w:r>
      <w:r>
        <w:rPr>
          <w:rFonts w:hint="eastAsia" w:ascii="Times New Roman" w:hAnsi="Times New Roman" w:eastAsia="宋体" w:cs="黑体"/>
          <w:color w:val="auto"/>
          <w:kern w:val="0"/>
          <w:sz w:val="28"/>
          <w:szCs w:val="28"/>
          <w:lang w:bidi="ar"/>
        </w:rPr>
        <w:t>初步评审标准</w:t>
      </w:r>
      <w:r>
        <w:rPr>
          <w:rFonts w:ascii="Times New Roman" w:hAnsi="Times New Roman" w:eastAsia="宋体" w:cs="Times New Roman"/>
          <w:color w:val="auto"/>
          <w:kern w:val="0"/>
          <w:sz w:val="28"/>
          <w:szCs w:val="28"/>
          <w:lang w:bidi="ar"/>
        </w:rPr>
        <w:t xml:space="preserve"> </w:t>
      </w:r>
    </w:p>
    <w:p w14:paraId="39119BFF">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2.1.1 </w:t>
      </w:r>
      <w:r>
        <w:rPr>
          <w:rFonts w:hint="eastAsia" w:ascii="Times New Roman" w:hAnsi="Times New Roman" w:eastAsia="宋体" w:cs="宋体"/>
          <w:color w:val="auto"/>
          <w:kern w:val="0"/>
          <w:sz w:val="28"/>
          <w:szCs w:val="28"/>
          <w:lang w:bidi="ar"/>
        </w:rPr>
        <w:t>形式评审标准：见评标办法前附表。</w:t>
      </w:r>
      <w:r>
        <w:rPr>
          <w:rFonts w:ascii="Times New Roman" w:hAnsi="Times New Roman" w:eastAsia="宋体" w:cs="Times New Roman"/>
          <w:color w:val="auto"/>
          <w:kern w:val="0"/>
          <w:sz w:val="28"/>
          <w:szCs w:val="28"/>
          <w:lang w:bidi="ar"/>
        </w:rPr>
        <w:t xml:space="preserve"> </w:t>
      </w:r>
    </w:p>
    <w:p w14:paraId="739A695D">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2.1.2 </w:t>
      </w:r>
      <w:r>
        <w:rPr>
          <w:rFonts w:hint="eastAsia" w:ascii="Times New Roman" w:hAnsi="Times New Roman" w:eastAsia="宋体" w:cs="宋体"/>
          <w:color w:val="auto"/>
          <w:kern w:val="0"/>
          <w:sz w:val="28"/>
          <w:szCs w:val="28"/>
          <w:lang w:bidi="ar"/>
        </w:rPr>
        <w:t>资格评审标准：见评标办法前附表。</w:t>
      </w:r>
      <w:r>
        <w:rPr>
          <w:rFonts w:ascii="Times New Roman" w:hAnsi="Times New Roman" w:eastAsia="宋体" w:cs="Times New Roman"/>
          <w:color w:val="auto"/>
          <w:kern w:val="0"/>
          <w:sz w:val="28"/>
          <w:szCs w:val="28"/>
          <w:lang w:bidi="ar"/>
        </w:rPr>
        <w:t xml:space="preserve"> </w:t>
      </w:r>
    </w:p>
    <w:p w14:paraId="05C90BE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2.1.3 </w:t>
      </w:r>
      <w:r>
        <w:rPr>
          <w:rFonts w:hint="eastAsia" w:ascii="Times New Roman" w:hAnsi="Times New Roman" w:eastAsia="宋体" w:cs="宋体"/>
          <w:color w:val="auto"/>
          <w:kern w:val="0"/>
          <w:sz w:val="28"/>
          <w:szCs w:val="28"/>
          <w:lang w:bidi="ar"/>
        </w:rPr>
        <w:t>响应性评审标准：见评标办法前附表。</w:t>
      </w:r>
      <w:r>
        <w:rPr>
          <w:rFonts w:ascii="Times New Roman" w:hAnsi="Times New Roman" w:eastAsia="宋体" w:cs="Times New Roman"/>
          <w:color w:val="auto"/>
          <w:kern w:val="0"/>
          <w:sz w:val="28"/>
          <w:szCs w:val="28"/>
          <w:lang w:bidi="ar"/>
        </w:rPr>
        <w:t xml:space="preserve"> </w:t>
      </w:r>
    </w:p>
    <w:p w14:paraId="0CDB2F62">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 </w:t>
      </w:r>
      <w:r>
        <w:rPr>
          <w:rFonts w:hint="eastAsia" w:ascii="Times New Roman" w:hAnsi="Times New Roman" w:eastAsia="宋体" w:cs="黑体"/>
          <w:color w:val="auto"/>
          <w:kern w:val="0"/>
          <w:sz w:val="28"/>
          <w:szCs w:val="28"/>
          <w:lang w:bidi="ar"/>
        </w:rPr>
        <w:t>分值构成与评分标准</w:t>
      </w:r>
      <w:r>
        <w:rPr>
          <w:rFonts w:ascii="Times New Roman" w:hAnsi="Times New Roman" w:eastAsia="宋体" w:cs="Times New Roman"/>
          <w:color w:val="auto"/>
          <w:kern w:val="0"/>
          <w:sz w:val="28"/>
          <w:szCs w:val="28"/>
          <w:lang w:bidi="ar"/>
        </w:rPr>
        <w:t xml:space="preserve"> </w:t>
      </w:r>
    </w:p>
    <w:p w14:paraId="4FB5837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2.2.1 </w:t>
      </w:r>
      <w:r>
        <w:rPr>
          <w:rFonts w:hint="eastAsia" w:ascii="Times New Roman" w:hAnsi="Times New Roman" w:eastAsia="宋体" w:cs="宋体"/>
          <w:color w:val="auto"/>
          <w:kern w:val="0"/>
          <w:sz w:val="28"/>
          <w:szCs w:val="28"/>
          <w:lang w:bidi="ar"/>
        </w:rPr>
        <w:t>分值构成</w:t>
      </w:r>
      <w:r>
        <w:rPr>
          <w:rFonts w:ascii="Times New Roman" w:hAnsi="Times New Roman" w:eastAsia="宋体" w:cs="Times New Roman"/>
          <w:color w:val="auto"/>
          <w:kern w:val="0"/>
          <w:sz w:val="28"/>
          <w:szCs w:val="28"/>
          <w:lang w:bidi="ar"/>
        </w:rPr>
        <w:t xml:space="preserve"> </w:t>
      </w:r>
    </w:p>
    <w:p w14:paraId="018237CB">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）商务部分：见评标办法前附表；</w:t>
      </w:r>
      <w:r>
        <w:rPr>
          <w:rFonts w:ascii="Times New Roman" w:hAnsi="Times New Roman" w:eastAsia="宋体" w:cs="Times New Roman"/>
          <w:color w:val="auto"/>
          <w:kern w:val="0"/>
          <w:sz w:val="28"/>
          <w:szCs w:val="28"/>
          <w:lang w:bidi="ar"/>
        </w:rPr>
        <w:t xml:space="preserve"> </w:t>
      </w:r>
    </w:p>
    <w:p w14:paraId="7BA31101">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）技术部分：见评标办法前附表；</w:t>
      </w:r>
      <w:r>
        <w:rPr>
          <w:rFonts w:ascii="Times New Roman" w:hAnsi="Times New Roman" w:eastAsia="宋体" w:cs="Times New Roman"/>
          <w:color w:val="auto"/>
          <w:kern w:val="0"/>
          <w:sz w:val="28"/>
          <w:szCs w:val="28"/>
          <w:lang w:bidi="ar"/>
        </w:rPr>
        <w:t xml:space="preserve"> </w:t>
      </w:r>
    </w:p>
    <w:p w14:paraId="39D03E4A">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）投标报价：见评标办法前附表；</w:t>
      </w:r>
      <w:r>
        <w:rPr>
          <w:rFonts w:ascii="Times New Roman" w:hAnsi="Times New Roman" w:eastAsia="宋体" w:cs="Times New Roman"/>
          <w:color w:val="auto"/>
          <w:kern w:val="0"/>
          <w:sz w:val="28"/>
          <w:szCs w:val="28"/>
          <w:lang w:bidi="ar"/>
        </w:rPr>
        <w:t xml:space="preserve"> </w:t>
      </w:r>
    </w:p>
    <w:p w14:paraId="04F263B2">
      <w:pPr>
        <w:spacing w:after="0" w:line="500" w:lineRule="exact"/>
        <w:ind w:firstLine="560" w:firstLineChars="200"/>
        <w:rPr>
          <w:rFonts w:ascii="Times New Roman" w:hAnsi="Times New Roman" w:eastAsia="宋体" w:cs="Times New Roman"/>
          <w:color w:val="auto"/>
          <w:kern w:val="0"/>
          <w:sz w:val="28"/>
          <w:szCs w:val="28"/>
          <w:lang w:bidi="ar"/>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）其他评分因素：见评标办法前附表。</w:t>
      </w:r>
      <w:r>
        <w:rPr>
          <w:rFonts w:ascii="Times New Roman" w:hAnsi="Times New Roman" w:eastAsia="宋体" w:cs="Times New Roman"/>
          <w:color w:val="auto"/>
          <w:kern w:val="0"/>
          <w:sz w:val="28"/>
          <w:szCs w:val="28"/>
          <w:lang w:bidi="ar"/>
        </w:rPr>
        <w:t xml:space="preserve"> </w:t>
      </w:r>
    </w:p>
    <w:p w14:paraId="61E749BA">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2.2.2 </w:t>
      </w:r>
      <w:r>
        <w:rPr>
          <w:rFonts w:hint="eastAsia" w:ascii="Times New Roman" w:hAnsi="Times New Roman" w:eastAsia="宋体" w:cs="宋体"/>
          <w:color w:val="auto"/>
          <w:kern w:val="0"/>
          <w:sz w:val="28"/>
          <w:szCs w:val="28"/>
          <w:lang w:bidi="ar"/>
        </w:rPr>
        <w:t>评标基准价计算</w:t>
      </w:r>
      <w:r>
        <w:rPr>
          <w:rFonts w:ascii="Times New Roman" w:hAnsi="Times New Roman" w:eastAsia="宋体" w:cs="Times New Roman"/>
          <w:color w:val="auto"/>
          <w:kern w:val="0"/>
          <w:sz w:val="28"/>
          <w:szCs w:val="28"/>
          <w:lang w:bidi="ar"/>
        </w:rPr>
        <w:t xml:space="preserve"> </w:t>
      </w:r>
    </w:p>
    <w:p w14:paraId="010448E7">
      <w:pPr>
        <w:spacing w:after="0" w:line="500" w:lineRule="exact"/>
        <w:ind w:firstLine="560" w:firstLineChars="200"/>
        <w:rPr>
          <w:rFonts w:ascii="Times New Roman" w:hAnsi="Times New Roman" w:eastAsia="宋体" w:cs="宋体"/>
          <w:color w:val="auto"/>
          <w:kern w:val="0"/>
          <w:sz w:val="28"/>
          <w:szCs w:val="28"/>
          <w:lang w:bidi="ar"/>
        </w:rPr>
      </w:pPr>
      <w:r>
        <w:rPr>
          <w:rFonts w:hint="eastAsia" w:ascii="Times New Roman" w:hAnsi="Times New Roman" w:eastAsia="宋体" w:cs="宋体"/>
          <w:color w:val="auto"/>
          <w:kern w:val="0"/>
          <w:sz w:val="28"/>
          <w:szCs w:val="28"/>
          <w:lang w:bidi="ar"/>
        </w:rPr>
        <w:t>评标基准价计算方法：见评标办法前附表。</w:t>
      </w:r>
    </w:p>
    <w:p w14:paraId="1C6D81B7">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 2.2.3 </w:t>
      </w:r>
      <w:r>
        <w:rPr>
          <w:rFonts w:hint="eastAsia" w:ascii="Times New Roman" w:hAnsi="Times New Roman" w:eastAsia="宋体" w:cs="宋体"/>
          <w:color w:val="auto"/>
          <w:kern w:val="0"/>
          <w:sz w:val="28"/>
          <w:szCs w:val="28"/>
          <w:lang w:bidi="ar"/>
        </w:rPr>
        <w:t>投标报价的偏差率计算</w:t>
      </w:r>
      <w:r>
        <w:rPr>
          <w:rFonts w:ascii="Times New Roman" w:hAnsi="Times New Roman" w:eastAsia="宋体" w:cs="Times New Roman"/>
          <w:color w:val="auto"/>
          <w:kern w:val="0"/>
          <w:sz w:val="28"/>
          <w:szCs w:val="28"/>
          <w:lang w:bidi="ar"/>
        </w:rPr>
        <w:t xml:space="preserve"> </w:t>
      </w:r>
    </w:p>
    <w:p w14:paraId="3015FB03">
      <w:pPr>
        <w:spacing w:after="0" w:line="500" w:lineRule="exact"/>
        <w:ind w:firstLine="560" w:firstLineChars="200"/>
        <w:rPr>
          <w:rFonts w:ascii="Times New Roman" w:hAnsi="Times New Roman" w:eastAsia="宋体" w:cs="Times New Roman"/>
          <w:color w:val="auto"/>
          <w:kern w:val="0"/>
          <w:sz w:val="28"/>
          <w:szCs w:val="28"/>
          <w:lang w:bidi="ar"/>
        </w:rPr>
      </w:pPr>
      <w:r>
        <w:rPr>
          <w:rFonts w:hint="eastAsia" w:ascii="Times New Roman" w:hAnsi="Times New Roman" w:eastAsia="宋体" w:cs="宋体"/>
          <w:color w:val="auto"/>
          <w:kern w:val="0"/>
          <w:sz w:val="28"/>
          <w:szCs w:val="28"/>
          <w:lang w:bidi="ar"/>
        </w:rPr>
        <w:t>投标报价的偏差率计算公式：见评标办法前附表。</w:t>
      </w:r>
      <w:r>
        <w:rPr>
          <w:rFonts w:ascii="Times New Roman" w:hAnsi="Times New Roman" w:eastAsia="宋体" w:cs="Times New Roman"/>
          <w:color w:val="auto"/>
          <w:kern w:val="0"/>
          <w:sz w:val="28"/>
          <w:szCs w:val="28"/>
          <w:lang w:bidi="ar"/>
        </w:rPr>
        <w:t xml:space="preserve"> </w:t>
      </w:r>
    </w:p>
    <w:p w14:paraId="564B638A">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2.2.4 </w:t>
      </w:r>
      <w:r>
        <w:rPr>
          <w:rFonts w:hint="eastAsia" w:ascii="Times New Roman" w:hAnsi="Times New Roman" w:eastAsia="宋体" w:cs="宋体"/>
          <w:color w:val="auto"/>
          <w:kern w:val="0"/>
          <w:sz w:val="28"/>
          <w:szCs w:val="28"/>
          <w:lang w:bidi="ar"/>
        </w:rPr>
        <w:t>评分标准</w:t>
      </w:r>
      <w:r>
        <w:rPr>
          <w:rFonts w:ascii="Times New Roman" w:hAnsi="Times New Roman" w:eastAsia="宋体" w:cs="Times New Roman"/>
          <w:color w:val="auto"/>
          <w:kern w:val="0"/>
          <w:sz w:val="28"/>
          <w:szCs w:val="28"/>
          <w:lang w:bidi="ar"/>
        </w:rPr>
        <w:t xml:space="preserve"> </w:t>
      </w:r>
    </w:p>
    <w:p w14:paraId="2536853B">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）商务评分标准：见评标办法前附表；</w:t>
      </w:r>
      <w:r>
        <w:rPr>
          <w:rFonts w:ascii="Times New Roman" w:hAnsi="Times New Roman" w:eastAsia="宋体" w:cs="Times New Roman"/>
          <w:color w:val="auto"/>
          <w:kern w:val="0"/>
          <w:sz w:val="28"/>
          <w:szCs w:val="28"/>
          <w:lang w:bidi="ar"/>
        </w:rPr>
        <w:t xml:space="preserve"> </w:t>
      </w:r>
    </w:p>
    <w:p w14:paraId="37A1ED5E">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）技术评分标准：见评标办法前附表；</w:t>
      </w:r>
      <w:r>
        <w:rPr>
          <w:rFonts w:ascii="Times New Roman" w:hAnsi="Times New Roman" w:eastAsia="宋体" w:cs="Times New Roman"/>
          <w:color w:val="auto"/>
          <w:kern w:val="0"/>
          <w:sz w:val="28"/>
          <w:szCs w:val="28"/>
          <w:lang w:bidi="ar"/>
        </w:rPr>
        <w:t xml:space="preserve"> </w:t>
      </w:r>
    </w:p>
    <w:p w14:paraId="5A1C0D2F">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）投标报价评分标准：见评标办法前附表；</w:t>
      </w:r>
      <w:r>
        <w:rPr>
          <w:rFonts w:ascii="Times New Roman" w:hAnsi="Times New Roman" w:eastAsia="宋体" w:cs="Times New Roman"/>
          <w:color w:val="auto"/>
          <w:kern w:val="0"/>
          <w:sz w:val="28"/>
          <w:szCs w:val="28"/>
          <w:lang w:bidi="ar"/>
        </w:rPr>
        <w:t xml:space="preserve"> </w:t>
      </w:r>
    </w:p>
    <w:p w14:paraId="01329C58">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）其他因素评分标准：见评标办法前附表。</w:t>
      </w:r>
      <w:r>
        <w:rPr>
          <w:rFonts w:ascii="Times New Roman" w:hAnsi="Times New Roman" w:eastAsia="宋体" w:cs="Times New Roman"/>
          <w:color w:val="auto"/>
          <w:kern w:val="0"/>
          <w:sz w:val="28"/>
          <w:szCs w:val="28"/>
          <w:lang w:bidi="ar"/>
        </w:rPr>
        <w:t xml:space="preserve"> </w:t>
      </w:r>
    </w:p>
    <w:p w14:paraId="0DA48E66">
      <w:pPr>
        <w:spacing w:after="0" w:line="500" w:lineRule="exact"/>
        <w:ind w:firstLine="562" w:firstLineChars="200"/>
        <w:rPr>
          <w:rStyle w:val="25"/>
          <w:rFonts w:ascii="Times New Roman" w:hAnsi="Times New Roman" w:cs="宋体"/>
          <w:bCs/>
          <w:color w:val="auto"/>
          <w:szCs w:val="21"/>
        </w:rPr>
      </w:pPr>
      <w:bookmarkStart w:id="251" w:name="_Toc2422"/>
      <w:r>
        <w:rPr>
          <w:rStyle w:val="25"/>
          <w:rFonts w:ascii="Times New Roman" w:hAnsi="Times New Roman" w:cs="宋体"/>
          <w:bCs/>
          <w:color w:val="auto"/>
          <w:szCs w:val="21"/>
        </w:rPr>
        <w:t>3.</w:t>
      </w:r>
      <w:r>
        <w:rPr>
          <w:rStyle w:val="25"/>
          <w:rFonts w:hint="eastAsia" w:ascii="Times New Roman" w:hAnsi="Times New Roman" w:cs="宋体"/>
          <w:bCs/>
          <w:color w:val="auto"/>
          <w:szCs w:val="21"/>
        </w:rPr>
        <w:t>评标程序</w:t>
      </w:r>
      <w:r>
        <w:rPr>
          <w:rStyle w:val="25"/>
          <w:rFonts w:ascii="Times New Roman" w:hAnsi="Times New Roman" w:cs="宋体"/>
          <w:bCs/>
          <w:color w:val="auto"/>
          <w:szCs w:val="21"/>
        </w:rPr>
        <w:t xml:space="preserve"> </w:t>
      </w:r>
    </w:p>
    <w:bookmarkEnd w:id="251"/>
    <w:p w14:paraId="7CF79BE5">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3.1 </w:t>
      </w:r>
      <w:r>
        <w:rPr>
          <w:rFonts w:hint="eastAsia" w:ascii="Times New Roman" w:hAnsi="Times New Roman" w:eastAsia="宋体" w:cs="黑体"/>
          <w:color w:val="auto"/>
          <w:kern w:val="0"/>
          <w:sz w:val="28"/>
          <w:szCs w:val="28"/>
          <w:lang w:bidi="ar"/>
        </w:rPr>
        <w:t>初步评审</w:t>
      </w:r>
      <w:r>
        <w:rPr>
          <w:rFonts w:ascii="Times New Roman" w:hAnsi="Times New Roman" w:eastAsia="宋体" w:cs="Times New Roman"/>
          <w:color w:val="auto"/>
          <w:kern w:val="0"/>
          <w:sz w:val="28"/>
          <w:szCs w:val="28"/>
          <w:lang w:bidi="ar"/>
        </w:rPr>
        <w:t xml:space="preserve"> </w:t>
      </w:r>
    </w:p>
    <w:p w14:paraId="4224986A">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3.1.1 </w:t>
      </w:r>
      <w:r>
        <w:rPr>
          <w:rFonts w:hint="eastAsia" w:ascii="Times New Roman" w:hAnsi="Times New Roman" w:eastAsia="宋体" w:cs="宋体"/>
          <w:color w:val="auto"/>
          <w:kern w:val="0"/>
          <w:sz w:val="28"/>
          <w:szCs w:val="28"/>
          <w:lang w:bidi="ar"/>
        </w:rPr>
        <w:t>评标委员会可以要求投标人提交第二章</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投标人须知</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 xml:space="preserve">规定的有关证明和证件的原件，以便核验。评标委员会依据本章第 </w:t>
      </w:r>
      <w:r>
        <w:rPr>
          <w:rFonts w:ascii="Times New Roman" w:hAnsi="Times New Roman" w:eastAsia="宋体" w:cs="Times New Roman"/>
          <w:color w:val="auto"/>
          <w:kern w:val="0"/>
          <w:sz w:val="28"/>
          <w:szCs w:val="28"/>
          <w:lang w:bidi="ar"/>
        </w:rPr>
        <w:t xml:space="preserve">2.1 </w:t>
      </w:r>
      <w:r>
        <w:rPr>
          <w:rFonts w:hint="eastAsia" w:ascii="Times New Roman" w:hAnsi="Times New Roman" w:eastAsia="宋体" w:cs="宋体"/>
          <w:color w:val="auto"/>
          <w:kern w:val="0"/>
          <w:sz w:val="28"/>
          <w:szCs w:val="28"/>
          <w:lang w:bidi="ar"/>
        </w:rPr>
        <w:t>款规定的标准对投标文件进行初步评审。有一项不符合评审标准的，评标委员会应当否决其投标。</w:t>
      </w:r>
      <w:r>
        <w:rPr>
          <w:rFonts w:ascii="Times New Roman" w:hAnsi="Times New Roman" w:eastAsia="宋体" w:cs="Times New Roman"/>
          <w:color w:val="auto"/>
          <w:kern w:val="0"/>
          <w:sz w:val="28"/>
          <w:szCs w:val="28"/>
          <w:lang w:bidi="ar"/>
        </w:rPr>
        <w:t xml:space="preserve"> </w:t>
      </w:r>
    </w:p>
    <w:p w14:paraId="10F7F241">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3.1.2 </w:t>
      </w:r>
      <w:r>
        <w:rPr>
          <w:rFonts w:hint="eastAsia" w:ascii="Times New Roman" w:hAnsi="Times New Roman" w:eastAsia="宋体" w:cs="宋体"/>
          <w:color w:val="auto"/>
          <w:kern w:val="0"/>
          <w:sz w:val="28"/>
          <w:szCs w:val="28"/>
          <w:lang w:bidi="ar"/>
        </w:rPr>
        <w:t>投标人有以下情形之一的，评标委员会应当否决其投标：</w:t>
      </w:r>
      <w:r>
        <w:rPr>
          <w:rFonts w:ascii="Times New Roman" w:hAnsi="Times New Roman" w:eastAsia="宋体" w:cs="Times New Roman"/>
          <w:color w:val="auto"/>
          <w:kern w:val="0"/>
          <w:sz w:val="28"/>
          <w:szCs w:val="28"/>
          <w:lang w:bidi="ar"/>
        </w:rPr>
        <w:t xml:space="preserve"> </w:t>
      </w:r>
    </w:p>
    <w:p w14:paraId="13154FA1">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）投标文件没有对招标文件的实质性要求和条件作出响应，或者对招标文件的偏差超出 招标文件规定的偏差范围或最高项数；</w:t>
      </w:r>
      <w:r>
        <w:rPr>
          <w:rFonts w:ascii="Times New Roman" w:hAnsi="Times New Roman" w:eastAsia="宋体" w:cs="Times New Roman"/>
          <w:color w:val="auto"/>
          <w:kern w:val="0"/>
          <w:sz w:val="28"/>
          <w:szCs w:val="28"/>
          <w:lang w:bidi="ar"/>
        </w:rPr>
        <w:t xml:space="preserve"> </w:t>
      </w:r>
    </w:p>
    <w:p w14:paraId="339C86D1">
      <w:pPr>
        <w:spacing w:after="0" w:line="500" w:lineRule="exact"/>
        <w:ind w:firstLine="560" w:firstLineChars="200"/>
        <w:rPr>
          <w:rFonts w:ascii="Times New Roman" w:hAnsi="Times New Roman" w:eastAsia="宋体" w:cs="宋体"/>
          <w:color w:val="auto"/>
          <w:kern w:val="0"/>
          <w:sz w:val="28"/>
          <w:szCs w:val="28"/>
          <w:lang w:bidi="ar"/>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）有串通投标、弄虚作假、行贿等违法行为。</w:t>
      </w:r>
    </w:p>
    <w:p w14:paraId="16ECC3AA">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 3.1.3 </w:t>
      </w:r>
      <w:r>
        <w:rPr>
          <w:rFonts w:hint="eastAsia" w:ascii="Times New Roman" w:hAnsi="Times New Roman" w:eastAsia="宋体" w:cs="宋体"/>
          <w:color w:val="auto"/>
          <w:kern w:val="0"/>
          <w:sz w:val="28"/>
          <w:szCs w:val="28"/>
          <w:lang w:bidi="ar"/>
        </w:rPr>
        <w:t>投标报价有算术错误及其他错误的，评标委员会按以下原则要求投标人对投标报价进行修正，并要求投标人书面澄清确认。投标人拒不澄清确认的，评标委员会应当否决其投标：</w:t>
      </w:r>
      <w:r>
        <w:rPr>
          <w:rFonts w:ascii="Times New Roman" w:hAnsi="Times New Roman" w:eastAsia="宋体" w:cs="Times New Roman"/>
          <w:color w:val="auto"/>
          <w:kern w:val="0"/>
          <w:sz w:val="28"/>
          <w:szCs w:val="28"/>
          <w:lang w:bidi="ar"/>
        </w:rPr>
        <w:t xml:space="preserve"> </w:t>
      </w:r>
    </w:p>
    <w:p w14:paraId="141B0C07">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）投标文件中的大写金额与小写金额不一致的，以大写金额为准；</w:t>
      </w:r>
      <w:r>
        <w:rPr>
          <w:rFonts w:ascii="Times New Roman" w:hAnsi="Times New Roman" w:eastAsia="宋体" w:cs="Times New Roman"/>
          <w:color w:val="auto"/>
          <w:kern w:val="0"/>
          <w:sz w:val="28"/>
          <w:szCs w:val="28"/>
          <w:lang w:bidi="ar"/>
        </w:rPr>
        <w:t xml:space="preserve"> </w:t>
      </w:r>
    </w:p>
    <w:p w14:paraId="6CA93604">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）总价金额与单价金额不一致的，以单价金额为准，但单价金额小数点有明显错误的除外；</w:t>
      </w:r>
      <w:r>
        <w:rPr>
          <w:rFonts w:ascii="Times New Roman" w:hAnsi="Times New Roman" w:eastAsia="宋体" w:cs="Times New Roman"/>
          <w:color w:val="auto"/>
          <w:kern w:val="0"/>
          <w:sz w:val="28"/>
          <w:szCs w:val="28"/>
          <w:lang w:bidi="ar"/>
        </w:rPr>
        <w:t xml:space="preserve"> </w:t>
      </w:r>
    </w:p>
    <w:p w14:paraId="328A309D">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）投标报价为各分项报价金额之和，投标报价与分项报价的合价不一致的，应以各分项合价累计数为准，修正投标报价；</w:t>
      </w:r>
      <w:r>
        <w:rPr>
          <w:rFonts w:ascii="Times New Roman" w:hAnsi="Times New Roman" w:eastAsia="宋体" w:cs="Times New Roman"/>
          <w:color w:val="auto"/>
          <w:kern w:val="0"/>
          <w:sz w:val="28"/>
          <w:szCs w:val="28"/>
          <w:lang w:bidi="ar"/>
        </w:rPr>
        <w:t xml:space="preserve"> </w:t>
      </w:r>
    </w:p>
    <w:p w14:paraId="7A77C5EE">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）如果分项报价中存在缺漏项，则视为缺漏项价格已包含在其他分项报价之中。</w:t>
      </w:r>
      <w:r>
        <w:rPr>
          <w:rFonts w:ascii="Times New Roman" w:hAnsi="Times New Roman" w:eastAsia="宋体" w:cs="Times New Roman"/>
          <w:color w:val="auto"/>
          <w:kern w:val="0"/>
          <w:sz w:val="28"/>
          <w:szCs w:val="28"/>
          <w:lang w:bidi="ar"/>
        </w:rPr>
        <w:t xml:space="preserve"> </w:t>
      </w:r>
    </w:p>
    <w:p w14:paraId="5FF145E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3.2 </w:t>
      </w:r>
      <w:r>
        <w:rPr>
          <w:rFonts w:hint="eastAsia" w:ascii="Times New Roman" w:hAnsi="Times New Roman" w:eastAsia="宋体" w:cs="黑体"/>
          <w:color w:val="auto"/>
          <w:kern w:val="0"/>
          <w:sz w:val="28"/>
          <w:szCs w:val="28"/>
          <w:lang w:bidi="ar"/>
        </w:rPr>
        <w:t>详细评审</w:t>
      </w:r>
      <w:r>
        <w:rPr>
          <w:rFonts w:ascii="Times New Roman" w:hAnsi="Times New Roman" w:eastAsia="宋体" w:cs="Times New Roman"/>
          <w:color w:val="auto"/>
          <w:kern w:val="0"/>
          <w:sz w:val="28"/>
          <w:szCs w:val="28"/>
          <w:lang w:bidi="ar"/>
        </w:rPr>
        <w:t xml:space="preserve"> </w:t>
      </w:r>
    </w:p>
    <w:p w14:paraId="461488B6">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3.2.1 </w:t>
      </w:r>
      <w:r>
        <w:rPr>
          <w:rFonts w:hint="eastAsia" w:ascii="Times New Roman" w:hAnsi="Times New Roman" w:eastAsia="宋体" w:cs="宋体"/>
          <w:color w:val="auto"/>
          <w:kern w:val="0"/>
          <w:sz w:val="28"/>
          <w:szCs w:val="28"/>
          <w:lang w:bidi="ar"/>
        </w:rPr>
        <w:t>评标委员会按本章第</w:t>
      </w:r>
      <w:r>
        <w:rPr>
          <w:rFonts w:ascii="Times New Roman" w:hAnsi="Times New Roman" w:eastAsia="宋体" w:cs="Times New Roman"/>
          <w:color w:val="auto"/>
          <w:kern w:val="0"/>
          <w:sz w:val="28"/>
          <w:szCs w:val="28"/>
          <w:lang w:bidi="ar"/>
        </w:rPr>
        <w:t xml:space="preserve">2.2 </w:t>
      </w:r>
      <w:r>
        <w:rPr>
          <w:rFonts w:hint="eastAsia" w:ascii="Times New Roman" w:hAnsi="Times New Roman" w:eastAsia="宋体" w:cs="宋体"/>
          <w:color w:val="auto"/>
          <w:kern w:val="0"/>
          <w:sz w:val="28"/>
          <w:szCs w:val="28"/>
          <w:lang w:bidi="ar"/>
        </w:rPr>
        <w:t>款规定的量化因素和分值进行打分，并计算出综合评估得分。</w:t>
      </w:r>
      <w:r>
        <w:rPr>
          <w:rFonts w:ascii="Times New Roman" w:hAnsi="Times New Roman" w:eastAsia="宋体" w:cs="Times New Roman"/>
          <w:color w:val="auto"/>
          <w:kern w:val="0"/>
          <w:sz w:val="28"/>
          <w:szCs w:val="28"/>
          <w:lang w:bidi="ar"/>
        </w:rPr>
        <w:t xml:space="preserve"> </w:t>
      </w:r>
    </w:p>
    <w:p w14:paraId="1CCD9260">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）目规定的评审因素和分值对商务部分计算出得分</w:t>
      </w:r>
      <w:r>
        <w:rPr>
          <w:rFonts w:ascii="Times New Roman" w:hAnsi="Times New Roman" w:eastAsia="宋体" w:cs="Times New Roman"/>
          <w:color w:val="auto"/>
          <w:kern w:val="0"/>
          <w:sz w:val="28"/>
          <w:szCs w:val="28"/>
          <w:lang w:bidi="ar"/>
        </w:rPr>
        <w:t>A</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157521B4">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）目规定的评审因素和分值对技术部分计算出得分</w:t>
      </w:r>
      <w:r>
        <w:rPr>
          <w:rFonts w:ascii="Times New Roman" w:hAnsi="Times New Roman" w:eastAsia="宋体" w:cs="Times New Roman"/>
          <w:color w:val="auto"/>
          <w:kern w:val="0"/>
          <w:sz w:val="28"/>
          <w:szCs w:val="28"/>
          <w:lang w:bidi="ar"/>
        </w:rPr>
        <w:t>B</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499AAC0A">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）目规定的评审因素和分值对投标报价计算出得分</w:t>
      </w:r>
      <w:r>
        <w:rPr>
          <w:rFonts w:ascii="Times New Roman" w:hAnsi="Times New Roman" w:eastAsia="宋体" w:cs="Times New Roman"/>
          <w:color w:val="auto"/>
          <w:kern w:val="0"/>
          <w:sz w:val="28"/>
          <w:szCs w:val="28"/>
          <w:lang w:bidi="ar"/>
        </w:rPr>
        <w:t>C</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4DC6D792">
      <w:pPr>
        <w:spacing w:after="0" w:line="500" w:lineRule="exact"/>
        <w:ind w:firstLine="560" w:firstLineChars="200"/>
        <w:rPr>
          <w:rFonts w:ascii="Times New Roman" w:hAnsi="Times New Roman" w:eastAsia="宋体" w:cs="宋体"/>
          <w:color w:val="auto"/>
          <w:kern w:val="0"/>
          <w:sz w:val="28"/>
          <w:szCs w:val="28"/>
          <w:lang w:bidi="ar"/>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）目规定的评审因素和分值对其他部分计算出得分</w:t>
      </w:r>
      <w:r>
        <w:rPr>
          <w:rFonts w:ascii="Times New Roman" w:hAnsi="Times New Roman" w:eastAsia="宋体" w:cs="Times New Roman"/>
          <w:color w:val="auto"/>
          <w:kern w:val="0"/>
          <w:sz w:val="28"/>
          <w:szCs w:val="28"/>
          <w:lang w:bidi="ar"/>
        </w:rPr>
        <w:t>D</w:t>
      </w:r>
      <w:r>
        <w:rPr>
          <w:rFonts w:hint="eastAsia" w:ascii="Times New Roman" w:hAnsi="Times New Roman" w:eastAsia="宋体" w:cs="宋体"/>
          <w:color w:val="auto"/>
          <w:kern w:val="0"/>
          <w:sz w:val="28"/>
          <w:szCs w:val="28"/>
          <w:lang w:bidi="ar"/>
        </w:rPr>
        <w:t>。</w:t>
      </w:r>
    </w:p>
    <w:p w14:paraId="6048D102">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 3.2.2 </w:t>
      </w:r>
      <w:r>
        <w:rPr>
          <w:rFonts w:hint="eastAsia" w:ascii="Times New Roman" w:hAnsi="Times New Roman" w:eastAsia="宋体" w:cs="宋体"/>
          <w:color w:val="auto"/>
          <w:kern w:val="0"/>
          <w:sz w:val="28"/>
          <w:szCs w:val="28"/>
          <w:lang w:bidi="ar"/>
        </w:rPr>
        <w:t>评分分值计算保留小数点后两位，小数点后第三位</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四舍五入</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648712D0">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3.2.3 </w:t>
      </w:r>
      <w:r>
        <w:rPr>
          <w:rFonts w:hint="eastAsia" w:ascii="Times New Roman" w:hAnsi="Times New Roman" w:eastAsia="宋体" w:cs="宋体"/>
          <w:color w:val="auto"/>
          <w:kern w:val="0"/>
          <w:sz w:val="28"/>
          <w:szCs w:val="28"/>
          <w:lang w:bidi="ar"/>
        </w:rPr>
        <w:t>投标人得分</w:t>
      </w:r>
      <w:r>
        <w:rPr>
          <w:rFonts w:ascii="Times New Roman" w:hAnsi="Times New Roman" w:eastAsia="宋体" w:cs="Times New Roman"/>
          <w:color w:val="auto"/>
          <w:kern w:val="0"/>
          <w:sz w:val="28"/>
          <w:szCs w:val="28"/>
          <w:lang w:bidi="ar"/>
        </w:rPr>
        <w:t>=A+B+C+D</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r>
        <w:rPr>
          <w:rFonts w:hint="eastAsia" w:ascii="Times New Roman" w:hAnsi="Times New Roman" w:eastAsia="宋体" w:cs="Times New Roman"/>
          <w:color w:val="auto"/>
          <w:kern w:val="0"/>
          <w:sz w:val="28"/>
          <w:szCs w:val="28"/>
          <w:lang w:bidi="ar"/>
        </w:rPr>
        <w:t xml:space="preserve">    </w:t>
      </w:r>
    </w:p>
    <w:p w14:paraId="2CE9B4A4">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3.2.4 </w:t>
      </w:r>
      <w:r>
        <w:rPr>
          <w:rFonts w:hint="eastAsia" w:ascii="Times New Roman" w:hAnsi="Times New Roman" w:eastAsia="宋体" w:cs="宋体"/>
          <w:color w:val="auto"/>
          <w:kern w:val="0"/>
          <w:sz w:val="28"/>
          <w:szCs w:val="28"/>
          <w:lang w:bidi="ar"/>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r>
        <w:rPr>
          <w:rFonts w:ascii="Times New Roman" w:hAnsi="Times New Roman" w:eastAsia="宋体" w:cs="Times New Roman"/>
          <w:color w:val="auto"/>
          <w:kern w:val="0"/>
          <w:sz w:val="28"/>
          <w:szCs w:val="28"/>
          <w:lang w:bidi="ar"/>
        </w:rPr>
        <w:t xml:space="preserve"> </w:t>
      </w:r>
    </w:p>
    <w:p w14:paraId="1CC3D3D1">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3.3 </w:t>
      </w:r>
      <w:r>
        <w:rPr>
          <w:rFonts w:hint="eastAsia" w:ascii="Times New Roman" w:hAnsi="Times New Roman" w:eastAsia="宋体" w:cs="黑体"/>
          <w:color w:val="auto"/>
          <w:kern w:val="0"/>
          <w:sz w:val="28"/>
          <w:szCs w:val="28"/>
          <w:lang w:bidi="ar"/>
        </w:rPr>
        <w:t>投标文件的澄清</w:t>
      </w:r>
      <w:r>
        <w:rPr>
          <w:rFonts w:ascii="Times New Roman" w:hAnsi="Times New Roman" w:eastAsia="宋体" w:cs="Times New Roman"/>
          <w:color w:val="auto"/>
          <w:kern w:val="0"/>
          <w:sz w:val="28"/>
          <w:szCs w:val="28"/>
          <w:lang w:bidi="ar"/>
        </w:rPr>
        <w:t xml:space="preserve"> </w:t>
      </w:r>
    </w:p>
    <w:p w14:paraId="1FA1C368">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3.3.1 </w:t>
      </w:r>
      <w:r>
        <w:rPr>
          <w:rFonts w:hint="eastAsia" w:ascii="Times New Roman" w:hAnsi="Times New Roman" w:eastAsia="宋体" w:cs="宋体"/>
          <w:color w:val="auto"/>
          <w:kern w:val="0"/>
          <w:sz w:val="28"/>
          <w:szCs w:val="28"/>
          <w:lang w:bidi="ar"/>
        </w:rPr>
        <w:t>在评标过程中，评标委员会可以书面形式要求投标人对投标文件中含义不明确、对同类问题表述不一致或者有明显文字和计算错误的内容做必要的澄清、说明或补正。澄清、说明或补正应以书面方式进行。评标委员会不接受投标人主动提出的澄清、说明或补正。</w:t>
      </w:r>
      <w:r>
        <w:rPr>
          <w:rFonts w:ascii="Times New Roman" w:hAnsi="Times New Roman" w:eastAsia="宋体" w:cs="Times New Roman"/>
          <w:color w:val="auto"/>
          <w:kern w:val="0"/>
          <w:sz w:val="28"/>
          <w:szCs w:val="28"/>
          <w:lang w:bidi="ar"/>
        </w:rPr>
        <w:t xml:space="preserve"> </w:t>
      </w:r>
    </w:p>
    <w:p w14:paraId="1BD23564">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3.3.2 </w:t>
      </w:r>
      <w:r>
        <w:rPr>
          <w:rFonts w:hint="eastAsia" w:ascii="Times New Roman" w:hAnsi="Times New Roman" w:eastAsia="宋体" w:cs="宋体"/>
          <w:color w:val="auto"/>
          <w:kern w:val="0"/>
          <w:sz w:val="28"/>
          <w:szCs w:val="28"/>
          <w:lang w:bidi="ar"/>
        </w:rPr>
        <w:t>澄清、说明或补正不得超出投标文件的范围且不得改变投标文件的实质性内容，并构成投标文件的组成部分。</w:t>
      </w:r>
      <w:r>
        <w:rPr>
          <w:rFonts w:ascii="Times New Roman" w:hAnsi="Times New Roman" w:eastAsia="宋体" w:cs="Times New Roman"/>
          <w:color w:val="auto"/>
          <w:kern w:val="0"/>
          <w:sz w:val="28"/>
          <w:szCs w:val="28"/>
          <w:lang w:bidi="ar"/>
        </w:rPr>
        <w:t xml:space="preserve"> </w:t>
      </w:r>
    </w:p>
    <w:p w14:paraId="6A56F12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3.3.3 </w:t>
      </w:r>
      <w:r>
        <w:rPr>
          <w:rFonts w:hint="eastAsia" w:ascii="Times New Roman" w:hAnsi="Times New Roman" w:eastAsia="宋体" w:cs="宋体"/>
          <w:color w:val="auto"/>
          <w:kern w:val="0"/>
          <w:sz w:val="28"/>
          <w:szCs w:val="28"/>
          <w:lang w:bidi="ar"/>
        </w:rPr>
        <w:t>评标委员会对投标人提交的澄清、说明或补正有疑问的，可以要求投标人进一步澄清、说明或补正，直至满足评标委员会的要求。</w:t>
      </w:r>
      <w:r>
        <w:rPr>
          <w:rFonts w:ascii="Times New Roman" w:hAnsi="Times New Roman" w:eastAsia="宋体" w:cs="Times New Roman"/>
          <w:color w:val="auto"/>
          <w:kern w:val="0"/>
          <w:sz w:val="28"/>
          <w:szCs w:val="28"/>
          <w:lang w:bidi="ar"/>
        </w:rPr>
        <w:t xml:space="preserve"> </w:t>
      </w:r>
    </w:p>
    <w:p w14:paraId="246F3FD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3.4 </w:t>
      </w:r>
      <w:r>
        <w:rPr>
          <w:rFonts w:hint="eastAsia" w:ascii="Times New Roman" w:hAnsi="Times New Roman" w:eastAsia="宋体" w:cs="黑体"/>
          <w:color w:val="auto"/>
          <w:kern w:val="0"/>
          <w:sz w:val="28"/>
          <w:szCs w:val="28"/>
          <w:lang w:bidi="ar"/>
        </w:rPr>
        <w:t>评标结果</w:t>
      </w:r>
      <w:r>
        <w:rPr>
          <w:rFonts w:ascii="Times New Roman" w:hAnsi="Times New Roman" w:eastAsia="宋体" w:cs="Times New Roman"/>
          <w:color w:val="auto"/>
          <w:kern w:val="0"/>
          <w:sz w:val="28"/>
          <w:szCs w:val="28"/>
          <w:lang w:bidi="ar"/>
        </w:rPr>
        <w:t xml:space="preserve"> </w:t>
      </w:r>
    </w:p>
    <w:p w14:paraId="5AF1C611">
      <w:pPr>
        <w:spacing w:after="0" w:line="500" w:lineRule="exact"/>
        <w:ind w:firstLine="560" w:firstLineChars="200"/>
        <w:rPr>
          <w:rFonts w:ascii="Times New Roman" w:hAnsi="Times New Roman" w:eastAsia="宋体" w:cs="宋体"/>
          <w:color w:val="auto"/>
          <w:kern w:val="0"/>
          <w:sz w:val="28"/>
          <w:szCs w:val="28"/>
          <w:lang w:bidi="ar"/>
        </w:rPr>
      </w:pPr>
      <w:r>
        <w:rPr>
          <w:rFonts w:ascii="Times New Roman" w:hAnsi="Times New Roman" w:eastAsia="宋体" w:cs="Times New Roman"/>
          <w:color w:val="auto"/>
          <w:kern w:val="0"/>
          <w:sz w:val="28"/>
          <w:szCs w:val="28"/>
          <w:lang w:bidi="ar"/>
        </w:rPr>
        <w:t xml:space="preserve">3.4.1 </w:t>
      </w:r>
      <w:r>
        <w:rPr>
          <w:rFonts w:hint="eastAsia" w:ascii="Times New Roman" w:hAnsi="Times New Roman" w:eastAsia="宋体" w:cs="宋体"/>
          <w:color w:val="auto"/>
          <w:kern w:val="0"/>
          <w:sz w:val="28"/>
          <w:szCs w:val="28"/>
          <w:lang w:bidi="ar"/>
        </w:rPr>
        <w:t>除第二章</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投标人须知</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前附表授权直接确定中标人外，评标委员会按照得分由高到低的顺序推荐中标候选人，并标明排序。</w:t>
      </w:r>
    </w:p>
    <w:p w14:paraId="084870A4">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 3.4.2 </w:t>
      </w:r>
      <w:r>
        <w:rPr>
          <w:rFonts w:hint="eastAsia" w:ascii="Times New Roman" w:hAnsi="Times New Roman" w:eastAsia="宋体" w:cs="宋体"/>
          <w:color w:val="auto"/>
          <w:kern w:val="0"/>
          <w:sz w:val="28"/>
          <w:szCs w:val="28"/>
          <w:lang w:bidi="ar"/>
        </w:rPr>
        <w:t>评标委员会完成评标后，应当向招标人提交书面评标报告和中标候选人名单。</w:t>
      </w:r>
    </w:p>
    <w:bookmarkEnd w:id="248"/>
    <w:bookmarkEnd w:id="249"/>
    <w:p w14:paraId="5E15FDB9">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p>
    <w:p w14:paraId="0CB37A4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p>
    <w:p w14:paraId="5C65AD22">
      <w:pPr>
        <w:widowControl w:val="0"/>
        <w:adjustRightInd w:val="0"/>
        <w:snapToGrid w:val="0"/>
        <w:spacing w:after="0" w:line="560" w:lineRule="exact"/>
        <w:ind w:firstLine="560" w:firstLineChars="200"/>
        <w:rPr>
          <w:rFonts w:ascii="Times New Roman" w:hAnsi="Times New Roman" w:eastAsia="宋体" w:cs="宋体"/>
          <w:color w:val="auto"/>
          <w:sz w:val="21"/>
          <w:szCs w:val="21"/>
        </w:rPr>
      </w:pPr>
      <w:r>
        <w:rPr>
          <w:rFonts w:hint="eastAsia" w:ascii="Times New Roman" w:hAnsi="Times New Roman" w:eastAsia="宋体" w:cs="宋体"/>
          <w:color w:val="auto"/>
          <w:sz w:val="28"/>
          <w:szCs w:val="28"/>
        </w:rPr>
        <w:br w:type="page"/>
      </w:r>
      <w:bookmarkStart w:id="252" w:name="_Toc11850"/>
    </w:p>
    <w:bookmarkEnd w:id="252"/>
    <w:p w14:paraId="43AFE0EB">
      <w:pPr>
        <w:pStyle w:val="2"/>
        <w:keepNext w:val="0"/>
        <w:keepLines w:val="0"/>
        <w:widowControl w:val="0"/>
        <w:adjustRightInd w:val="0"/>
        <w:snapToGrid w:val="0"/>
        <w:spacing w:after="0" w:line="490" w:lineRule="exact"/>
        <w:ind w:left="0" w:right="0"/>
        <w:rPr>
          <w:rFonts w:ascii="Times New Roman" w:hAnsi="Times New Roman" w:eastAsia="宋体" w:cs="宋体"/>
          <w:b/>
          <w:bCs/>
          <w:color w:val="auto"/>
          <w:sz w:val="36"/>
          <w:szCs w:val="44"/>
        </w:rPr>
      </w:pPr>
      <w:bookmarkStart w:id="253" w:name="_Toc29395"/>
      <w:bookmarkStart w:id="254" w:name="_Toc56792776"/>
      <w:bookmarkStart w:id="255" w:name="_Toc3644"/>
      <w:bookmarkStart w:id="256" w:name="_Toc19314"/>
      <w:bookmarkStart w:id="257" w:name="_Toc24742"/>
      <w:bookmarkStart w:id="258" w:name="_Toc19495"/>
      <w:bookmarkStart w:id="259" w:name="_Toc11471"/>
      <w:r>
        <w:rPr>
          <w:rFonts w:hint="eastAsia" w:ascii="Times New Roman" w:hAnsi="Times New Roman" w:eastAsia="宋体" w:cs="宋体"/>
          <w:b/>
          <w:bCs/>
          <w:color w:val="auto"/>
          <w:sz w:val="36"/>
          <w:szCs w:val="44"/>
        </w:rPr>
        <w:t>第四章  合同条款及格式</w:t>
      </w:r>
      <w:bookmarkEnd w:id="253"/>
      <w:bookmarkEnd w:id="254"/>
      <w:bookmarkEnd w:id="255"/>
      <w:bookmarkEnd w:id="256"/>
      <w:bookmarkEnd w:id="257"/>
      <w:bookmarkEnd w:id="258"/>
      <w:bookmarkEnd w:id="259"/>
    </w:p>
    <w:p w14:paraId="4D5482F8">
      <w:pPr>
        <w:pStyle w:val="3"/>
        <w:jc w:val="center"/>
      </w:pPr>
      <w:bookmarkStart w:id="260" w:name="_Toc3010"/>
      <w:bookmarkStart w:id="261" w:name="_Toc11971"/>
      <w:bookmarkStart w:id="262" w:name="_Toc9937"/>
      <w:bookmarkStart w:id="263" w:name="_Toc20379"/>
      <w:bookmarkStart w:id="264" w:name="_Toc25649"/>
      <w:bookmarkStart w:id="265" w:name="_Toc56792777"/>
      <w:bookmarkStart w:id="266" w:name="_Toc32111"/>
      <w:r>
        <w:rPr>
          <w:rFonts w:hint="eastAsia"/>
        </w:rPr>
        <w:t>（以实际签订的合同为准）</w:t>
      </w:r>
      <w:bookmarkEnd w:id="260"/>
    </w:p>
    <w:p w14:paraId="3E3137A4">
      <w:pPr>
        <w:pStyle w:val="3"/>
        <w:jc w:val="center"/>
      </w:pPr>
      <w:bookmarkStart w:id="267" w:name="_Toc18425"/>
      <w:r>
        <w:rPr>
          <w:rFonts w:hint="eastAsia"/>
        </w:rPr>
        <w:t>第一节 通用合同条款</w:t>
      </w:r>
      <w:bookmarkEnd w:id="261"/>
      <w:bookmarkEnd w:id="262"/>
      <w:bookmarkEnd w:id="263"/>
      <w:bookmarkEnd w:id="264"/>
      <w:bookmarkEnd w:id="265"/>
      <w:bookmarkEnd w:id="266"/>
      <w:bookmarkEnd w:id="267"/>
    </w:p>
    <w:p w14:paraId="0130565D">
      <w:pPr>
        <w:pStyle w:val="3"/>
        <w:keepNext w:val="0"/>
        <w:keepLines w:val="0"/>
        <w:widowControl w:val="0"/>
        <w:adjustRightInd w:val="0"/>
        <w:snapToGrid w:val="0"/>
        <w:spacing w:line="470" w:lineRule="exact"/>
        <w:ind w:left="0" w:right="0" w:firstLine="482" w:firstLineChars="200"/>
        <w:jc w:val="both"/>
        <w:rPr>
          <w:rFonts w:ascii="Times New Roman" w:hAnsi="Times New Roman" w:cs="宋体"/>
          <w:bCs/>
          <w:color w:val="auto"/>
          <w:sz w:val="24"/>
          <w:szCs w:val="24"/>
        </w:rPr>
      </w:pPr>
      <w:bookmarkStart w:id="268" w:name="_Toc21861"/>
      <w:bookmarkStart w:id="269" w:name="_Toc38478258"/>
      <w:bookmarkStart w:id="270" w:name="_Toc22340"/>
      <w:bookmarkStart w:id="271" w:name="_Toc12514"/>
      <w:bookmarkStart w:id="272" w:name="_Toc31189"/>
      <w:bookmarkStart w:id="273" w:name="_Toc31291"/>
      <w:bookmarkStart w:id="274" w:name="_Toc11280"/>
      <w:bookmarkStart w:id="275" w:name="_Toc38436701"/>
      <w:bookmarkStart w:id="276" w:name="_Toc40275002"/>
      <w:bookmarkStart w:id="277" w:name="_Toc56792778"/>
      <w:r>
        <w:rPr>
          <w:rFonts w:hint="eastAsia" w:ascii="Times New Roman" w:hAnsi="Times New Roman" w:cs="宋体"/>
          <w:bCs/>
          <w:color w:val="auto"/>
          <w:sz w:val="24"/>
          <w:szCs w:val="24"/>
        </w:rPr>
        <w:t>1.一般约定</w:t>
      </w:r>
      <w:bookmarkEnd w:id="268"/>
      <w:bookmarkEnd w:id="269"/>
      <w:bookmarkEnd w:id="270"/>
      <w:bookmarkEnd w:id="271"/>
      <w:bookmarkEnd w:id="272"/>
      <w:bookmarkEnd w:id="273"/>
      <w:bookmarkEnd w:id="274"/>
      <w:bookmarkEnd w:id="275"/>
      <w:bookmarkEnd w:id="276"/>
      <w:bookmarkEnd w:id="277"/>
      <w:r>
        <w:rPr>
          <w:rFonts w:hint="eastAsia" w:ascii="Times New Roman" w:hAnsi="Times New Roman" w:cs="宋体"/>
          <w:bCs/>
          <w:color w:val="auto"/>
          <w:sz w:val="24"/>
          <w:szCs w:val="24"/>
        </w:rPr>
        <w:t xml:space="preserve"> </w:t>
      </w:r>
    </w:p>
    <w:p w14:paraId="366DE1B6">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78" w:name="_Toc21230"/>
      <w:r>
        <w:rPr>
          <w:rFonts w:hint="eastAsia" w:ascii="Times New Roman" w:hAnsi="Times New Roman" w:eastAsia="宋体" w:cs="宋体"/>
          <w:b/>
          <w:bCs/>
          <w:color w:val="auto"/>
          <w:sz w:val="24"/>
          <w:szCs w:val="24"/>
        </w:rPr>
        <w:t>1.1 词语定义</w:t>
      </w:r>
      <w:bookmarkEnd w:id="278"/>
      <w:r>
        <w:rPr>
          <w:rFonts w:hint="eastAsia" w:ascii="Times New Roman" w:hAnsi="Times New Roman" w:eastAsia="宋体" w:cs="宋体"/>
          <w:b/>
          <w:bCs/>
          <w:color w:val="auto"/>
          <w:sz w:val="24"/>
          <w:szCs w:val="24"/>
        </w:rPr>
        <w:t xml:space="preserve"> </w:t>
      </w:r>
    </w:p>
    <w:p w14:paraId="3078D83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除专用合同条款另有约定外，合同中的下列词语应具有本款所赋予的含义。</w:t>
      </w:r>
    </w:p>
    <w:p w14:paraId="270C684A">
      <w:pPr>
        <w:widowControl w:val="0"/>
        <w:adjustRightInd w:val="0"/>
        <w:snapToGrid w:val="0"/>
        <w:spacing w:after="0" w:line="470" w:lineRule="exact"/>
        <w:ind w:firstLine="482" w:firstLineChars="200"/>
        <w:jc w:val="both"/>
        <w:rPr>
          <w:rFonts w:ascii="Times New Roman" w:hAnsi="Times New Roman" w:eastAsia="宋体" w:cs="宋体"/>
          <w:color w:val="auto"/>
          <w:sz w:val="24"/>
          <w:szCs w:val="24"/>
        </w:rPr>
      </w:pPr>
      <w:r>
        <w:rPr>
          <w:rFonts w:hint="eastAsia" w:ascii="Times New Roman" w:hAnsi="Times New Roman" w:eastAsia="宋体" w:cs="宋体"/>
          <w:b/>
          <w:color w:val="auto"/>
          <w:sz w:val="24"/>
          <w:szCs w:val="24"/>
        </w:rPr>
        <w:t xml:space="preserve">1.1.1 </w:t>
      </w:r>
      <w:r>
        <w:rPr>
          <w:rFonts w:hint="eastAsia" w:ascii="Times New Roman" w:hAnsi="Times New Roman" w:eastAsia="宋体" w:cs="宋体"/>
          <w:color w:val="auto"/>
          <w:sz w:val="24"/>
          <w:szCs w:val="24"/>
        </w:rPr>
        <w:t>合同</w:t>
      </w:r>
      <w:r>
        <w:rPr>
          <w:rFonts w:hint="eastAsia" w:ascii="Times New Roman" w:hAnsi="Times New Roman" w:eastAsia="宋体" w:cs="宋体"/>
          <w:b/>
          <w:color w:val="auto"/>
          <w:sz w:val="24"/>
          <w:szCs w:val="24"/>
        </w:rPr>
        <w:t xml:space="preserve"> </w:t>
      </w:r>
    </w:p>
    <w:p w14:paraId="2209A75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 合同文件（或称合同）：指合同协议书、中标通知书、投标函、商务和技术偏差表、专用合同条款、通用合同条款、供货要求、分项报价表、中标设备技术性能指标的详细描述、技术服务和质保期服务计划，以及其他构成合同组成部分的文件。</w:t>
      </w:r>
    </w:p>
    <w:p w14:paraId="676580E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1.1.1.2 合同协议书：指买方和卖方共同签署的合同协议书。</w:t>
      </w:r>
    </w:p>
    <w:p w14:paraId="3C0E347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 中标通知书：指买方通知卖方中标的函件。</w:t>
      </w:r>
    </w:p>
    <w:p w14:paraId="0800B02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1.1.1.4 投标函：指由卖方填写并签署的，名为“投标函”的函件。</w:t>
      </w:r>
    </w:p>
    <w:p w14:paraId="1D735F2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1.1.1.5 商务和技术偏差表：指卖方投标文件中的商务和技术偏差表。</w:t>
      </w:r>
    </w:p>
    <w:p w14:paraId="6E1531F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1.1.1.6 供货要求：指合同文件中名为“供货要求”的文件。</w:t>
      </w:r>
    </w:p>
    <w:p w14:paraId="3E2B3E7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1.1.1.7 中标设备技术性能指标的详细描述：指卖方投标文件中的投标设备技术性能指标的详细描述。</w:t>
      </w:r>
    </w:p>
    <w:p w14:paraId="1C08B58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1.1.1.8 技术服务和质保期服务计划：指卖方投标文件中的技术服务和质保期服务计划。</w:t>
      </w:r>
    </w:p>
    <w:p w14:paraId="1527A78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1.1.1.9 分项报价表：指卖方投标文件中的分项报价表。</w:t>
      </w:r>
    </w:p>
    <w:p w14:paraId="2D537A9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1.1.1.10 其他合同文件：指经合同双方当事人确认构成合同文件的其他文件。</w:t>
      </w:r>
    </w:p>
    <w:p w14:paraId="7693507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1.1.2 合同当事人 </w:t>
      </w:r>
    </w:p>
    <w:p w14:paraId="0C83D6D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1.1.2.1 合同当事人：指买方和（或）卖方。</w:t>
      </w:r>
    </w:p>
    <w:p w14:paraId="38D6446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1.1.2.2 买方：指与卖方签订合同协议书，购买合同设备和技术服务和质保期服务的当事人，及其合法继承人。</w:t>
      </w:r>
    </w:p>
    <w:p w14:paraId="0F0A3F9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1.1.2.3 卖方：指与买方签订合同协议书，提供合同设备和技术服务和质保期服务的当事人，及其合法继承人。</w:t>
      </w:r>
    </w:p>
    <w:p w14:paraId="173745F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1.1.3 合同价格 </w:t>
      </w:r>
    </w:p>
    <w:p w14:paraId="3E84366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1.1.3.1 签约合同价：是签订合同时合同协议书中写明的合同总金额。</w:t>
      </w:r>
    </w:p>
    <w:p w14:paraId="7128CCA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1.1.3.2 合同价格：指卖方按合同约定履行了全部合同义务后，买方应付给卖方的金额。</w:t>
      </w:r>
    </w:p>
    <w:p w14:paraId="454154A7">
      <w:pPr>
        <w:widowControl w:val="0"/>
        <w:tabs>
          <w:tab w:val="left" w:pos="0"/>
        </w:tabs>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 合同设备：指卖方按合同约定应向买方提供的设备、装置、备品、备件、易损易耗件、配套使用的软件或其他辅助电子应用程序及技术资料，或其中任何一部分。</w:t>
      </w:r>
    </w:p>
    <w:p w14:paraId="765966E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1.1.5 技术资料：指各种纸质及电子载体的与合同设备的设计、检验、安装、调试、考核、操作、维修以及保养等有关的技术指标、规格、图纸和说明文件。</w:t>
      </w:r>
    </w:p>
    <w:p w14:paraId="5ECD9CC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1.1.6 安装：指对合同设备进行的组装、连接以及根据需要将合同设备固定在施工场地内一定的位置上，使其就位并与相关设备、工程实现连接。</w:t>
      </w:r>
    </w:p>
    <w:p w14:paraId="1103AD9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1.1.7 调试：指在合同设备安装完成后，对合同设备所进行的调校和测试。</w:t>
      </w:r>
    </w:p>
    <w:p w14:paraId="5527885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1.1.8 考核：指在合同设备调试完成后，对合同设备进行的用于确定其是否达到合同约定的技术性能考核指标的考核。</w:t>
      </w:r>
    </w:p>
    <w:p w14:paraId="68A76A6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1.1.9 验收：指合同设备通过考核达到合同约定的技术性能考核指标后，买方作出接收合同设备的确认。</w:t>
      </w:r>
    </w:p>
    <w:p w14:paraId="79AA76C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1.1.10 技术服务：指卖方按合同约定，在合同设备验收前，向买方提供的安装、调试服务，或者在由买方负责的安装、调试、考核中对买方进行的技术指导、协助、监督和培训等。</w:t>
      </w:r>
    </w:p>
    <w:p w14:paraId="1B9B2CA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 质量保证期：指合同设备验收后，卖方按合同约定保证合同设备适当、稳定运行，并负责消除合同设备故障的期限。</w:t>
      </w:r>
    </w:p>
    <w:p w14:paraId="2B0BAD8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1.1.12 质保期服务：指在质量保证期内，卖方向买方提供的合同设备维护服务、咨询服务、技术指导、协助以及对出现故障的合同设备进行修理或更换的服务。</w:t>
      </w:r>
    </w:p>
    <w:p w14:paraId="7A0BC3E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1.1.13 工程 </w:t>
      </w:r>
    </w:p>
    <w:p w14:paraId="3066EB1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1.1.13.1 工程：指在专用合同条款中指明的，安装运行合同设备的工程。</w:t>
      </w:r>
    </w:p>
    <w:p w14:paraId="7756263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1.1.13.2 施工场地（或称工地、施工现场）：指专用合同条款中指明的工程所在场所。</w:t>
      </w:r>
    </w:p>
    <w:p w14:paraId="3F055A7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1.1.14 天（或称日）：除特别指明外，指日历天。合同中按天计算时间的，开始当天不计入，从次日开始计算。合同约定的期间的最后一天是星期日或者其他法定休假日的，以休假日的次日为期间的最后一天。</w:t>
      </w:r>
    </w:p>
    <w:p w14:paraId="4B6D119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1.1.15 月：按照公历月计算。合同中按月计算时间的，开始当天不计入，从次日开始计算。合同约定的期间的最后一天是星期日或者其他法定休假日的，以休假日的次日为期间的最后一天。</w:t>
      </w:r>
    </w:p>
    <w:p w14:paraId="3249108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1.1.16 书面形式：指合同文件、信件和数据电文（包括电报、电传、传真、电子数据交换和电子邮件）等可以有形地表现所载内容的形式。</w:t>
      </w:r>
    </w:p>
    <w:p w14:paraId="380B946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79" w:name="_Toc13291"/>
      <w:r>
        <w:rPr>
          <w:rFonts w:hint="eastAsia" w:ascii="Times New Roman" w:hAnsi="Times New Roman" w:eastAsia="宋体" w:cs="宋体"/>
          <w:b/>
          <w:bCs/>
          <w:color w:val="auto"/>
          <w:sz w:val="24"/>
          <w:szCs w:val="24"/>
        </w:rPr>
        <w:t>1.2 语言文字</w:t>
      </w:r>
      <w:bookmarkEnd w:id="279"/>
      <w:r>
        <w:rPr>
          <w:rFonts w:hint="eastAsia" w:ascii="Times New Roman" w:hAnsi="Times New Roman" w:eastAsia="宋体" w:cs="宋体"/>
          <w:b/>
          <w:bCs/>
          <w:color w:val="auto"/>
          <w:sz w:val="24"/>
          <w:szCs w:val="24"/>
        </w:rPr>
        <w:t xml:space="preserve"> </w:t>
      </w:r>
    </w:p>
    <w:p w14:paraId="2F494EA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合同使用的语言文字为中文。专用术语使用外文的，应附有中文注释。</w:t>
      </w:r>
    </w:p>
    <w:p w14:paraId="2A5BDDC0">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0" w:name="_Toc14986"/>
      <w:r>
        <w:rPr>
          <w:rFonts w:hint="eastAsia" w:ascii="Times New Roman" w:hAnsi="Times New Roman" w:eastAsia="宋体" w:cs="宋体"/>
          <w:b/>
          <w:bCs/>
          <w:color w:val="auto"/>
          <w:sz w:val="24"/>
          <w:szCs w:val="24"/>
        </w:rPr>
        <w:t>1.3 合同文件的优先顺序</w:t>
      </w:r>
      <w:bookmarkEnd w:id="280"/>
      <w:r>
        <w:rPr>
          <w:rFonts w:hint="eastAsia" w:ascii="Times New Roman" w:hAnsi="Times New Roman" w:eastAsia="宋体" w:cs="宋体"/>
          <w:b/>
          <w:bCs/>
          <w:color w:val="auto"/>
          <w:sz w:val="24"/>
          <w:szCs w:val="24"/>
        </w:rPr>
        <w:t xml:space="preserve"> </w:t>
      </w:r>
    </w:p>
    <w:p w14:paraId="2156CA3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组成合同的各项文件应互相解释，互为说明。除专用合同条款另有约定外，解释合同文件的优先顺序如下： </w:t>
      </w:r>
    </w:p>
    <w:p w14:paraId="19998EE8">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合同协议书； </w:t>
      </w:r>
    </w:p>
    <w:p w14:paraId="330C20B7">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中标通知书； </w:t>
      </w:r>
    </w:p>
    <w:p w14:paraId="734FDC6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投标函； </w:t>
      </w:r>
    </w:p>
    <w:p w14:paraId="59C83A88">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商务和技术偏差表； </w:t>
      </w:r>
    </w:p>
    <w:p w14:paraId="717A53D6">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专用合同条款； </w:t>
      </w:r>
    </w:p>
    <w:p w14:paraId="7CEF302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通用合同条款； </w:t>
      </w:r>
    </w:p>
    <w:p w14:paraId="7F181CD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供货要求； </w:t>
      </w:r>
    </w:p>
    <w:p w14:paraId="5B18477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分项报价表； </w:t>
      </w:r>
    </w:p>
    <w:p w14:paraId="4D7B7454">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中标设备技术性能指标的详细描述； </w:t>
      </w:r>
    </w:p>
    <w:p w14:paraId="142AA644">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技术服务和质保期服务计划； </w:t>
      </w:r>
    </w:p>
    <w:p w14:paraId="433939D2">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其他合同文件。</w:t>
      </w:r>
    </w:p>
    <w:p w14:paraId="056C1332">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1" w:name="_Toc7836"/>
      <w:r>
        <w:rPr>
          <w:rFonts w:hint="eastAsia" w:ascii="Times New Roman" w:hAnsi="Times New Roman" w:eastAsia="宋体" w:cs="宋体"/>
          <w:b/>
          <w:bCs/>
          <w:color w:val="auto"/>
          <w:sz w:val="24"/>
          <w:szCs w:val="24"/>
        </w:rPr>
        <w:t>1.4 合同的生效及变更</w:t>
      </w:r>
      <w:bookmarkEnd w:id="281"/>
      <w:r>
        <w:rPr>
          <w:rFonts w:hint="eastAsia" w:ascii="Times New Roman" w:hAnsi="Times New Roman" w:eastAsia="宋体" w:cs="宋体"/>
          <w:b/>
          <w:bCs/>
          <w:color w:val="auto"/>
          <w:sz w:val="24"/>
          <w:szCs w:val="24"/>
        </w:rPr>
        <w:t xml:space="preserve"> </w:t>
      </w:r>
    </w:p>
    <w:p w14:paraId="1E2919D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 除专用合同条款另有约定外，买方和卖方的法定代表人（单位负责人）或其授权代表在合同协议书上签字并加盖单位章后，合同生效。</w:t>
      </w:r>
    </w:p>
    <w:p w14:paraId="29D11B2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 除专用合同条款另有约定外，在合同履行过程中，如需对合同进行变更，双方应签订书面协议，并经双方法定代表人（单位负责人）或其授权代表签字并加盖单位章后生效。</w:t>
      </w:r>
    </w:p>
    <w:p w14:paraId="560C97E4">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2" w:name="_Toc27784"/>
      <w:r>
        <w:rPr>
          <w:rFonts w:hint="eastAsia" w:ascii="Times New Roman" w:hAnsi="Times New Roman" w:eastAsia="宋体" w:cs="宋体"/>
          <w:b/>
          <w:bCs/>
          <w:color w:val="auto"/>
          <w:sz w:val="24"/>
          <w:szCs w:val="24"/>
        </w:rPr>
        <w:t>1.5 联络</w:t>
      </w:r>
      <w:bookmarkEnd w:id="282"/>
      <w:r>
        <w:rPr>
          <w:rFonts w:hint="eastAsia" w:ascii="Times New Roman" w:hAnsi="Times New Roman" w:eastAsia="宋体" w:cs="宋体"/>
          <w:b/>
          <w:bCs/>
          <w:color w:val="auto"/>
          <w:sz w:val="24"/>
          <w:szCs w:val="24"/>
        </w:rPr>
        <w:t xml:space="preserve"> </w:t>
      </w:r>
    </w:p>
    <w:p w14:paraId="3C2BDA0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1.5.1 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增加或变更指定联系人。</w:t>
      </w:r>
    </w:p>
    <w:p w14:paraId="7958DE7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1.5.2 合同履行中或与合同有关的任何联络，送达到第 1.5.1 项指定的联系人即视为送达。</w:t>
      </w:r>
    </w:p>
    <w:p w14:paraId="615C635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1.5.3 买方可以安排监理等相关人员作为买方人员，与卖方进行联络或参加合同设备的监造（如有）、交货前检验（如有）、开箱检验、安装、调试、考核、验收等，但应按照第 1.5.1 项的约定事先书面通知卖方。</w:t>
      </w:r>
    </w:p>
    <w:p w14:paraId="305BB2E2">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3" w:name="_Toc11921"/>
      <w:r>
        <w:rPr>
          <w:rFonts w:hint="eastAsia" w:ascii="Times New Roman" w:hAnsi="Times New Roman" w:eastAsia="宋体" w:cs="宋体"/>
          <w:b/>
          <w:bCs/>
          <w:color w:val="auto"/>
          <w:sz w:val="24"/>
          <w:szCs w:val="24"/>
        </w:rPr>
        <w:t>1.6 联合体</w:t>
      </w:r>
      <w:bookmarkEnd w:id="283"/>
      <w:r>
        <w:rPr>
          <w:rFonts w:hint="eastAsia" w:ascii="Times New Roman" w:hAnsi="Times New Roman" w:eastAsia="宋体" w:cs="宋体"/>
          <w:b/>
          <w:bCs/>
          <w:color w:val="auto"/>
          <w:sz w:val="24"/>
          <w:szCs w:val="24"/>
        </w:rPr>
        <w:t xml:space="preserve"> </w:t>
      </w:r>
    </w:p>
    <w:p w14:paraId="48EA5D5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1.6.1 卖方为联合体的，联合体各方应当共同与买方签订合同，并向买方为履行合同承担连带责任。</w:t>
      </w:r>
    </w:p>
    <w:p w14:paraId="620CD41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1.6.2 在合同履行过程中，未经买方同意，不得修改联合体协议。联合体协议中关于联合体成员间权利义务的划分，并不影响或减损联合体各方应就履行合同向买方承担的连带责任。</w:t>
      </w:r>
    </w:p>
    <w:p w14:paraId="213224C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联合体牵头人代表联合体与买方联系，并接受指示，负责组织联合体各成员全面履行合同。除非专用合同条款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p>
    <w:p w14:paraId="1BB950F1">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4" w:name="_Toc22140"/>
      <w:r>
        <w:rPr>
          <w:rFonts w:hint="eastAsia" w:ascii="Times New Roman" w:hAnsi="Times New Roman" w:eastAsia="宋体" w:cs="宋体"/>
          <w:b/>
          <w:bCs/>
          <w:color w:val="auto"/>
          <w:sz w:val="24"/>
          <w:szCs w:val="24"/>
        </w:rPr>
        <w:t>1.7 转让</w:t>
      </w:r>
      <w:bookmarkEnd w:id="284"/>
    </w:p>
    <w:p w14:paraId="2F62E9F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未经对方当事人书面同意，合同任何一方均不得转让其在合同项下的权利和（或）义务。</w:t>
      </w:r>
    </w:p>
    <w:p w14:paraId="00B5ABD4">
      <w:pPr>
        <w:pStyle w:val="3"/>
        <w:keepNext w:val="0"/>
        <w:keepLines w:val="0"/>
        <w:widowControl w:val="0"/>
        <w:adjustRightInd w:val="0"/>
        <w:snapToGrid w:val="0"/>
        <w:spacing w:line="470" w:lineRule="exact"/>
        <w:ind w:left="0" w:right="0" w:firstLine="482" w:firstLineChars="200"/>
        <w:jc w:val="both"/>
        <w:rPr>
          <w:rFonts w:ascii="Times New Roman" w:hAnsi="Times New Roman" w:cs="宋体"/>
          <w:bCs/>
          <w:color w:val="auto"/>
          <w:sz w:val="24"/>
          <w:szCs w:val="24"/>
        </w:rPr>
      </w:pPr>
      <w:bookmarkStart w:id="285" w:name="_Toc56792779"/>
      <w:bookmarkStart w:id="286" w:name="_Toc528"/>
      <w:bookmarkStart w:id="287" w:name="_Toc40275003"/>
      <w:bookmarkStart w:id="288" w:name="_Toc38436702"/>
      <w:bookmarkStart w:id="289" w:name="_Toc38478259"/>
      <w:bookmarkStart w:id="290" w:name="_Toc31492"/>
      <w:bookmarkStart w:id="291" w:name="_Toc87"/>
      <w:bookmarkStart w:id="292" w:name="_Toc15268"/>
      <w:bookmarkStart w:id="293" w:name="_Toc19808"/>
      <w:bookmarkStart w:id="294" w:name="_Toc17668"/>
      <w:r>
        <w:rPr>
          <w:rFonts w:hint="eastAsia" w:ascii="Times New Roman" w:hAnsi="Times New Roman" w:cs="宋体"/>
          <w:bCs/>
          <w:color w:val="auto"/>
          <w:sz w:val="24"/>
          <w:szCs w:val="24"/>
        </w:rPr>
        <w:t>2.合同范围</w:t>
      </w:r>
      <w:bookmarkEnd w:id="285"/>
      <w:bookmarkEnd w:id="286"/>
      <w:bookmarkEnd w:id="287"/>
      <w:bookmarkEnd w:id="288"/>
      <w:bookmarkEnd w:id="289"/>
      <w:bookmarkEnd w:id="290"/>
      <w:bookmarkEnd w:id="291"/>
      <w:bookmarkEnd w:id="292"/>
      <w:bookmarkEnd w:id="293"/>
      <w:bookmarkEnd w:id="294"/>
      <w:r>
        <w:rPr>
          <w:rFonts w:hint="eastAsia" w:ascii="Times New Roman" w:hAnsi="Times New Roman" w:cs="宋体"/>
          <w:bCs/>
          <w:color w:val="auto"/>
          <w:sz w:val="24"/>
          <w:szCs w:val="24"/>
        </w:rPr>
        <w:t xml:space="preserve"> </w:t>
      </w:r>
    </w:p>
    <w:p w14:paraId="548D9F5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卖方应根据供货要求、中标设备技术性能指标的详细描述、技术服务和质保期服务计划等合同文件的约定向买方提供合同设备、技术服务和质保期服务。</w:t>
      </w:r>
    </w:p>
    <w:p w14:paraId="582760DE">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295" w:name="_Toc6885"/>
      <w:bookmarkStart w:id="296" w:name="_Toc2465"/>
      <w:bookmarkStart w:id="297" w:name="_Toc56792780"/>
      <w:bookmarkStart w:id="298" w:name="_Toc38436703"/>
      <w:bookmarkStart w:id="299" w:name="_Toc38478260"/>
      <w:bookmarkStart w:id="300" w:name="_Toc28960"/>
      <w:bookmarkStart w:id="301" w:name="_Toc40275004"/>
      <w:bookmarkStart w:id="302" w:name="_Toc18472"/>
      <w:bookmarkStart w:id="303" w:name="_Toc15405"/>
      <w:bookmarkStart w:id="304" w:name="_Toc21566"/>
      <w:r>
        <w:rPr>
          <w:rFonts w:hint="eastAsia" w:ascii="Times New Roman" w:hAnsi="Times New Roman" w:cs="宋体"/>
          <w:b w:val="0"/>
          <w:color w:val="auto"/>
          <w:sz w:val="24"/>
          <w:szCs w:val="24"/>
        </w:rPr>
        <w:t>3.合同价格与支付</w:t>
      </w:r>
      <w:bookmarkEnd w:id="295"/>
      <w:bookmarkEnd w:id="296"/>
      <w:bookmarkEnd w:id="297"/>
      <w:bookmarkEnd w:id="298"/>
      <w:bookmarkEnd w:id="299"/>
      <w:bookmarkEnd w:id="300"/>
      <w:bookmarkEnd w:id="301"/>
      <w:bookmarkEnd w:id="302"/>
      <w:bookmarkEnd w:id="303"/>
      <w:bookmarkEnd w:id="304"/>
      <w:r>
        <w:rPr>
          <w:rFonts w:hint="eastAsia" w:ascii="Times New Roman" w:hAnsi="Times New Roman" w:cs="宋体"/>
          <w:b w:val="0"/>
          <w:color w:val="auto"/>
          <w:sz w:val="24"/>
          <w:szCs w:val="24"/>
        </w:rPr>
        <w:t xml:space="preserve"> </w:t>
      </w:r>
    </w:p>
    <w:p w14:paraId="79BBFEC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05" w:name="_Toc19466"/>
      <w:r>
        <w:rPr>
          <w:rFonts w:hint="eastAsia" w:ascii="Times New Roman" w:hAnsi="Times New Roman" w:eastAsia="宋体" w:cs="宋体"/>
          <w:b/>
          <w:bCs/>
          <w:color w:val="auto"/>
          <w:sz w:val="24"/>
          <w:szCs w:val="24"/>
        </w:rPr>
        <w:t>3.1 合同价格</w:t>
      </w:r>
      <w:bookmarkEnd w:id="305"/>
      <w:r>
        <w:rPr>
          <w:rFonts w:hint="eastAsia" w:ascii="Times New Roman" w:hAnsi="Times New Roman" w:eastAsia="宋体" w:cs="宋体"/>
          <w:b/>
          <w:bCs/>
          <w:color w:val="auto"/>
          <w:sz w:val="24"/>
          <w:szCs w:val="24"/>
        </w:rPr>
        <w:t xml:space="preserve"> </w:t>
      </w:r>
    </w:p>
    <w:p w14:paraId="3C2A529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3.1.1 合同协议书中载明的签约合同价包括卖方为完成合同全部义务应承担的一切成本、费用和支出以及卖方的合理利润。</w:t>
      </w:r>
    </w:p>
    <w:p w14:paraId="3EAE4DB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3.1.2 除专用合同条款另有约定外，签约合同价为固定价格。</w:t>
      </w:r>
    </w:p>
    <w:p w14:paraId="3FE8DC98">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06" w:name="_Toc6816"/>
      <w:r>
        <w:rPr>
          <w:rFonts w:hint="eastAsia" w:ascii="Times New Roman" w:hAnsi="Times New Roman" w:eastAsia="宋体" w:cs="宋体"/>
          <w:b/>
          <w:bCs/>
          <w:color w:val="auto"/>
          <w:sz w:val="24"/>
          <w:szCs w:val="24"/>
        </w:rPr>
        <w:t>3.2 合同价款的支付</w:t>
      </w:r>
      <w:bookmarkEnd w:id="306"/>
      <w:r>
        <w:rPr>
          <w:rFonts w:hint="eastAsia" w:ascii="Times New Roman" w:hAnsi="Times New Roman" w:eastAsia="宋体" w:cs="宋体"/>
          <w:b/>
          <w:bCs/>
          <w:color w:val="auto"/>
          <w:sz w:val="24"/>
          <w:szCs w:val="24"/>
        </w:rPr>
        <w:t xml:space="preserve"> </w:t>
      </w:r>
    </w:p>
    <w:p w14:paraId="63638F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bookmarkStart w:id="307" w:name="_Toc7039"/>
      <w:r>
        <w:rPr>
          <w:rFonts w:hint="eastAsia" w:ascii="Times New Roman" w:hAnsi="Times New Roman" w:eastAsia="宋体" w:cs="宋体"/>
          <w:color w:val="auto"/>
          <w:sz w:val="24"/>
          <w:szCs w:val="24"/>
        </w:rPr>
        <w:t>供货商向业主提供预付款保函后，业主支付硬件设备款的40%，硬件设备到场安装；硬、软件设备完成安装调试后，支付至设备款的70%；设备正常运行半年后，支付至设备款的90%；设备正常运行一年且质量保修期满后一次性付清；设备款包含安装费，由供货商负责。</w:t>
      </w:r>
    </w:p>
    <w:p w14:paraId="7D7206C1">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3.3 买方扣款的权利</w:t>
      </w:r>
      <w:bookmarkEnd w:id="307"/>
      <w:r>
        <w:rPr>
          <w:rFonts w:hint="eastAsia" w:ascii="Times New Roman" w:hAnsi="Times New Roman" w:eastAsia="宋体" w:cs="宋体"/>
          <w:b/>
          <w:bCs/>
          <w:color w:val="auto"/>
          <w:sz w:val="24"/>
          <w:szCs w:val="24"/>
        </w:rPr>
        <w:t xml:space="preserve"> </w:t>
      </w:r>
    </w:p>
    <w:p w14:paraId="1A7A21D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当卖方应向买方支付合同项下的违约金或赔偿金时，买方有权从上述任何一笔应付款中予以直接扣除和（或）兑付履约保证金。</w:t>
      </w:r>
    </w:p>
    <w:p w14:paraId="5A6FDA3D">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08" w:name="_Toc24163"/>
      <w:bookmarkStart w:id="309" w:name="_Toc17767"/>
      <w:bookmarkStart w:id="310" w:name="_Toc56792781"/>
      <w:bookmarkStart w:id="311" w:name="_Toc19604"/>
      <w:bookmarkStart w:id="312" w:name="_Toc7057"/>
      <w:bookmarkStart w:id="313" w:name="_Toc23277"/>
      <w:bookmarkStart w:id="314" w:name="_Toc40275005"/>
      <w:bookmarkStart w:id="315" w:name="_Toc12817"/>
      <w:bookmarkStart w:id="316" w:name="_Toc38478261"/>
      <w:bookmarkStart w:id="317" w:name="_Toc38436704"/>
      <w:r>
        <w:rPr>
          <w:rFonts w:hint="eastAsia" w:ascii="Times New Roman" w:hAnsi="Times New Roman" w:cs="宋体"/>
          <w:b w:val="0"/>
          <w:color w:val="auto"/>
          <w:sz w:val="24"/>
          <w:szCs w:val="24"/>
        </w:rPr>
        <w:t>4.监造及交货前检验</w:t>
      </w:r>
      <w:bookmarkEnd w:id="308"/>
      <w:bookmarkEnd w:id="309"/>
      <w:bookmarkEnd w:id="310"/>
      <w:bookmarkEnd w:id="311"/>
      <w:bookmarkEnd w:id="312"/>
      <w:bookmarkEnd w:id="313"/>
      <w:bookmarkEnd w:id="314"/>
      <w:bookmarkEnd w:id="315"/>
      <w:bookmarkEnd w:id="316"/>
      <w:bookmarkEnd w:id="317"/>
      <w:r>
        <w:rPr>
          <w:rFonts w:hint="eastAsia" w:ascii="Times New Roman" w:hAnsi="Times New Roman" w:cs="宋体"/>
          <w:b w:val="0"/>
          <w:color w:val="auto"/>
          <w:sz w:val="24"/>
          <w:szCs w:val="24"/>
        </w:rPr>
        <w:t xml:space="preserve"> </w:t>
      </w:r>
    </w:p>
    <w:p w14:paraId="1014406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18" w:name="_Toc32432"/>
      <w:r>
        <w:rPr>
          <w:rFonts w:hint="eastAsia" w:ascii="Times New Roman" w:hAnsi="Times New Roman" w:eastAsia="宋体" w:cs="宋体"/>
          <w:b/>
          <w:bCs/>
          <w:color w:val="auto"/>
          <w:sz w:val="24"/>
          <w:szCs w:val="24"/>
        </w:rPr>
        <w:t>4.1 监造</w:t>
      </w:r>
      <w:bookmarkEnd w:id="318"/>
      <w:r>
        <w:rPr>
          <w:rFonts w:hint="eastAsia" w:ascii="Times New Roman" w:hAnsi="Times New Roman" w:eastAsia="宋体" w:cs="宋体"/>
          <w:b/>
          <w:bCs/>
          <w:color w:val="auto"/>
          <w:sz w:val="24"/>
          <w:szCs w:val="24"/>
        </w:rPr>
        <w:t xml:space="preserve"> </w:t>
      </w:r>
    </w:p>
    <w:p w14:paraId="73F7C55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专用合同条款约定买方对合同设备进行监造的，双方应按本款及专用合同条款约定履行。</w:t>
      </w:r>
    </w:p>
    <w:p w14:paraId="035AD2E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4.1.1 在合同设备的制造过程中，买方可派出监造人员，对合同设备的生产制造进行监造，监督合同设备制造、检验等情况。监造的范围、方式等应符合专用合同条款和（或）供货要求等合同文件的约定。</w:t>
      </w:r>
    </w:p>
    <w:p w14:paraId="4E5AC8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4.1.2 除专用合同条款和（或）供货要求等合同文件另有约定外，买方监造人员可到合同设备及其关键部件的生产制造现场进行监造，卖方应予配合。卖方应免费为买方监造人员提供工作条件及便利，包括但不限于必要的办公场所、技术资料、检测工具及出入许可等。除专用合同条款另有约定外，买方监造人员的交通、食宿费用由买方承担。</w:t>
      </w:r>
    </w:p>
    <w:p w14:paraId="0BB7BC8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4.1.3 卖方制订生产制造合同设备的进度计划时，应将买方监造纳入计划安排，并提前通知买方；买方进行监造不应影响合同设备的正常生产。除专用合同条款和（或）供货要求等合同文件另有约定外，卖方应提前 7 日将需要买方监造人员现场监造事项通知买方；如买方监造人员未按通知出席，不影响合同设备及其关键部件的制造或检验，但买方监造人员有权事后了解、查阅、复制相关制造或检验记录。</w:t>
      </w:r>
    </w:p>
    <w:p w14:paraId="22C7A18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4.1.4 买方监造人员在监造中如发现合同设备及其关键部件不符合合同约定的标准，则有权提出意见和建议。卖方应采取必要措施消除合同设备的不符，由此增加的费用和（或）造成的延误由卖方负责。</w:t>
      </w:r>
    </w:p>
    <w:p w14:paraId="5F8C1A1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4.1.5 买方监造人员对合同设备的监造，不视为对合同设备质量的确认，不影响卖方交货后买方依照合同约定对合同设备提出质量异议和（或）退货的权利，也不免除卖方依照合同约定对合同设备所应承担的任何义务或责任。</w:t>
      </w:r>
    </w:p>
    <w:p w14:paraId="1CD10B91">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19" w:name="_Toc13494"/>
      <w:r>
        <w:rPr>
          <w:rFonts w:hint="eastAsia" w:ascii="Times New Roman" w:hAnsi="Times New Roman" w:eastAsia="宋体" w:cs="宋体"/>
          <w:b/>
          <w:bCs/>
          <w:color w:val="auto"/>
          <w:sz w:val="24"/>
          <w:szCs w:val="24"/>
        </w:rPr>
        <w:t>4.2 交货前检验</w:t>
      </w:r>
      <w:bookmarkEnd w:id="319"/>
      <w:r>
        <w:rPr>
          <w:rFonts w:hint="eastAsia" w:ascii="Times New Roman" w:hAnsi="Times New Roman" w:eastAsia="宋体" w:cs="宋体"/>
          <w:b/>
          <w:bCs/>
          <w:color w:val="auto"/>
          <w:sz w:val="24"/>
          <w:szCs w:val="24"/>
        </w:rPr>
        <w:t xml:space="preserve"> </w:t>
      </w:r>
    </w:p>
    <w:p w14:paraId="1AB58A2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专用合同条款约定买方参与交货前检验的，双方应按本款及专用合同条款约定履行。</w:t>
      </w:r>
    </w:p>
    <w:p w14:paraId="4181B0C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4.2.1 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w:t>
      </w:r>
    </w:p>
    <w:p w14:paraId="27681F2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4.2.2 除专用合同条款和（或）供货要求等合同文件另有约定外，卖方应提前 7 日将需要买方代表检验事项通知买方；如买方代表未按通知出席，不影响合同设备的检验。若卖方未依照合同约定提前通知买方而自行检验，则买方有权要求卖方暂停发货并重新进行检验，由此增加的费用和（或）造成的延误由卖方负责。</w:t>
      </w:r>
    </w:p>
    <w:p w14:paraId="608113D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4.2.3 买方代表在检验中如发现合同设备不符合合同约定的标准，则有权提出异议。卖方应采取必要措施消除合同设备的不符，由此增加的费用和（或）造成的延误由卖方负责。</w:t>
      </w:r>
    </w:p>
    <w:p w14:paraId="52E2B05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4.2.4 买方代表参与交货前检验及签署交货前检验记录的行为，不视为对合同设备质量的确认，不影响卖方交货后买方依照合同约定对合同设备提出质量异议和（或）退货的权利，也不免除卖方依照合同约定对合同设备所应承担的任何义务或责任。</w:t>
      </w:r>
    </w:p>
    <w:p w14:paraId="5D93CAE7">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20" w:name="_Toc10768"/>
      <w:bookmarkStart w:id="321" w:name="_Toc3837"/>
      <w:bookmarkStart w:id="322" w:name="_Toc38478262"/>
      <w:bookmarkStart w:id="323" w:name="_Toc28232"/>
      <w:bookmarkStart w:id="324" w:name="_Toc26202"/>
      <w:bookmarkStart w:id="325" w:name="_Toc19963"/>
      <w:bookmarkStart w:id="326" w:name="_Toc56792782"/>
      <w:bookmarkStart w:id="327" w:name="_Toc38436705"/>
      <w:bookmarkStart w:id="328" w:name="_Toc40275006"/>
      <w:bookmarkStart w:id="329" w:name="_Toc6247"/>
      <w:r>
        <w:rPr>
          <w:rFonts w:hint="eastAsia" w:ascii="Times New Roman" w:hAnsi="Times New Roman" w:cs="宋体"/>
          <w:b w:val="0"/>
          <w:color w:val="auto"/>
          <w:sz w:val="24"/>
          <w:szCs w:val="24"/>
        </w:rPr>
        <w:t>5.包装、标记、运输和交付</w:t>
      </w:r>
      <w:bookmarkEnd w:id="320"/>
      <w:bookmarkEnd w:id="321"/>
      <w:bookmarkEnd w:id="322"/>
      <w:bookmarkEnd w:id="323"/>
      <w:bookmarkEnd w:id="324"/>
      <w:bookmarkEnd w:id="325"/>
      <w:bookmarkEnd w:id="326"/>
      <w:bookmarkEnd w:id="327"/>
      <w:bookmarkEnd w:id="328"/>
      <w:bookmarkEnd w:id="329"/>
      <w:r>
        <w:rPr>
          <w:rFonts w:hint="eastAsia" w:ascii="Times New Roman" w:hAnsi="Times New Roman" w:cs="宋体"/>
          <w:b w:val="0"/>
          <w:color w:val="auto"/>
          <w:sz w:val="24"/>
          <w:szCs w:val="24"/>
        </w:rPr>
        <w:t xml:space="preserve"> </w:t>
      </w:r>
    </w:p>
    <w:p w14:paraId="09DBDCD5">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30" w:name="_Toc24312"/>
      <w:r>
        <w:rPr>
          <w:rFonts w:hint="eastAsia" w:ascii="Times New Roman" w:hAnsi="Times New Roman" w:eastAsia="宋体" w:cs="宋体"/>
          <w:b/>
          <w:bCs/>
          <w:color w:val="auto"/>
          <w:sz w:val="24"/>
          <w:szCs w:val="24"/>
        </w:rPr>
        <w:t>5.1 包装</w:t>
      </w:r>
      <w:bookmarkEnd w:id="330"/>
      <w:r>
        <w:rPr>
          <w:rFonts w:hint="eastAsia" w:ascii="Times New Roman" w:hAnsi="Times New Roman" w:eastAsia="宋体" w:cs="宋体"/>
          <w:b/>
          <w:bCs/>
          <w:color w:val="auto"/>
          <w:sz w:val="24"/>
          <w:szCs w:val="24"/>
        </w:rPr>
        <w:t xml:space="preserve"> </w:t>
      </w:r>
    </w:p>
    <w:p w14:paraId="52B393D8">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5.1.1 卖方应对合同设备进行妥善包装，以满足合同设备运至施工场地及在施工场地保管的需要。包装应采取防潮、防晒、防锈、防腐蚀、防震动及防止其他损坏的必要保护措施，从而保护合同设备能够经受多次搬运、装卸、长途运输并适宜保管。</w:t>
      </w:r>
    </w:p>
    <w:p w14:paraId="4E3BB5B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5.1.2 每个独立包装箱内应附装箱清单、质量合格证、装配图、说明书、操作指南等资料。</w:t>
      </w:r>
    </w:p>
    <w:p w14:paraId="63B6E4B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5.1.3 除专用合同条款另有约定外，买方无需将包装物退还给卖方。</w:t>
      </w:r>
    </w:p>
    <w:p w14:paraId="7A70A235">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31" w:name="_Toc28042"/>
      <w:r>
        <w:rPr>
          <w:rFonts w:hint="eastAsia" w:ascii="Times New Roman" w:hAnsi="Times New Roman" w:eastAsia="宋体" w:cs="宋体"/>
          <w:b/>
          <w:bCs/>
          <w:color w:val="auto"/>
          <w:sz w:val="24"/>
          <w:szCs w:val="24"/>
        </w:rPr>
        <w:t>5.2 标记</w:t>
      </w:r>
      <w:bookmarkEnd w:id="331"/>
      <w:r>
        <w:rPr>
          <w:rFonts w:hint="eastAsia" w:ascii="Times New Roman" w:hAnsi="Times New Roman" w:eastAsia="宋体" w:cs="宋体"/>
          <w:b/>
          <w:bCs/>
          <w:color w:val="auto"/>
          <w:sz w:val="24"/>
          <w:szCs w:val="24"/>
        </w:rPr>
        <w:t xml:space="preserve"> </w:t>
      </w:r>
    </w:p>
    <w:p w14:paraId="4E0BBCC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5.2.1 除专用合同条款另有约定外，卖方应在每一包装箱相邻的四个侧面以不可擦除的、明显的方式标记必要的装运信息和标记，以满足合同设备运输和保管的需要。</w:t>
      </w:r>
    </w:p>
    <w:p w14:paraId="3355B29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5.2.2 根据合同设备的特点和运输、保管的不同要求，卖方应在包装箱上清楚地标注“小心轻放”、“此端朝上，请勿倒置”、“保持干燥”等字样和其他适当标记。对于专用合同条款约定的超大超重件，卖方应在包装箱两侧标注“重心”和“起吊点”以便装卸和搬运。如果发运合同设备中含有易燃易爆物品、腐蚀物品、放射性物质等危险品，则应在包装箱上标明危险品标志。</w:t>
      </w:r>
    </w:p>
    <w:p w14:paraId="79B17A0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32" w:name="_Toc13688"/>
      <w:r>
        <w:rPr>
          <w:rFonts w:hint="eastAsia" w:ascii="Times New Roman" w:hAnsi="Times New Roman" w:eastAsia="宋体" w:cs="宋体"/>
          <w:b/>
          <w:bCs/>
          <w:color w:val="auto"/>
          <w:sz w:val="24"/>
          <w:szCs w:val="24"/>
        </w:rPr>
        <w:t>5.3 运输</w:t>
      </w:r>
      <w:bookmarkEnd w:id="332"/>
      <w:r>
        <w:rPr>
          <w:rFonts w:hint="eastAsia" w:ascii="Times New Roman" w:hAnsi="Times New Roman" w:eastAsia="宋体" w:cs="宋体"/>
          <w:b/>
          <w:bCs/>
          <w:color w:val="auto"/>
          <w:sz w:val="24"/>
          <w:szCs w:val="24"/>
        </w:rPr>
        <w:t xml:space="preserve"> </w:t>
      </w:r>
    </w:p>
    <w:p w14:paraId="28A39F0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5.3.1 卖方应自行选择适宜的运输工具及线路安排合同设备运输。</w:t>
      </w:r>
    </w:p>
    <w:p w14:paraId="2818E82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5.3.2 除专用合同条款另有约定外，每件能够独立运行的设备应整套装运。该设备安装、调试、考核和运行所使用的备品、备件、易损易耗件等应随相关的主机一齐装运。</w:t>
      </w:r>
    </w:p>
    <w:p w14:paraId="5E8FB9E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5.3.3 除专用合同条款另有约定外，卖方应在合同设备预计启运 7 日前，将合同设备名称、</w:t>
      </w:r>
    </w:p>
    <w:p w14:paraId="4ADB853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数量、箱数、总毛重、总体积（用 m3 表示）、每箱尺寸（长×宽×高）、装运合同设备总金额、运输方式、预计交付日期和合同设备在运输、装卸、保管中的注意事项等预通知买方，并在合同设备启运后 24 小时之内正式通知买方。</w:t>
      </w:r>
    </w:p>
    <w:p w14:paraId="6291A46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5.3.4 卖方在根据第 5.3.3 项进行通知时，如果发运合同设备中包括专用合同条款约定的超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p>
    <w:p w14:paraId="085E04ED">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33" w:name="_Toc29551"/>
      <w:r>
        <w:rPr>
          <w:rFonts w:hint="eastAsia" w:ascii="Times New Roman" w:hAnsi="Times New Roman" w:eastAsia="宋体" w:cs="宋体"/>
          <w:b/>
          <w:bCs/>
          <w:color w:val="auto"/>
          <w:sz w:val="24"/>
          <w:szCs w:val="24"/>
        </w:rPr>
        <w:t>5.4 交付</w:t>
      </w:r>
      <w:bookmarkEnd w:id="333"/>
      <w:r>
        <w:rPr>
          <w:rFonts w:hint="eastAsia" w:ascii="Times New Roman" w:hAnsi="Times New Roman" w:eastAsia="宋体" w:cs="宋体"/>
          <w:b/>
          <w:bCs/>
          <w:color w:val="auto"/>
          <w:sz w:val="24"/>
          <w:szCs w:val="24"/>
        </w:rPr>
        <w:t xml:space="preserve"> </w:t>
      </w:r>
    </w:p>
    <w:p w14:paraId="19EFC05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5.4.1 除专用合同条款另有约定外，卖方应根据合同约定的交付时间和批次在施工场地车面上将合同设备交付给买方。买方对卖方交付的包装的合同设备的外观及件数进行清点核验后应签发收货清单，并自负风险和费用进行卸货。买方签发收货清单不代表对合同设备的接受，双方还应按合同约定进行后续的检验和验收。</w:t>
      </w:r>
    </w:p>
    <w:p w14:paraId="1DB2344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5.4.2 合同设备的所有权和风险自交付时起由卖方转移至买方，合同设备交付给买方之前包括运输在内的所有风险均由卖方承担。</w:t>
      </w:r>
    </w:p>
    <w:p w14:paraId="588B5E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5.4.3 除专用合同条款另有约定外，买方如果发现技术资料存在短缺和（或）损坏，卖方应在收到买方的通知后 7 日内免费补齐短缺和（或）损坏的部分。如果买方发现卖方提供的技术资料有误，卖方应在收到买方通知后 7 日内免费替换。如由于买方原因导致技术资料丢失和（或）损坏，卖方应在收到买方的通知后 7 日内补齐丢失和（或）损坏的部分，但买方应向卖方支付合理的复制、邮寄费用。</w:t>
      </w:r>
    </w:p>
    <w:p w14:paraId="75A235A2">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34" w:name="_Toc38478263"/>
      <w:bookmarkStart w:id="335" w:name="_Toc40275007"/>
      <w:bookmarkStart w:id="336" w:name="_Toc38436706"/>
      <w:bookmarkStart w:id="337" w:name="_Toc29962"/>
      <w:bookmarkStart w:id="338" w:name="_Toc358"/>
      <w:bookmarkStart w:id="339" w:name="_Toc56792783"/>
      <w:bookmarkStart w:id="340" w:name="_Toc26163"/>
      <w:bookmarkStart w:id="341" w:name="_Toc7524"/>
      <w:bookmarkStart w:id="342" w:name="_Toc10092"/>
      <w:bookmarkStart w:id="343" w:name="_Toc14167"/>
      <w:r>
        <w:rPr>
          <w:rFonts w:hint="eastAsia" w:ascii="Times New Roman" w:hAnsi="Times New Roman" w:cs="宋体"/>
          <w:b w:val="0"/>
          <w:color w:val="auto"/>
          <w:sz w:val="24"/>
          <w:szCs w:val="24"/>
        </w:rPr>
        <w:t>6.开箱检验、安装、调试、考核、验收</w:t>
      </w:r>
      <w:bookmarkEnd w:id="334"/>
      <w:bookmarkEnd w:id="335"/>
      <w:bookmarkEnd w:id="336"/>
      <w:bookmarkEnd w:id="337"/>
      <w:bookmarkEnd w:id="338"/>
      <w:bookmarkEnd w:id="339"/>
      <w:bookmarkEnd w:id="340"/>
      <w:bookmarkEnd w:id="341"/>
      <w:bookmarkEnd w:id="342"/>
      <w:bookmarkEnd w:id="343"/>
      <w:r>
        <w:rPr>
          <w:rFonts w:hint="eastAsia" w:ascii="Times New Roman" w:hAnsi="Times New Roman" w:cs="宋体"/>
          <w:b w:val="0"/>
          <w:color w:val="auto"/>
          <w:sz w:val="24"/>
          <w:szCs w:val="24"/>
        </w:rPr>
        <w:t xml:space="preserve"> </w:t>
      </w:r>
    </w:p>
    <w:p w14:paraId="6AF08FEB">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44" w:name="_Toc32287"/>
      <w:r>
        <w:rPr>
          <w:rFonts w:hint="eastAsia" w:ascii="Times New Roman" w:hAnsi="Times New Roman" w:eastAsia="宋体" w:cs="宋体"/>
          <w:b/>
          <w:bCs/>
          <w:color w:val="auto"/>
          <w:sz w:val="24"/>
          <w:szCs w:val="24"/>
        </w:rPr>
        <w:t>6.1 开箱检验</w:t>
      </w:r>
      <w:bookmarkEnd w:id="344"/>
      <w:r>
        <w:rPr>
          <w:rFonts w:hint="eastAsia" w:ascii="Times New Roman" w:hAnsi="Times New Roman" w:eastAsia="宋体" w:cs="宋体"/>
          <w:b/>
          <w:bCs/>
          <w:color w:val="auto"/>
          <w:sz w:val="24"/>
          <w:szCs w:val="24"/>
        </w:rPr>
        <w:t xml:space="preserve"> </w:t>
      </w:r>
    </w:p>
    <w:p w14:paraId="29CE252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6.1.1 合同设备交付后应进行开箱检验，即合同设备数量及外观检验。开箱检验在专用合同条款约定的下列任一种时间进行： </w:t>
      </w:r>
    </w:p>
    <w:p w14:paraId="64752475">
      <w:pPr>
        <w:widowControl w:val="0"/>
        <w:numPr>
          <w:ilvl w:val="0"/>
          <w:numId w:val="6"/>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合同设备交付时； </w:t>
      </w:r>
    </w:p>
    <w:p w14:paraId="7D049908">
      <w:pPr>
        <w:widowControl w:val="0"/>
        <w:numPr>
          <w:ilvl w:val="0"/>
          <w:numId w:val="6"/>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合同设备交付后的一定期限内。</w:t>
      </w:r>
    </w:p>
    <w:p w14:paraId="346FC3C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如开箱检验不在合同设备交付时进行，买方应在开箱检验 3 日前将开箱检验的时间和地点通知卖方。</w:t>
      </w:r>
    </w:p>
    <w:p w14:paraId="3EB5F36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6.1.2 除专用合同条款另有约定外，合同设备的开箱检验应在施工场地进行。</w:t>
      </w:r>
    </w:p>
    <w:p w14:paraId="6548391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6.1.3 开箱检验由买卖双方共同进行，卖方应自负费用派遣代表到场参加开箱检验。</w:t>
      </w:r>
    </w:p>
    <w:p w14:paraId="1EC24248">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6.1.4 在开箱检验中，买方和卖方应共同签署数量、外观检验报告，报告应列明检验结果，包括检验合格或发现的任何短缺、损坏或其他与合同约定不符的情形。</w:t>
      </w:r>
    </w:p>
    <w:p w14:paraId="1D75765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6.1.5 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14:paraId="3E4A75B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6.1.6 如开箱检验不在合同设备交付时进行，则合同设备交付以后到开箱检验之前，应由买方负责按交货时外包装原样对合同设备进行妥善保管。除专用合同条款另有约定外，在开箱检验时如果合同设备外包装与交货时一致，则开箱检验中发现的合同设备的短缺、损坏或其他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他与合同约定不符的情形的风险，由买方承担，但买方能够证明是由于卖方原因或合同设备交付前非买方原因导致的除外。</w:t>
      </w:r>
    </w:p>
    <w:p w14:paraId="49930CE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6.1.7 如双方在专用合同条款和（或）供货要求等合同文件中约定由第三方检测机构对合同设备进行开箱检验或在开箱检验过程中另行约定由第三方检验的，则第三方检测机构的检验结果对双方均具有约束力。</w:t>
      </w:r>
    </w:p>
    <w:p w14:paraId="2963CE5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6.1.8 开箱检验的检验结果不能对抗在合同设备的安装、调试、考核、验收中及质量保证期内发现的合同设备质量问题，也不能免除或影响卖方依照合同约定对买方负有的包括合同设备质量在内的任何义务或责任。</w:t>
      </w:r>
    </w:p>
    <w:p w14:paraId="74EEDAAE">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45" w:name="_Toc17185"/>
      <w:r>
        <w:rPr>
          <w:rFonts w:hint="eastAsia" w:ascii="Times New Roman" w:hAnsi="Times New Roman" w:eastAsia="宋体" w:cs="宋体"/>
          <w:b/>
          <w:bCs/>
          <w:color w:val="auto"/>
          <w:sz w:val="24"/>
          <w:szCs w:val="24"/>
        </w:rPr>
        <w:t>6.2 安装、调试</w:t>
      </w:r>
      <w:bookmarkEnd w:id="345"/>
      <w:r>
        <w:rPr>
          <w:rFonts w:hint="eastAsia" w:ascii="Times New Roman" w:hAnsi="Times New Roman" w:eastAsia="宋体" w:cs="宋体"/>
          <w:b/>
          <w:bCs/>
          <w:color w:val="auto"/>
          <w:sz w:val="24"/>
          <w:szCs w:val="24"/>
        </w:rPr>
        <w:t xml:space="preserve"> </w:t>
      </w:r>
    </w:p>
    <w:p w14:paraId="0A483C9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6.2.1 开箱检验完成后，双方应对合同设备进行安装、调试，以使其具备考核的状态。安装、调试应按照专用合同条款约定的下列任一种方式进行： </w:t>
      </w:r>
    </w:p>
    <w:p w14:paraId="1048948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（1）卖方按照合同约定完成合同设备的安装、调试工作； </w:t>
      </w:r>
    </w:p>
    <w:p w14:paraId="4B765FD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（2）买方或买方安排第三方负责合同设备的安装、调试工作，卖方提供技术服务。</w:t>
      </w:r>
    </w:p>
    <w:p w14:paraId="1748D8A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14:paraId="60ABAAE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6.2.2 除专用合同条款另有约定外，安装、调试中合同设备运行需要的用水、用电、其他动力和原材料（如需要）等均由买方承担。</w:t>
      </w:r>
    </w:p>
    <w:p w14:paraId="34C8108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6.2.3 双方应对合同设备的安装、调试情况共同及时进行记录。</w:t>
      </w:r>
    </w:p>
    <w:p w14:paraId="7A2FA046">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46" w:name="_Toc30074"/>
      <w:r>
        <w:rPr>
          <w:rFonts w:hint="eastAsia" w:ascii="Times New Roman" w:hAnsi="Times New Roman" w:eastAsia="宋体" w:cs="宋体"/>
          <w:b/>
          <w:bCs/>
          <w:color w:val="auto"/>
          <w:sz w:val="24"/>
          <w:szCs w:val="24"/>
        </w:rPr>
        <w:t>6.3 考核</w:t>
      </w:r>
      <w:bookmarkEnd w:id="346"/>
      <w:r>
        <w:rPr>
          <w:rFonts w:hint="eastAsia" w:ascii="Times New Roman" w:hAnsi="Times New Roman" w:eastAsia="宋体" w:cs="宋体"/>
          <w:b/>
          <w:bCs/>
          <w:color w:val="auto"/>
          <w:sz w:val="24"/>
          <w:szCs w:val="24"/>
        </w:rPr>
        <w:t xml:space="preserve"> </w:t>
      </w:r>
    </w:p>
    <w:p w14:paraId="1024A05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6.3.1 安装、调试完成后，双方应对合同设备进行考核，以确定合同设备是否达到合同约定的技术性能考核指标。除专用合同条款另有约定外，考核中合同设备运行需要的用水、用电、其他动力和原材料（如需要）等均由买方承担。</w:t>
      </w:r>
    </w:p>
    <w:p w14:paraId="68279CF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6.3.2 如由于卖方原因合同设备在考核中未能达到合同约定的技术性能考核指标，则卖方应在双方同意的期限内采取措施消除合同设备中存在的缺陷，并在缺陷消除以后，尽快进行再次考核。</w:t>
      </w:r>
    </w:p>
    <w:p w14:paraId="52BCAF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6.3.3 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专用合同条款的约定进行减价或向买方支付补偿金。</w:t>
      </w:r>
    </w:p>
    <w:p w14:paraId="2B9290F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6.3.4 如由于买方原因合同设备在考核中未能达到合同约定的技术性能考核指标，则卖方应协助买方安排再次考核。由于买方原因未能达到技术性能考核指标时，为买方进行考核的机会不超过三次。</w:t>
      </w:r>
    </w:p>
    <w:p w14:paraId="30CFC77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6.3.5 考核期间，双方应及时共同记录合同设备的用水、用电、其他动力和原材料（如有）的使用及设备考核情况。对于未达到技术性能考核指标的，应如实记录设备表现、可能原因及处理情况等。</w:t>
      </w:r>
    </w:p>
    <w:p w14:paraId="2E231BFC">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47" w:name="_Toc9030"/>
      <w:r>
        <w:rPr>
          <w:rFonts w:hint="eastAsia" w:ascii="Times New Roman" w:hAnsi="Times New Roman" w:eastAsia="宋体" w:cs="宋体"/>
          <w:b/>
          <w:bCs/>
          <w:color w:val="auto"/>
          <w:sz w:val="24"/>
          <w:szCs w:val="24"/>
        </w:rPr>
        <w:t>6.4 验收</w:t>
      </w:r>
      <w:bookmarkEnd w:id="347"/>
      <w:r>
        <w:rPr>
          <w:rFonts w:hint="eastAsia" w:ascii="Times New Roman" w:hAnsi="Times New Roman" w:eastAsia="宋体" w:cs="宋体"/>
          <w:b/>
          <w:bCs/>
          <w:color w:val="auto"/>
          <w:sz w:val="24"/>
          <w:szCs w:val="24"/>
        </w:rPr>
        <w:t xml:space="preserve"> </w:t>
      </w:r>
    </w:p>
    <w:p w14:paraId="13F5558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6.4.1 如合同设备在考核中达到或视为达到技术性能考核指标，则买卖双方应在考核完成后7 日内或专用合同条款另行约定的时间内签署合同设备验收证书一式二份，双方各持一份。验收日期应为合同设备达到或视为达到技术性能考核指标的日期。</w:t>
      </w:r>
    </w:p>
    <w:p w14:paraId="45DF2B1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6.4.2 如由于买方原因合同设备在三次考核中均未能达到技术性能考核指标，买卖双方应在考核结束后 7 日内或专用合同条款另行约定的时间内签署验收款支付函。</w:t>
      </w:r>
    </w:p>
    <w:p w14:paraId="1D8494F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除专用合同条款另有约定外，卖方有义务在验收款支付函签署后 12 个月内应买方要求提供相关技术服务，协助买方采取一切必要措施使合同设备达到技术性能考核指标。买方应承担卖方因此产生的全部费用。</w:t>
      </w:r>
    </w:p>
    <w:p w14:paraId="025323B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在上述 12 个月的期限内，如合同设备经过考核达到或视为达到技术性能考核指标，则买卖双方应按照第 6.4.1 项的约定签署合同设备验收证书。</w:t>
      </w:r>
    </w:p>
    <w:p w14:paraId="4A8D08F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6.4.3 除专用合同条款另有约定外，如由于买方原因在最后一批合同设备交货后 6 个月内未能开始考核，则买卖双方应在上述期限届满后 7 日内或专用合同条款另行约定的时间内签署验收款支付函。</w:t>
      </w:r>
    </w:p>
    <w:p w14:paraId="1F9E4A3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除专用合同条款另有约定外，卖方有义务在验收款支付函签署后 6 个月内应买方要求提供不超出合同范围的技术服务，协助买方采取一切必要措施使合同设备达到技术性能考核指标，且买方无需因此向卖方支付费用。</w:t>
      </w:r>
    </w:p>
    <w:p w14:paraId="169135C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在上述6个月的期限内，如合同设备经过考核达到或视为达到技术性能考核指标，则买卖双方应按照第6.4.1项的约定签署合同设备验收证书。</w:t>
      </w:r>
    </w:p>
    <w:p w14:paraId="5BCA114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6.4.4在第6.4.2项和第6.4.3项情形下，卖方也可单方签署验收款支付函提交买方，如果买方在收到卖方签署的验收款支付函后 14 日内未向卖方提出书面异议，则验收款支付函自签署之日起生效。</w:t>
      </w:r>
    </w:p>
    <w:p w14:paraId="7205AAC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6.4.5合同设备验收证书的签署不能免除卖方在质量保证期内对合同设备应承担的保证责任。</w:t>
      </w:r>
    </w:p>
    <w:p w14:paraId="5E759A43">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48" w:name="_Toc29360"/>
      <w:bookmarkStart w:id="349" w:name="_Toc40275008"/>
      <w:bookmarkStart w:id="350" w:name="_Toc29416"/>
      <w:bookmarkStart w:id="351" w:name="_Toc13687"/>
      <w:bookmarkStart w:id="352" w:name="_Toc1662"/>
      <w:bookmarkStart w:id="353" w:name="_Toc38436707"/>
      <w:bookmarkStart w:id="354" w:name="_Toc12428"/>
      <w:bookmarkStart w:id="355" w:name="_Toc38478264"/>
      <w:bookmarkStart w:id="356" w:name="_Toc56792784"/>
      <w:bookmarkStart w:id="357" w:name="_Toc25020"/>
      <w:r>
        <w:rPr>
          <w:rFonts w:hint="eastAsia" w:ascii="Times New Roman" w:hAnsi="Times New Roman" w:cs="宋体"/>
          <w:b w:val="0"/>
          <w:color w:val="auto"/>
          <w:sz w:val="24"/>
          <w:szCs w:val="24"/>
        </w:rPr>
        <w:t>7.技术服务</w:t>
      </w:r>
      <w:bookmarkEnd w:id="348"/>
      <w:bookmarkEnd w:id="349"/>
      <w:bookmarkEnd w:id="350"/>
      <w:bookmarkEnd w:id="351"/>
      <w:bookmarkEnd w:id="352"/>
      <w:bookmarkEnd w:id="353"/>
      <w:bookmarkEnd w:id="354"/>
      <w:bookmarkEnd w:id="355"/>
      <w:bookmarkEnd w:id="356"/>
      <w:bookmarkEnd w:id="357"/>
      <w:r>
        <w:rPr>
          <w:rFonts w:hint="eastAsia" w:ascii="Times New Roman" w:hAnsi="Times New Roman" w:cs="宋体"/>
          <w:b w:val="0"/>
          <w:color w:val="auto"/>
          <w:sz w:val="24"/>
          <w:szCs w:val="24"/>
        </w:rPr>
        <w:t xml:space="preserve"> </w:t>
      </w:r>
    </w:p>
    <w:p w14:paraId="60ABF3D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7.1 卖方应派遣技术熟练、称职的技术人员到施工场地为买方提供技术服务。卖方的技术服务应符合合同的约定。</w:t>
      </w:r>
    </w:p>
    <w:p w14:paraId="3FB6C12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7.2 买方应免费为卖方技术人员提供工作条件及便利，包括但不限于必要的办公场所、技术资料及出入许可等。除专用合同条款另有约定外，卖方技术人员的交通、食宿费用由卖方承担。</w:t>
      </w:r>
    </w:p>
    <w:p w14:paraId="611D79B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7.3 卖方技术人员应遵守买方施工现场的各项规章制度和安全操作规程，并服从买方的现场管理。</w:t>
      </w:r>
    </w:p>
    <w:p w14:paraId="42D26AC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7.4 如果任何技术人员不合格，买方有权要求卖方撤换，因撤换而产生的费用应由卖方承担。在不影响技术服务并且征得买方同意的条件下，卖方也可自负费用更换其技术人员。</w:t>
      </w:r>
    </w:p>
    <w:p w14:paraId="1D57D261">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58" w:name="_Toc56792785"/>
      <w:bookmarkStart w:id="359" w:name="_Toc25233"/>
      <w:bookmarkStart w:id="360" w:name="_Toc15026"/>
      <w:bookmarkStart w:id="361" w:name="_Toc5852"/>
      <w:bookmarkStart w:id="362" w:name="_Toc21804"/>
      <w:bookmarkStart w:id="363" w:name="_Toc6216"/>
      <w:bookmarkStart w:id="364" w:name="_Toc38436708"/>
      <w:bookmarkStart w:id="365" w:name="_Toc38478265"/>
      <w:bookmarkStart w:id="366" w:name="_Toc21710"/>
      <w:bookmarkStart w:id="367" w:name="_Toc40275009"/>
      <w:r>
        <w:rPr>
          <w:rFonts w:hint="eastAsia" w:ascii="Times New Roman" w:hAnsi="Times New Roman" w:cs="宋体"/>
          <w:b w:val="0"/>
          <w:color w:val="auto"/>
          <w:sz w:val="24"/>
          <w:szCs w:val="24"/>
        </w:rPr>
        <w:t>8.质量保证期</w:t>
      </w:r>
      <w:bookmarkEnd w:id="358"/>
      <w:bookmarkEnd w:id="359"/>
      <w:bookmarkEnd w:id="360"/>
      <w:bookmarkEnd w:id="361"/>
      <w:bookmarkEnd w:id="362"/>
      <w:bookmarkEnd w:id="363"/>
      <w:bookmarkEnd w:id="364"/>
      <w:bookmarkEnd w:id="365"/>
      <w:bookmarkEnd w:id="366"/>
      <w:bookmarkEnd w:id="367"/>
      <w:r>
        <w:rPr>
          <w:rFonts w:hint="eastAsia" w:ascii="Times New Roman" w:hAnsi="Times New Roman" w:cs="宋体"/>
          <w:b w:val="0"/>
          <w:color w:val="auto"/>
          <w:sz w:val="24"/>
          <w:szCs w:val="24"/>
        </w:rPr>
        <w:t xml:space="preserve"> </w:t>
      </w:r>
    </w:p>
    <w:p w14:paraId="4D2E848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8.1 除专用合同条款和（或）供货要求等合同文件另有约定外，合同设备整体质量保证期为验收之日起 12 个月。如对合同设备中关键部件的质量保证期有特殊要求的，买卖双方可在专用合同条款中约定。在合同第 6.4.2 项情形下，无论合同设备何时验收，其质量保证期最长为签署验收款支付函后 12 个月。在合同第 6.4.3 项情形下，无论合同设备何时验收，其质量保证期最长为签署验收款支付函后 6 个月。</w:t>
      </w:r>
    </w:p>
    <w:p w14:paraId="0C9F8FE8">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8.2 在质量保证期内如果合同设备出现故障，卖方应自负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w:t>
      </w:r>
    </w:p>
    <w:p w14:paraId="60606EB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8.3 质量保证期届满后，买方应在 7 日内或专用合同条款另行约定的时间内向卖方出具合同设备的质量保证期届满证书。</w:t>
      </w:r>
    </w:p>
    <w:p w14:paraId="6E84BF4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8.4 在合同第 6.4.2 项情形下，如在验收款支付函签署后 12 个月内由于买方原因合同设备仍未能达到技术性能考核指标，则买卖双方应在该 12 个月届满后 7 日内或专用合同条款另行约定的时间内签署结清款支付函。</w:t>
      </w:r>
    </w:p>
    <w:p w14:paraId="75AB856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8.5 在合同第 6.4.3 项情形下，如在验收款支付函签署后 6 个月内由于买方原因合同设备仍未进行考核或仍未达到技术性能考核指标，则买卖双方应在该 6 个月届满后 7 日内或专用合同条款另行约定的时间内签署结清款支付函。</w:t>
      </w:r>
    </w:p>
    <w:p w14:paraId="50297C4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8.6 在第8.4款和第8.5款情形下，卖方也可单方签署结清款支付函提交买方，如果买方在收到卖方签署的结清款支付函后 14 日内未向卖方提出书面异议，则结清款支付函自签署之日起生效。</w:t>
      </w:r>
    </w:p>
    <w:p w14:paraId="6291DB74">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68" w:name="_Toc4258"/>
      <w:bookmarkStart w:id="369" w:name="_Toc56792786"/>
      <w:bookmarkStart w:id="370" w:name="_Toc38436709"/>
      <w:bookmarkStart w:id="371" w:name="_Toc23426"/>
      <w:bookmarkStart w:id="372" w:name="_Toc23812"/>
      <w:bookmarkStart w:id="373" w:name="_Toc14523"/>
      <w:bookmarkStart w:id="374" w:name="_Toc40275010"/>
      <w:bookmarkStart w:id="375" w:name="_Toc16655"/>
      <w:bookmarkStart w:id="376" w:name="_Toc29636"/>
      <w:bookmarkStart w:id="377" w:name="_Toc38478266"/>
      <w:r>
        <w:rPr>
          <w:rFonts w:hint="eastAsia" w:ascii="Times New Roman" w:hAnsi="Times New Roman" w:cs="宋体"/>
          <w:b w:val="0"/>
          <w:color w:val="auto"/>
          <w:sz w:val="24"/>
          <w:szCs w:val="24"/>
        </w:rPr>
        <w:t>9.质保期服务</w:t>
      </w:r>
      <w:bookmarkEnd w:id="368"/>
      <w:bookmarkEnd w:id="369"/>
      <w:bookmarkEnd w:id="370"/>
      <w:bookmarkEnd w:id="371"/>
      <w:bookmarkEnd w:id="372"/>
      <w:bookmarkEnd w:id="373"/>
      <w:bookmarkEnd w:id="374"/>
      <w:bookmarkEnd w:id="375"/>
      <w:bookmarkEnd w:id="376"/>
      <w:bookmarkEnd w:id="377"/>
    </w:p>
    <w:p w14:paraId="109CD04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9.1 卖方应为质保期服务配备充足的技术人员、工具和备件并保证提供的联系方式畅通。除专用合同条款和（或）供货要求等合同文件另有约定外，卖方应在收到买方通知后 24 小时内做出响应，如需卖方到合同设备现场，卖方应在收到买方通知后 48 小时内到达，并在到达后 7 日内解决合同设备的故障（重大故障除外）。如果卖方未在上述时间内作出响应，则买方有权自行或委托他人解决相关问题或查找和解决合同设备的故障，卖方应承担由此发生的全部费用。</w:t>
      </w:r>
    </w:p>
    <w:p w14:paraId="6AEFE7A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9.2 如卖方技术人员需到合同设备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14:paraId="1097993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9.3 如果任何技术人员不合格，买方有权要求卖方撤换，因撤换而产生的费用应由卖方承担。在不影响质保期服务并且征得买方同意的条件下，卖方也可自负费用更换其技术人员。</w:t>
      </w:r>
    </w:p>
    <w:p w14:paraId="22DC88E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9.4 除专用合同条款另有约定外，卖方应就在施工现场进行质保期服务的情况进行记录，记载合同设备故障发生的时间、原因及解决情况等，由买方签字确认，并在质量保证期结束后提交给买方。</w:t>
      </w:r>
    </w:p>
    <w:p w14:paraId="017CBDD2">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78" w:name="_Toc25596"/>
      <w:bookmarkStart w:id="379" w:name="_Toc38478267"/>
      <w:bookmarkStart w:id="380" w:name="_Toc30259"/>
      <w:bookmarkStart w:id="381" w:name="_Toc30968"/>
      <w:bookmarkStart w:id="382" w:name="_Toc56792787"/>
      <w:bookmarkStart w:id="383" w:name="_Toc25085"/>
      <w:bookmarkStart w:id="384" w:name="_Toc40275011"/>
      <w:bookmarkStart w:id="385" w:name="_Toc38436710"/>
      <w:bookmarkStart w:id="386" w:name="_Toc21457"/>
      <w:bookmarkStart w:id="387" w:name="_Toc15545"/>
      <w:r>
        <w:rPr>
          <w:rFonts w:hint="eastAsia" w:ascii="Times New Roman" w:hAnsi="Times New Roman" w:cs="宋体"/>
          <w:b w:val="0"/>
          <w:color w:val="auto"/>
          <w:sz w:val="24"/>
          <w:szCs w:val="24"/>
        </w:rPr>
        <w:t>10.履约保证金</w:t>
      </w:r>
      <w:bookmarkEnd w:id="378"/>
      <w:bookmarkEnd w:id="379"/>
      <w:bookmarkEnd w:id="380"/>
      <w:bookmarkEnd w:id="381"/>
      <w:bookmarkEnd w:id="382"/>
      <w:bookmarkEnd w:id="383"/>
      <w:bookmarkEnd w:id="384"/>
      <w:bookmarkEnd w:id="385"/>
      <w:bookmarkEnd w:id="386"/>
      <w:bookmarkEnd w:id="387"/>
      <w:r>
        <w:rPr>
          <w:rFonts w:hint="eastAsia" w:ascii="Times New Roman" w:hAnsi="Times New Roman" w:cs="宋体"/>
          <w:b w:val="0"/>
          <w:color w:val="auto"/>
          <w:sz w:val="24"/>
          <w:szCs w:val="24"/>
        </w:rPr>
        <w:t xml:space="preserve"> </w:t>
      </w:r>
    </w:p>
    <w:p w14:paraId="298AC1B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除专用合同条款另有约定外，履约保证金自合同生效之日起生效，在合同设备验收证书或验收款支付函签署之日起 28 日后失效。如果卖方不履行合同约定的义务或其履行不符合合同的约定，买方有权扣划相应金额的履约保证金。</w:t>
      </w:r>
    </w:p>
    <w:p w14:paraId="4B3715B9">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88" w:name="_Toc56792788"/>
      <w:bookmarkStart w:id="389" w:name="_Toc38436711"/>
      <w:bookmarkStart w:id="390" w:name="_Toc40275012"/>
      <w:bookmarkStart w:id="391" w:name="_Toc38478268"/>
      <w:bookmarkStart w:id="392" w:name="_Toc16748"/>
      <w:bookmarkStart w:id="393" w:name="_Toc30312"/>
      <w:bookmarkStart w:id="394" w:name="_Toc469"/>
      <w:bookmarkStart w:id="395" w:name="_Toc19593"/>
      <w:bookmarkStart w:id="396" w:name="_Toc25721"/>
      <w:bookmarkStart w:id="397" w:name="_Toc1685"/>
      <w:r>
        <w:rPr>
          <w:rFonts w:hint="eastAsia" w:ascii="Times New Roman" w:hAnsi="Times New Roman" w:cs="宋体"/>
          <w:b w:val="0"/>
          <w:color w:val="auto"/>
          <w:sz w:val="24"/>
          <w:szCs w:val="24"/>
        </w:rPr>
        <w:t>11.保证</w:t>
      </w:r>
      <w:bookmarkEnd w:id="388"/>
      <w:bookmarkEnd w:id="389"/>
      <w:bookmarkEnd w:id="390"/>
      <w:bookmarkEnd w:id="391"/>
      <w:bookmarkEnd w:id="392"/>
      <w:bookmarkEnd w:id="393"/>
      <w:bookmarkEnd w:id="394"/>
      <w:bookmarkEnd w:id="395"/>
      <w:bookmarkEnd w:id="396"/>
      <w:bookmarkEnd w:id="397"/>
    </w:p>
    <w:p w14:paraId="1B494A0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 卖方保证其具有完全的能力履行本合同项下的全部义务。</w:t>
      </w:r>
    </w:p>
    <w:p w14:paraId="65AA2C1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 卖方保证其所提供的合同设备及对合同的履行符合所有应适用的法律、行政法规、地方性法规、自治条例和单行条例、规章及其他规范性文件的强制性规定。</w:t>
      </w:r>
    </w:p>
    <w:p w14:paraId="4C6B1D2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 卖方保证其对合同设备的销售不损害任何第三方的合法权益和社会公众利益。任何第三方不会因卖方原因而基于所有权、抵押权、留置权或其他任何权利或事由对合同设备主张权利。</w:t>
      </w:r>
    </w:p>
    <w:p w14:paraId="4449C84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 卖方保证合同设备符合合同约定的规格、标准、技术性能考核指标等，能够安全和稳定地运行，且合同设备（包括全部部件）全新、完整、未使用过，除非专用合同条款和（或）供货要求等合同文件另有约定。</w:t>
      </w:r>
    </w:p>
    <w:p w14:paraId="5D95B36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11.5 卖方保证，卖方所提供的技术资料完整、清晰、准确，符合合同约定并且能够满足合同设备的安装、调试、考核、操作以及维修和保养的需要。</w:t>
      </w:r>
    </w:p>
    <w:p w14:paraId="531014D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11.6 卖方保证合同范围内提供的备品备件能够满足合同设备在质量保证期结束前正常运行及维修的需要，如在质量保证期结束前因卖方原因出现备品备件短缺影响合同设备正常运行的，卖方应免费提供。</w:t>
      </w:r>
    </w:p>
    <w:p w14:paraId="2AFC4C3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11.7 除专用合同条款和（或）供货要求等合同文件另有约定外，如果在合同设备设计使用寿命期内发生合同项下备品备件停止生产的情况，卖方应事先将拟停止生产的计划通知买方，使买方有足够的时间考虑备品备件的需求量。根据买方要求，卖方应： </w:t>
      </w:r>
    </w:p>
    <w:p w14:paraId="2C04476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（1）以不高于同期市场价格或其向任何第三方销售同类产品的价格提供合同设备正常运行所需的全部备品备件。或 </w:t>
      </w:r>
    </w:p>
    <w:p w14:paraId="3B33EC1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w:t>
      </w:r>
    </w:p>
    <w:p w14:paraId="51F53EF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11.8 卖方保证，在合同设备设计使用寿命期内，如果卖方发现合同设备由于设计、制造、标识等原因存在足以危及人身、财产安全的缺陷，卖方将及时通知买方并及时采取修正或者补充标识、修理、更换等措施消除缺陷。</w:t>
      </w:r>
    </w:p>
    <w:p w14:paraId="487D794C">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98" w:name="_Toc26804"/>
      <w:bookmarkStart w:id="399" w:name="_Toc8616"/>
      <w:bookmarkStart w:id="400" w:name="_Toc6529"/>
      <w:bookmarkStart w:id="401" w:name="_Toc30854"/>
      <w:bookmarkStart w:id="402" w:name="_Toc4661"/>
      <w:bookmarkStart w:id="403" w:name="_Toc38436712"/>
      <w:bookmarkStart w:id="404" w:name="_Toc38478269"/>
      <w:bookmarkStart w:id="405" w:name="_Toc23902"/>
      <w:bookmarkStart w:id="406" w:name="_Toc56792789"/>
      <w:bookmarkStart w:id="407" w:name="_Toc40275013"/>
      <w:r>
        <w:rPr>
          <w:rFonts w:hint="eastAsia" w:ascii="Times New Roman" w:hAnsi="Times New Roman" w:cs="宋体"/>
          <w:b w:val="0"/>
          <w:color w:val="auto"/>
          <w:sz w:val="24"/>
          <w:szCs w:val="24"/>
        </w:rPr>
        <w:t>12.知识产权</w:t>
      </w:r>
      <w:bookmarkEnd w:id="398"/>
      <w:bookmarkEnd w:id="399"/>
      <w:bookmarkEnd w:id="400"/>
      <w:bookmarkEnd w:id="401"/>
      <w:bookmarkEnd w:id="402"/>
      <w:bookmarkEnd w:id="403"/>
      <w:bookmarkEnd w:id="404"/>
      <w:bookmarkEnd w:id="405"/>
      <w:bookmarkEnd w:id="406"/>
      <w:bookmarkEnd w:id="407"/>
      <w:r>
        <w:rPr>
          <w:rFonts w:hint="eastAsia" w:ascii="Times New Roman" w:hAnsi="Times New Roman" w:cs="宋体"/>
          <w:b w:val="0"/>
          <w:color w:val="auto"/>
          <w:sz w:val="24"/>
          <w:szCs w:val="24"/>
        </w:rPr>
        <w:t xml:space="preserve"> </w:t>
      </w:r>
    </w:p>
    <w:p w14:paraId="10A3443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12.1 买方在履行合同过程中提供给卖方的全部图纸、文件和其他含有数据和信息的资料，其知识产权属于买方。</w:t>
      </w:r>
    </w:p>
    <w:p w14:paraId="627C78C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12.2 除专用合同条款另有约定外，买方不因签署和履行合同而享有卖方在履行合同过程中提供给买方的图纸、文件、配套软件、电子辅助程序和其他含有数据和信息的资料的知识产权。 </w:t>
      </w:r>
    </w:p>
    <w:p w14:paraId="5C33184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12.3 如合同设备涉及知识产权，则卖方保证买方在使用合同设备过程中免于受到第三方提出的有关知识产权侵权的主张、索赔或诉讼的伤害。</w:t>
      </w:r>
    </w:p>
    <w:p w14:paraId="2F364FE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12.4 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28日内未作表示，买方可以自己的名义进行这些索赔或诉讼，因此发生的费用和遭受的损失均应由卖方承担。</w:t>
      </w:r>
    </w:p>
    <w:p w14:paraId="51A42609">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08" w:name="_Toc38436713"/>
      <w:bookmarkStart w:id="409" w:name="_Toc1301"/>
      <w:bookmarkStart w:id="410" w:name="_Toc40275014"/>
      <w:bookmarkStart w:id="411" w:name="_Toc29994"/>
      <w:bookmarkStart w:id="412" w:name="_Toc18657"/>
      <w:bookmarkStart w:id="413" w:name="_Toc20078"/>
      <w:bookmarkStart w:id="414" w:name="_Toc19690"/>
      <w:bookmarkStart w:id="415" w:name="_Toc4221"/>
      <w:bookmarkStart w:id="416" w:name="_Toc38478270"/>
      <w:bookmarkStart w:id="417" w:name="_Toc56792790"/>
      <w:r>
        <w:rPr>
          <w:rFonts w:hint="eastAsia" w:ascii="Times New Roman" w:hAnsi="Times New Roman" w:cs="宋体"/>
          <w:b w:val="0"/>
          <w:color w:val="auto"/>
          <w:sz w:val="24"/>
          <w:szCs w:val="24"/>
        </w:rPr>
        <w:t>13.保密</w:t>
      </w:r>
      <w:bookmarkEnd w:id="408"/>
      <w:bookmarkEnd w:id="409"/>
      <w:bookmarkEnd w:id="410"/>
      <w:bookmarkEnd w:id="411"/>
      <w:bookmarkEnd w:id="412"/>
      <w:bookmarkEnd w:id="413"/>
      <w:bookmarkEnd w:id="414"/>
      <w:bookmarkEnd w:id="415"/>
      <w:bookmarkEnd w:id="416"/>
      <w:bookmarkEnd w:id="417"/>
    </w:p>
    <w:p w14:paraId="21540E4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合同双方应对因履行合同而取得的另一方当事人的信息、资料等予以保密。未经另一方当事人书面同意，任何一方均不得为与履行合同无关的目的使用或向第三方披露另一方当事人提供的信息、资料。</w:t>
      </w:r>
    </w:p>
    <w:p w14:paraId="30B54A1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合同当事人的保密义务不适用于下列信息： </w:t>
      </w:r>
    </w:p>
    <w:p w14:paraId="35E7E49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（1）非因接受信息一方的过失现在或以后进入公共领域的信息； </w:t>
      </w:r>
    </w:p>
    <w:p w14:paraId="1C3A44D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（2）接受信息一方当事人合法地从第三方获得并且据其善意了解第三方也不对此承担保密义务的信息； </w:t>
      </w:r>
      <w:bookmarkStart w:id="418" w:name="_Toc28886"/>
      <w:bookmarkStart w:id="419" w:name="_Toc1378"/>
      <w:bookmarkStart w:id="420" w:name="_Toc29519"/>
      <w:bookmarkStart w:id="421" w:name="_Toc32752"/>
      <w:bookmarkStart w:id="422" w:name="_Toc20441"/>
    </w:p>
    <w:p w14:paraId="026F8B81">
      <w:pPr>
        <w:widowControl w:val="0"/>
        <w:adjustRightInd w:val="0"/>
        <w:snapToGrid w:val="0"/>
        <w:spacing w:after="0" w:line="470" w:lineRule="exact"/>
        <w:ind w:firstLine="480" w:firstLineChars="200"/>
        <w:jc w:val="both"/>
        <w:rPr>
          <w:color w:val="auto"/>
          <w:sz w:val="24"/>
          <w:szCs w:val="24"/>
        </w:rPr>
      </w:pPr>
      <w:r>
        <w:rPr>
          <w:rFonts w:hint="eastAsia" w:ascii="Times New Roman" w:hAnsi="Times New Roman" w:eastAsia="宋体" w:cs="宋体"/>
          <w:color w:val="auto"/>
          <w:sz w:val="24"/>
          <w:szCs w:val="24"/>
        </w:rPr>
        <w:t>（3）法律或法律的执行要求披露的信息。</w:t>
      </w:r>
      <w:bookmarkEnd w:id="418"/>
      <w:bookmarkEnd w:id="419"/>
      <w:bookmarkEnd w:id="420"/>
      <w:bookmarkEnd w:id="421"/>
      <w:bookmarkEnd w:id="422"/>
    </w:p>
    <w:p w14:paraId="0C478B77">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23" w:name="_Toc2685"/>
      <w:bookmarkStart w:id="424" w:name="_Toc32129"/>
      <w:bookmarkStart w:id="425" w:name="_Toc32292"/>
      <w:bookmarkStart w:id="426" w:name="_Toc40275015"/>
      <w:bookmarkStart w:id="427" w:name="_Toc18175"/>
      <w:bookmarkStart w:id="428" w:name="_Toc38478271"/>
      <w:bookmarkStart w:id="429" w:name="_Toc38436714"/>
      <w:bookmarkStart w:id="430" w:name="_Toc56792791"/>
      <w:bookmarkStart w:id="431" w:name="_Toc12873"/>
      <w:bookmarkStart w:id="432" w:name="_Toc13953"/>
      <w:r>
        <w:rPr>
          <w:rFonts w:hint="eastAsia" w:ascii="Times New Roman" w:hAnsi="Times New Roman" w:cs="宋体"/>
          <w:b w:val="0"/>
          <w:color w:val="auto"/>
          <w:sz w:val="24"/>
          <w:szCs w:val="24"/>
        </w:rPr>
        <w:t>14.违约责任</w:t>
      </w:r>
      <w:bookmarkEnd w:id="423"/>
      <w:bookmarkEnd w:id="424"/>
      <w:bookmarkEnd w:id="425"/>
      <w:bookmarkEnd w:id="426"/>
      <w:bookmarkEnd w:id="427"/>
      <w:bookmarkEnd w:id="428"/>
      <w:bookmarkEnd w:id="429"/>
      <w:bookmarkEnd w:id="430"/>
      <w:bookmarkEnd w:id="431"/>
      <w:bookmarkEnd w:id="432"/>
      <w:r>
        <w:rPr>
          <w:rFonts w:hint="eastAsia" w:ascii="Times New Roman" w:hAnsi="Times New Roman" w:cs="宋体"/>
          <w:b w:val="0"/>
          <w:color w:val="auto"/>
          <w:sz w:val="24"/>
          <w:szCs w:val="24"/>
        </w:rPr>
        <w:t xml:space="preserve"> </w:t>
      </w:r>
    </w:p>
    <w:p w14:paraId="2FBDFF2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 合同一方不履行合同义务、履行合同义务不符合约定或者违反合同项下所作保证的，应向对方承担继续履行、采取修理、更换、退货等补救措施或者赔偿损失等违约责任。</w:t>
      </w:r>
    </w:p>
    <w:p w14:paraId="26F2E22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14.2 卖方未能按时交付合同设备（包括仅迟延交付技术资料但足以导致合同设备安装、调试、考核、验收工作推迟的）的，应向买方支付迟延交付违约金。除专用合同条款另有约定外，迟延交付违约金的计算方法如下： </w:t>
      </w:r>
    </w:p>
    <w:p w14:paraId="4EDB2FC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（1）从迟交的第一周到第四周，每周迟延交付违约金为迟交合同设备价格的0.5%； </w:t>
      </w:r>
    </w:p>
    <w:p w14:paraId="49C49E3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（2）从迟交的第五周到第八周，每周迟延交付违约金为迟交合同设备价格的1%； </w:t>
      </w:r>
    </w:p>
    <w:p w14:paraId="16F5F5D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（3）从迟交第九周起，每周迟延交付违约金为迟交合同设备价格的1.5%。</w:t>
      </w:r>
    </w:p>
    <w:p w14:paraId="74E47DA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在计算迟延交付违约金时，迟交不足一周的按一周计算。迟延交付违约金的总额不得超过合同价格的10%。</w:t>
      </w:r>
    </w:p>
    <w:p w14:paraId="7CB6A13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迟延交付违约金的支付不能免除卖方继续交付相关合同设备的义务，但如迟延交付必然导致合同设备安装、调试、考核、验收工作推迟的，相关工作应相应顺延。</w:t>
      </w:r>
    </w:p>
    <w:p w14:paraId="055320D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14.3 买方未能按合同约定支付合同价款的，应向卖方支付延迟付款违约金。除专用合同条款另有约定外，迟延付款违约金的计算方法如下： </w:t>
      </w:r>
    </w:p>
    <w:p w14:paraId="611F563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（1）从迟付的第一周到第四周，每周迟延付款违约金为迟延付款金额的 0.5%；</w:t>
      </w:r>
    </w:p>
    <w:p w14:paraId="0A3C00E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（2）从迟付的第五周到第八周，每周迟延付款违约金为迟延付款金额的 1%；</w:t>
      </w:r>
    </w:p>
    <w:p w14:paraId="3AFAA3B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（3）从迟付第九周起，每周迟延付款违约金为迟延付款金额的 1.5%。</w:t>
      </w:r>
    </w:p>
    <w:p w14:paraId="3C674D2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在计算迟延付款违约金时，迟付不足一周的按一周计算。迟延付款违约金的总额不得超过合同价格的 10%。</w:t>
      </w:r>
    </w:p>
    <w:p w14:paraId="6207379E">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33" w:name="_Toc15252"/>
      <w:bookmarkStart w:id="434" w:name="_Toc19302"/>
      <w:bookmarkStart w:id="435" w:name="_Toc56792792"/>
      <w:bookmarkStart w:id="436" w:name="_Toc38436715"/>
      <w:bookmarkStart w:id="437" w:name="_Toc24894"/>
      <w:bookmarkStart w:id="438" w:name="_Toc40275016"/>
      <w:bookmarkStart w:id="439" w:name="_Toc38478272"/>
      <w:bookmarkStart w:id="440" w:name="_Toc32618"/>
      <w:bookmarkStart w:id="441" w:name="_Toc5826"/>
      <w:bookmarkStart w:id="442" w:name="_Toc18553"/>
      <w:r>
        <w:rPr>
          <w:rFonts w:hint="eastAsia" w:ascii="Times New Roman" w:hAnsi="Times New Roman" w:cs="宋体"/>
          <w:b w:val="0"/>
          <w:color w:val="auto"/>
          <w:sz w:val="24"/>
          <w:szCs w:val="24"/>
        </w:rPr>
        <w:t>15.合同的解除</w:t>
      </w:r>
      <w:bookmarkEnd w:id="433"/>
      <w:bookmarkEnd w:id="434"/>
      <w:bookmarkEnd w:id="435"/>
      <w:bookmarkEnd w:id="436"/>
      <w:bookmarkEnd w:id="437"/>
      <w:bookmarkEnd w:id="438"/>
      <w:bookmarkEnd w:id="439"/>
      <w:bookmarkEnd w:id="440"/>
      <w:bookmarkEnd w:id="441"/>
      <w:bookmarkEnd w:id="442"/>
      <w:r>
        <w:rPr>
          <w:rFonts w:hint="eastAsia" w:ascii="Times New Roman" w:hAnsi="Times New Roman" w:cs="宋体"/>
          <w:b w:val="0"/>
          <w:color w:val="auto"/>
          <w:sz w:val="24"/>
          <w:szCs w:val="24"/>
        </w:rPr>
        <w:t xml:space="preserve"> </w:t>
      </w:r>
    </w:p>
    <w:p w14:paraId="49ED848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除专用合同条款另有约定外，有下述情形之一，当事人可发出书面通知全部或部分地解除合同，合同自通知到达对方时全部或部分地解除： </w:t>
      </w:r>
    </w:p>
    <w:p w14:paraId="38034BD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（1）卖方迟延交付合同设备超过 3 个月； </w:t>
      </w:r>
    </w:p>
    <w:p w14:paraId="7180AA6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合同设备由于卖方原因三次考核均未能达到技术性能考核指标或在合同约定了或双方在考核中另行达成了最低技术性能考核指标时均未能达到最低技术性能考核指标，且买卖双方未就合同的后续履行协商达成一致； </w:t>
      </w:r>
    </w:p>
    <w:p w14:paraId="7015251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（3）买方迟延付款超过 3 个月； </w:t>
      </w:r>
    </w:p>
    <w:p w14:paraId="763C420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（4）合同一方当事人未能履行合同项下任何其他义务（细微义务除外），或在未事先征得另一方当事人同意的情况下，从事任何可能在实质上不利影响其履行合同能力的活动，经另一方当事人书面通知后 14 日内或在专用合同条款约定的其他期限内未能对其行为作出补救； </w:t>
      </w:r>
      <w:bookmarkStart w:id="443" w:name="_Toc27178"/>
      <w:bookmarkStart w:id="444" w:name="_Toc2911"/>
      <w:bookmarkStart w:id="445" w:name="_Toc16909"/>
      <w:bookmarkStart w:id="446" w:name="_Toc9350"/>
      <w:bookmarkStart w:id="447" w:name="_Toc2419"/>
    </w:p>
    <w:p w14:paraId="00BD4D87">
      <w:pPr>
        <w:widowControl w:val="0"/>
        <w:adjustRightInd w:val="0"/>
        <w:snapToGrid w:val="0"/>
        <w:spacing w:after="0" w:line="470" w:lineRule="exact"/>
        <w:ind w:firstLine="480" w:firstLineChars="200"/>
        <w:jc w:val="both"/>
        <w:rPr>
          <w:color w:val="auto"/>
          <w:sz w:val="24"/>
          <w:szCs w:val="24"/>
        </w:rPr>
      </w:pPr>
      <w:r>
        <w:rPr>
          <w:rFonts w:hint="eastAsia" w:ascii="Times New Roman" w:hAnsi="Times New Roman" w:eastAsia="宋体" w:cs="宋体"/>
          <w:color w:val="auto"/>
          <w:sz w:val="24"/>
          <w:szCs w:val="24"/>
        </w:rPr>
        <w:t>（5）合同一方当事人出现破产、清算、资不抵债、成为失信被执行人等可能丧失履约能力的情形，且未能提供令对方满意的履约保证金</w:t>
      </w:r>
      <w:bookmarkEnd w:id="443"/>
      <w:bookmarkEnd w:id="444"/>
      <w:bookmarkEnd w:id="445"/>
      <w:bookmarkEnd w:id="446"/>
      <w:bookmarkEnd w:id="447"/>
      <w:r>
        <w:rPr>
          <w:rFonts w:hint="eastAsia" w:ascii="Times New Roman" w:hAnsi="Times New Roman" w:eastAsia="宋体" w:cs="宋体"/>
          <w:color w:val="auto"/>
          <w:sz w:val="24"/>
          <w:szCs w:val="24"/>
        </w:rPr>
        <w:t>。</w:t>
      </w:r>
    </w:p>
    <w:p w14:paraId="7953DED3">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48" w:name="_Toc10673"/>
      <w:bookmarkStart w:id="449" w:name="_Toc4667"/>
      <w:bookmarkStart w:id="450" w:name="_Toc40275017"/>
      <w:bookmarkStart w:id="451" w:name="_Toc5894"/>
      <w:bookmarkStart w:id="452" w:name="_Toc32371"/>
      <w:bookmarkStart w:id="453" w:name="_Toc32040"/>
      <w:bookmarkStart w:id="454" w:name="_Toc38478273"/>
      <w:bookmarkStart w:id="455" w:name="_Toc29363"/>
      <w:bookmarkStart w:id="456" w:name="_Toc56792793"/>
      <w:bookmarkStart w:id="457" w:name="_Toc38436716"/>
      <w:r>
        <w:rPr>
          <w:rFonts w:hint="eastAsia" w:ascii="Times New Roman" w:hAnsi="Times New Roman" w:cs="宋体"/>
          <w:b w:val="0"/>
          <w:color w:val="auto"/>
          <w:sz w:val="24"/>
          <w:szCs w:val="24"/>
        </w:rPr>
        <w:t>16.不可抗力</w:t>
      </w:r>
      <w:bookmarkEnd w:id="448"/>
      <w:bookmarkEnd w:id="449"/>
      <w:bookmarkEnd w:id="450"/>
      <w:bookmarkEnd w:id="451"/>
      <w:bookmarkEnd w:id="452"/>
      <w:bookmarkEnd w:id="453"/>
      <w:bookmarkEnd w:id="454"/>
      <w:bookmarkEnd w:id="455"/>
      <w:bookmarkEnd w:id="456"/>
      <w:bookmarkEnd w:id="457"/>
    </w:p>
    <w:p w14:paraId="219839F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16.1 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28日内将有关当局或机构出具的证明文件提交给另一方当事人。</w:t>
      </w:r>
    </w:p>
    <w:p w14:paraId="67F5958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16.2 受不可抗力事件影响的一方当事人对于不可抗力事件导致的任何合同义务的迟延履行或不能履行不承担违约责任。但该方当事人应尽快将不可抗力事件结束或消除的情况通知另一方当事人。</w:t>
      </w:r>
    </w:p>
    <w:p w14:paraId="5375FDC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双方当事人应在不可抗力事件结束或其影响消除后立即继续履行其合同义务，合同期限也应相应顺延。除专用合同条款另有约定外，如果不可抗力事件的影响持续超过 140 日，则任何一方当事人均有权以书面通知解除合同。</w:t>
      </w:r>
    </w:p>
    <w:p w14:paraId="7094F1A3">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58" w:name="_Toc56792794"/>
      <w:bookmarkStart w:id="459" w:name="_Toc19699"/>
      <w:bookmarkStart w:id="460" w:name="_Toc13250"/>
      <w:bookmarkStart w:id="461" w:name="_Toc15145"/>
      <w:bookmarkStart w:id="462" w:name="_Toc38478274"/>
      <w:bookmarkStart w:id="463" w:name="_Toc14321"/>
      <w:bookmarkStart w:id="464" w:name="_Toc40275018"/>
      <w:bookmarkStart w:id="465" w:name="_Toc38436717"/>
      <w:bookmarkStart w:id="466" w:name="_Toc17051"/>
      <w:bookmarkStart w:id="467" w:name="_Toc19819"/>
      <w:r>
        <w:rPr>
          <w:rFonts w:hint="eastAsia" w:ascii="Times New Roman" w:hAnsi="Times New Roman" w:cs="宋体"/>
          <w:b w:val="0"/>
          <w:color w:val="auto"/>
          <w:sz w:val="24"/>
          <w:szCs w:val="24"/>
        </w:rPr>
        <w:t>17.争议的解决</w:t>
      </w:r>
      <w:bookmarkEnd w:id="458"/>
      <w:bookmarkEnd w:id="459"/>
      <w:bookmarkEnd w:id="460"/>
      <w:bookmarkEnd w:id="461"/>
      <w:bookmarkEnd w:id="462"/>
      <w:bookmarkEnd w:id="463"/>
      <w:bookmarkEnd w:id="464"/>
      <w:bookmarkEnd w:id="465"/>
      <w:bookmarkEnd w:id="466"/>
      <w:bookmarkEnd w:id="467"/>
      <w:r>
        <w:rPr>
          <w:rFonts w:hint="eastAsia" w:ascii="Times New Roman" w:hAnsi="Times New Roman" w:cs="宋体"/>
          <w:b w:val="0"/>
          <w:color w:val="auto"/>
          <w:sz w:val="24"/>
          <w:szCs w:val="24"/>
        </w:rPr>
        <w:t xml:space="preserve"> </w:t>
      </w:r>
    </w:p>
    <w:p w14:paraId="1D06E53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因本合同引起的或与本合同有关的任何争议,双方可通过友好协商解决。友好协商解决不成的，可在专用合同条款中约定下列一种方式解决： </w:t>
      </w:r>
    </w:p>
    <w:p w14:paraId="2C94312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（1）向约定的仲裁委员会申请仲裁； </w:t>
      </w:r>
      <w:bookmarkStart w:id="468" w:name="_Toc14789"/>
      <w:bookmarkStart w:id="469" w:name="_Toc750"/>
      <w:bookmarkStart w:id="470" w:name="_Toc10366"/>
      <w:bookmarkStart w:id="471" w:name="_Toc4892"/>
      <w:bookmarkStart w:id="472" w:name="_Toc25688"/>
    </w:p>
    <w:p w14:paraId="4C2E1AD4">
      <w:pPr>
        <w:widowControl w:val="0"/>
        <w:adjustRightInd w:val="0"/>
        <w:snapToGrid w:val="0"/>
        <w:spacing w:after="0" w:line="470" w:lineRule="exact"/>
        <w:ind w:firstLine="480" w:firstLineChars="200"/>
        <w:jc w:val="both"/>
        <w:rPr>
          <w:color w:val="auto"/>
        </w:rPr>
      </w:pPr>
      <w:r>
        <w:rPr>
          <w:rFonts w:hint="eastAsia" w:ascii="Times New Roman" w:hAnsi="Times New Roman" w:eastAsia="宋体" w:cs="宋体"/>
          <w:color w:val="auto"/>
          <w:sz w:val="24"/>
          <w:szCs w:val="24"/>
        </w:rPr>
        <w:t>（2）向有管辖权的人民法院提起诉讼。</w:t>
      </w:r>
      <w:bookmarkEnd w:id="468"/>
      <w:bookmarkEnd w:id="469"/>
      <w:bookmarkEnd w:id="470"/>
      <w:bookmarkEnd w:id="471"/>
      <w:bookmarkEnd w:id="472"/>
    </w:p>
    <w:p w14:paraId="1FC80E4F">
      <w:pPr>
        <w:widowControl w:val="0"/>
        <w:adjustRightInd w:val="0"/>
        <w:snapToGrid w:val="0"/>
        <w:spacing w:after="0"/>
        <w:ind w:firstLine="560" w:firstLineChars="200"/>
        <w:rPr>
          <w:rFonts w:ascii="Times New Roman" w:hAnsi="Times New Roman" w:eastAsia="宋体" w:cs="宋体"/>
          <w:b/>
          <w:color w:val="auto"/>
          <w:sz w:val="28"/>
          <w:szCs w:val="32"/>
          <w:u w:val="single"/>
        </w:rPr>
      </w:pPr>
      <w:r>
        <w:rPr>
          <w:rFonts w:hint="eastAsia" w:ascii="Times New Roman" w:hAnsi="Times New Roman" w:eastAsia="宋体" w:cs="宋体"/>
          <w:color w:val="auto"/>
          <w:sz w:val="28"/>
          <w:szCs w:val="28"/>
        </w:rPr>
        <w:br w:type="page"/>
      </w:r>
    </w:p>
    <w:p w14:paraId="58D9B7A0">
      <w:pPr>
        <w:widowControl w:val="0"/>
        <w:adjustRightInd w:val="0"/>
        <w:snapToGrid w:val="0"/>
        <w:spacing w:after="0"/>
        <w:rPr>
          <w:rFonts w:ascii="Times New Roman" w:hAnsi="Times New Roman" w:eastAsia="宋体" w:cs="宋体"/>
          <w:color w:val="auto"/>
        </w:rPr>
      </w:pPr>
    </w:p>
    <w:p w14:paraId="3366678B">
      <w:pPr>
        <w:pStyle w:val="3"/>
        <w:keepNext w:val="0"/>
        <w:keepLines w:val="0"/>
        <w:widowControl w:val="0"/>
        <w:adjustRightInd w:val="0"/>
        <w:snapToGrid w:val="0"/>
        <w:spacing w:line="490" w:lineRule="exact"/>
        <w:ind w:left="0" w:right="0" w:firstLine="720" w:firstLineChars="200"/>
        <w:jc w:val="center"/>
        <w:rPr>
          <w:rFonts w:ascii="Times New Roman" w:hAnsi="Times New Roman" w:cs="宋体"/>
          <w:b w:val="0"/>
          <w:bCs/>
          <w:color w:val="auto"/>
          <w:sz w:val="36"/>
        </w:rPr>
      </w:pPr>
      <w:bookmarkStart w:id="473" w:name="_Toc31510"/>
      <w:bookmarkStart w:id="474" w:name="_Toc24263"/>
      <w:bookmarkStart w:id="475" w:name="_Toc56792808"/>
      <w:bookmarkStart w:id="476" w:name="_Toc103"/>
      <w:bookmarkStart w:id="477" w:name="_Toc26428"/>
      <w:bookmarkStart w:id="478" w:name="_Toc31578"/>
      <w:bookmarkStart w:id="479" w:name="_Toc16201"/>
      <w:r>
        <w:rPr>
          <w:rFonts w:hint="eastAsia" w:ascii="Times New Roman" w:hAnsi="Times New Roman" w:cs="宋体"/>
          <w:b w:val="0"/>
          <w:bCs/>
          <w:color w:val="auto"/>
          <w:sz w:val="36"/>
        </w:rPr>
        <w:t>第二节  专用合同条款</w:t>
      </w:r>
      <w:bookmarkEnd w:id="473"/>
      <w:bookmarkEnd w:id="474"/>
      <w:bookmarkEnd w:id="475"/>
      <w:bookmarkEnd w:id="476"/>
      <w:bookmarkEnd w:id="477"/>
      <w:bookmarkEnd w:id="478"/>
      <w:bookmarkEnd w:id="479"/>
    </w:p>
    <w:p w14:paraId="7A9F00FB">
      <w:pPr>
        <w:widowControl w:val="0"/>
        <w:adjustRightInd w:val="0"/>
        <w:snapToGrid w:val="0"/>
        <w:spacing w:after="0"/>
        <w:rPr>
          <w:rFonts w:ascii="Times New Roman" w:hAnsi="Times New Roman" w:eastAsia="宋体" w:cs="宋体"/>
          <w:b/>
          <w:color w:val="auto"/>
          <w:sz w:val="32"/>
        </w:rPr>
      </w:pPr>
    </w:p>
    <w:p w14:paraId="40F593F2">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480" w:name="_Toc38436719"/>
      <w:bookmarkStart w:id="481" w:name="_Toc15124"/>
      <w:bookmarkStart w:id="482" w:name="_Toc4549"/>
      <w:bookmarkStart w:id="483" w:name="_Toc56792809"/>
      <w:bookmarkStart w:id="484" w:name="_Toc26049"/>
      <w:bookmarkStart w:id="485" w:name="_Toc6532"/>
      <w:bookmarkStart w:id="486" w:name="_Toc40275033"/>
      <w:bookmarkStart w:id="487" w:name="_Toc32673"/>
      <w:bookmarkStart w:id="488" w:name="_Toc38478289"/>
      <w:r>
        <w:rPr>
          <w:rFonts w:hint="eastAsia" w:ascii="Times New Roman" w:hAnsi="Times New Roman" w:cs="宋体"/>
          <w:b w:val="0"/>
          <w:color w:val="auto"/>
          <w:sz w:val="24"/>
          <w:szCs w:val="24"/>
        </w:rPr>
        <w:t>1.一般约定</w:t>
      </w:r>
      <w:bookmarkEnd w:id="480"/>
      <w:bookmarkEnd w:id="481"/>
      <w:bookmarkEnd w:id="482"/>
      <w:bookmarkEnd w:id="483"/>
      <w:bookmarkEnd w:id="484"/>
      <w:bookmarkEnd w:id="485"/>
      <w:bookmarkEnd w:id="486"/>
      <w:bookmarkEnd w:id="487"/>
      <w:bookmarkEnd w:id="488"/>
    </w:p>
    <w:p w14:paraId="28398102">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1.1 词语定义 </w:t>
      </w:r>
    </w:p>
    <w:p w14:paraId="4116F840">
      <w:pPr>
        <w:widowControl w:val="0"/>
        <w:adjustRightInd w:val="0"/>
        <w:snapToGrid w:val="0"/>
        <w:spacing w:after="0" w:line="480" w:lineRule="exact"/>
        <w:ind w:firstLine="482" w:firstLineChars="200"/>
        <w:jc w:val="both"/>
        <w:rPr>
          <w:rFonts w:ascii="Times New Roman" w:hAnsi="Times New Roman" w:eastAsia="宋体" w:cs="宋体"/>
          <w:color w:val="auto"/>
          <w:sz w:val="24"/>
          <w:szCs w:val="24"/>
        </w:rPr>
      </w:pPr>
      <w:r>
        <w:rPr>
          <w:rFonts w:hint="eastAsia" w:ascii="Times New Roman" w:hAnsi="Times New Roman" w:eastAsia="宋体" w:cs="宋体"/>
          <w:b/>
          <w:color w:val="auto"/>
          <w:sz w:val="24"/>
          <w:szCs w:val="24"/>
        </w:rPr>
        <w:t xml:space="preserve">1.1.13 </w:t>
      </w:r>
      <w:r>
        <w:rPr>
          <w:rFonts w:hint="eastAsia" w:ascii="Times New Roman" w:hAnsi="Times New Roman" w:eastAsia="宋体" w:cs="宋体"/>
          <w:color w:val="auto"/>
          <w:sz w:val="24"/>
          <w:szCs w:val="24"/>
        </w:rPr>
        <w:t>工程</w:t>
      </w:r>
      <w:r>
        <w:rPr>
          <w:rFonts w:hint="eastAsia" w:ascii="Times New Roman" w:hAnsi="Times New Roman" w:eastAsia="宋体" w:cs="宋体"/>
          <w:b/>
          <w:color w:val="auto"/>
          <w:sz w:val="24"/>
          <w:szCs w:val="24"/>
        </w:rPr>
        <w:t xml:space="preserve"> </w:t>
      </w:r>
    </w:p>
    <w:p w14:paraId="293E96E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1.1.13.1 工程：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12EF13B">
      <w:pPr>
        <w:widowControl w:val="0"/>
        <w:adjustRightInd w:val="0"/>
        <w:snapToGrid w:val="0"/>
        <w:spacing w:after="0" w:line="48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1.1.13.2 施工场地（或称工地、施工现场）：</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0E946D0">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1.3 合同文件的优先顺序</w:t>
      </w:r>
    </w:p>
    <w:p w14:paraId="704E865B">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组成合同的各项文件应互相解释，互为说明。解释合同文件的优先顺序如下：</w:t>
      </w:r>
    </w:p>
    <w:p w14:paraId="0F854760">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70FDA2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63117C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246A3909">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1.4 合同的生效及变更</w:t>
      </w:r>
    </w:p>
    <w:p w14:paraId="1A1ADEE5">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 合同生效的约定：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3E5BBC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 合同变更的约定：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F60964E">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1.5 联络</w:t>
      </w:r>
    </w:p>
    <w:p w14:paraId="67731B34">
      <w:pPr>
        <w:widowControl w:val="0"/>
        <w:kinsoku w:val="0"/>
        <w:adjustRightInd w:val="0"/>
        <w:snapToGrid w:val="0"/>
        <w:spacing w:after="0" w:line="480" w:lineRule="exact"/>
        <w:ind w:right="-2"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1.5.1 买方指定联系人：姓名：</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、联系电话：</w:t>
      </w:r>
      <w:r>
        <w:rPr>
          <w:rFonts w:hint="eastAsia" w:ascii="Times New Roman" w:hAnsi="Times New Roman" w:eastAsia="宋体" w:cs="宋体"/>
          <w:color w:val="auto"/>
          <w:sz w:val="24"/>
          <w:szCs w:val="24"/>
          <w:u w:val="single"/>
        </w:rPr>
        <w:t xml:space="preserve">       </w:t>
      </w:r>
    </w:p>
    <w:p w14:paraId="45E7973F">
      <w:pPr>
        <w:widowControl w:val="0"/>
        <w:kinsoku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卖方指定联系人：姓名：</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、联系电话：</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0A2214E">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1.6 联合体</w:t>
      </w:r>
    </w:p>
    <w:p w14:paraId="46E489DF">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牵头人在履行合同中获得联合体各方授权范围的约定：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88A165D">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489" w:name="_Toc10599"/>
      <w:bookmarkStart w:id="490" w:name="_Toc2056"/>
      <w:bookmarkStart w:id="491" w:name="_Toc6161"/>
      <w:bookmarkStart w:id="492" w:name="_Toc38478290"/>
      <w:bookmarkStart w:id="493" w:name="_Toc30823"/>
      <w:bookmarkStart w:id="494" w:name="_Toc38436720"/>
      <w:bookmarkStart w:id="495" w:name="_Toc56792810"/>
      <w:bookmarkStart w:id="496" w:name="_Toc12827"/>
      <w:bookmarkStart w:id="497" w:name="_Toc40275034"/>
      <w:r>
        <w:rPr>
          <w:rFonts w:hint="eastAsia" w:ascii="Times New Roman" w:hAnsi="Times New Roman" w:cs="宋体"/>
          <w:b w:val="0"/>
          <w:color w:val="auto"/>
          <w:sz w:val="24"/>
          <w:szCs w:val="24"/>
        </w:rPr>
        <w:t>3.合同价格与支付</w:t>
      </w:r>
      <w:bookmarkEnd w:id="489"/>
      <w:bookmarkEnd w:id="490"/>
      <w:bookmarkEnd w:id="491"/>
      <w:bookmarkEnd w:id="492"/>
      <w:bookmarkEnd w:id="493"/>
      <w:bookmarkEnd w:id="494"/>
      <w:bookmarkEnd w:id="495"/>
      <w:bookmarkEnd w:id="496"/>
      <w:bookmarkEnd w:id="497"/>
    </w:p>
    <w:p w14:paraId="7488CC44">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3.1 合同价格</w:t>
      </w:r>
    </w:p>
    <w:p w14:paraId="3F114EC7">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3.1.2 本合同</w:t>
      </w:r>
      <w:bookmarkStart w:id="498" w:name="_Hlk38018594"/>
      <w:r>
        <w:rPr>
          <w:rFonts w:hint="eastAsia" w:ascii="Times New Roman" w:hAnsi="Times New Roman" w:eastAsia="宋体" w:cs="宋体"/>
          <w:color w:val="auto"/>
          <w:sz w:val="24"/>
          <w:szCs w:val="24"/>
        </w:rPr>
        <w:t>价格</w:t>
      </w:r>
      <w:bookmarkEnd w:id="498"/>
      <w:r>
        <w:rPr>
          <w:rFonts w:hint="eastAsia" w:ascii="Times New Roman" w:hAnsi="Times New Roman" w:eastAsia="宋体" w:cs="宋体"/>
          <w:color w:val="auto"/>
          <w:sz w:val="24"/>
          <w:szCs w:val="24"/>
        </w:rPr>
        <w:t>形式：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6080EB9">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（1）固定单价合同。</w:t>
      </w:r>
    </w:p>
    <w:p w14:paraId="4E298E4C">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合同结算方式：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B44D134">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（2）固定总价合同。</w:t>
      </w:r>
    </w:p>
    <w:p w14:paraId="0A1A7855">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（3）其他合同价格形式：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4871073">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3.2 合同价款的支付</w:t>
      </w:r>
    </w:p>
    <w:p w14:paraId="3C8ECEC4">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买方应通过以下方式和比例向卖方支付合同价款：</w:t>
      </w:r>
      <w:r>
        <w:rPr>
          <w:rFonts w:hint="eastAsia" w:ascii="Times New Roman" w:hAnsi="Times New Roman" w:eastAsia="宋体" w:cs="宋体"/>
          <w:color w:val="auto"/>
          <w:sz w:val="24"/>
          <w:szCs w:val="24"/>
          <w:u w:val="single"/>
        </w:rPr>
        <w:t xml:space="preserve">                       </w:t>
      </w:r>
    </w:p>
    <w:p w14:paraId="4D9EF784">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499" w:name="_Toc38436721"/>
      <w:bookmarkStart w:id="500" w:name="_Toc10064"/>
      <w:bookmarkStart w:id="501" w:name="_Toc38478291"/>
      <w:bookmarkStart w:id="502" w:name="_Toc56792811"/>
      <w:bookmarkStart w:id="503" w:name="_Toc27927"/>
      <w:bookmarkStart w:id="504" w:name="_Toc40275035"/>
      <w:bookmarkStart w:id="505" w:name="_Toc28902"/>
      <w:bookmarkStart w:id="506" w:name="_Toc31081"/>
      <w:bookmarkStart w:id="507" w:name="_Toc5212"/>
      <w:r>
        <w:rPr>
          <w:rFonts w:hint="eastAsia" w:ascii="Times New Roman" w:hAnsi="Times New Roman" w:cs="宋体"/>
          <w:b w:val="0"/>
          <w:color w:val="auto"/>
          <w:sz w:val="24"/>
          <w:szCs w:val="24"/>
        </w:rPr>
        <w:t>4.监造及交货前检验</w:t>
      </w:r>
      <w:bookmarkEnd w:id="499"/>
      <w:bookmarkEnd w:id="500"/>
      <w:bookmarkEnd w:id="501"/>
      <w:bookmarkEnd w:id="502"/>
      <w:bookmarkEnd w:id="503"/>
      <w:bookmarkEnd w:id="504"/>
      <w:bookmarkEnd w:id="505"/>
      <w:bookmarkEnd w:id="506"/>
      <w:bookmarkEnd w:id="507"/>
    </w:p>
    <w:p w14:paraId="668A5346">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4.1 监造</w:t>
      </w:r>
    </w:p>
    <w:p w14:paraId="63A999D7">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本合同条款约定，买方对合同设备</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（进行/不进行）监造。</w:t>
      </w:r>
    </w:p>
    <w:p w14:paraId="7C7FBF25">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4.1.1 监造范围：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BD4D9D0">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监造方式：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FB4E5A4">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4.1.2 卖方为买方监造人员提供以下工作条件及便利：</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买方监造人员的交通、食宿费用由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负责承担。</w:t>
      </w:r>
    </w:p>
    <w:p w14:paraId="19DA9FB2">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4.1.6 （新增）双方权利和义务约定如下：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32D1E57">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4.2 交货前检验</w:t>
      </w:r>
    </w:p>
    <w:p w14:paraId="24F1F607">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本合同条款约定，买方</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（参与/不参与）交货前检验。</w:t>
      </w:r>
    </w:p>
    <w:p w14:paraId="71783F49">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4.2.1 买方代表的交通、食宿费用由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（买方/卖方）承担。如由卖方承担的，此费用已包含在合同总价中，买方不另行支付。</w:t>
      </w:r>
    </w:p>
    <w:p w14:paraId="2D20BE12">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4.2.5 （新增）双方权利和义务约定如下：</w:t>
      </w:r>
      <w:r>
        <w:rPr>
          <w:rFonts w:hint="eastAsia" w:ascii="Times New Roman" w:hAnsi="Times New Roman" w:eastAsia="宋体" w:cs="宋体"/>
          <w:color w:val="auto"/>
          <w:sz w:val="24"/>
          <w:szCs w:val="24"/>
          <w:u w:val="single"/>
        </w:rPr>
        <w:t xml:space="preserve">                       </w:t>
      </w:r>
    </w:p>
    <w:p w14:paraId="5C287767">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08" w:name="_Toc9939"/>
      <w:bookmarkStart w:id="509" w:name="_Toc38478292"/>
      <w:bookmarkStart w:id="510" w:name="_Toc25215"/>
      <w:bookmarkStart w:id="511" w:name="_Toc10830"/>
      <w:bookmarkStart w:id="512" w:name="_Toc56792812"/>
      <w:bookmarkStart w:id="513" w:name="_Toc23142"/>
      <w:bookmarkStart w:id="514" w:name="_Toc28754"/>
      <w:bookmarkStart w:id="515" w:name="_Toc38436722"/>
      <w:bookmarkStart w:id="516" w:name="_Toc40275036"/>
      <w:r>
        <w:rPr>
          <w:rFonts w:hint="eastAsia" w:ascii="Times New Roman" w:hAnsi="Times New Roman" w:cs="宋体"/>
          <w:b w:val="0"/>
          <w:color w:val="auto"/>
          <w:sz w:val="24"/>
          <w:szCs w:val="24"/>
        </w:rPr>
        <w:t>5.包装、标记、运输和交付</w:t>
      </w:r>
      <w:bookmarkEnd w:id="508"/>
      <w:bookmarkEnd w:id="509"/>
      <w:bookmarkEnd w:id="510"/>
      <w:bookmarkEnd w:id="511"/>
      <w:bookmarkEnd w:id="512"/>
      <w:bookmarkEnd w:id="513"/>
      <w:bookmarkEnd w:id="514"/>
      <w:bookmarkEnd w:id="515"/>
      <w:bookmarkEnd w:id="516"/>
      <w:r>
        <w:rPr>
          <w:rFonts w:hint="eastAsia" w:ascii="Times New Roman" w:hAnsi="Times New Roman" w:cs="宋体"/>
          <w:b w:val="0"/>
          <w:color w:val="auto"/>
          <w:sz w:val="24"/>
          <w:szCs w:val="24"/>
        </w:rPr>
        <w:t xml:space="preserve"> </w:t>
      </w:r>
    </w:p>
    <w:p w14:paraId="17799378">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5.1 包装</w:t>
      </w:r>
    </w:p>
    <w:p w14:paraId="2E1B2F6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5.1.3 包装退还的约定：</w:t>
      </w:r>
      <w:r>
        <w:rPr>
          <w:rFonts w:hint="eastAsia" w:ascii="Times New Roman" w:hAnsi="Times New Roman" w:eastAsia="宋体" w:cs="宋体"/>
          <w:color w:val="auto"/>
          <w:sz w:val="24"/>
          <w:szCs w:val="24"/>
          <w:u w:val="single"/>
        </w:rPr>
        <w:t xml:space="preserve">                         </w:t>
      </w:r>
    </w:p>
    <w:p w14:paraId="63F6167F">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5.1.4 （新增）本项目包装要求：</w:t>
      </w:r>
      <w:r>
        <w:rPr>
          <w:rFonts w:hint="eastAsia" w:ascii="Times New Roman" w:hAnsi="Times New Roman" w:eastAsia="宋体" w:cs="宋体"/>
          <w:color w:val="auto"/>
          <w:sz w:val="24"/>
          <w:szCs w:val="24"/>
          <w:u w:val="single"/>
        </w:rPr>
        <w:t xml:space="preserve">                    </w:t>
      </w:r>
    </w:p>
    <w:p w14:paraId="72C9FA0C">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5.2 标记 </w:t>
      </w:r>
    </w:p>
    <w:p w14:paraId="498A9E7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5.2.1 包装箱标记内容和方式：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5EEEC4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5.2.2 超大超重件约定：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9EAB1CA">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5.3 运输</w:t>
      </w:r>
    </w:p>
    <w:p w14:paraId="5BB357F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5.3.2 设备装运方式：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A437B4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5.3.3 卖方应在合同设备预计启运</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日前，将</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等预通知买方，并在合同设备启运后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小时之内正式通知买方。</w:t>
      </w:r>
    </w:p>
    <w:p w14:paraId="59DDEC2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5.3.5 （新增）本项目运输工具、路线安排的约定：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1B949F8">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5.4 交付 </w:t>
      </w:r>
    </w:p>
    <w:p w14:paraId="2C57729B">
      <w:pPr>
        <w:widowControl w:val="0"/>
        <w:kinsoku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5.4.1 合同约定的交付时间和批次：</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。交付地点及方式：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 </w:t>
      </w:r>
    </w:p>
    <w:p w14:paraId="31D4710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5.4.3 买方如果发现技术资料存在短缺和（或）损坏，卖方应在收到买方的通知后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日内免费补齐短缺和（或）损坏的部分。</w:t>
      </w:r>
    </w:p>
    <w:p w14:paraId="3E01401C">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17" w:name="_Toc15243"/>
      <w:bookmarkStart w:id="518" w:name="_Toc38436723"/>
      <w:bookmarkStart w:id="519" w:name="_Toc12528"/>
      <w:bookmarkStart w:id="520" w:name="_Toc13611"/>
      <w:bookmarkStart w:id="521" w:name="_Toc11711"/>
      <w:bookmarkStart w:id="522" w:name="_Toc56792813"/>
      <w:bookmarkStart w:id="523" w:name="_Toc18403"/>
      <w:bookmarkStart w:id="524" w:name="_Toc40275037"/>
      <w:bookmarkStart w:id="525" w:name="_Toc38478293"/>
      <w:r>
        <w:rPr>
          <w:rFonts w:hint="eastAsia" w:ascii="Times New Roman" w:hAnsi="Times New Roman" w:cs="宋体"/>
          <w:b w:val="0"/>
          <w:color w:val="auto"/>
          <w:sz w:val="24"/>
          <w:szCs w:val="24"/>
        </w:rPr>
        <w:t>6.开箱检验、安装、调试、考核、验收</w:t>
      </w:r>
      <w:bookmarkEnd w:id="517"/>
      <w:bookmarkEnd w:id="518"/>
      <w:bookmarkEnd w:id="519"/>
      <w:bookmarkEnd w:id="520"/>
      <w:bookmarkEnd w:id="521"/>
      <w:bookmarkEnd w:id="522"/>
      <w:bookmarkEnd w:id="523"/>
      <w:bookmarkEnd w:id="524"/>
      <w:bookmarkEnd w:id="525"/>
    </w:p>
    <w:p w14:paraId="510543D8">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6.1 开箱检验 </w:t>
      </w:r>
    </w:p>
    <w:p w14:paraId="52088EDC">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6.1.1 开箱检验时间的约定：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D5D5C2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6.1.2 开箱检验约定地点：</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1A4E98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6.1.6 开箱检验中发现合同设备短缺、损坏或其他与合同约定不符的情形，买卖双方责任划分的约定：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5EA0DEE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6.1.7 第三方检测的约定：</w:t>
      </w:r>
      <w:r>
        <w:rPr>
          <w:rFonts w:hint="eastAsia" w:ascii="Times New Roman" w:hAnsi="Times New Roman" w:eastAsia="宋体" w:cs="宋体"/>
          <w:color w:val="auto"/>
          <w:sz w:val="24"/>
          <w:szCs w:val="24"/>
          <w:u w:val="single"/>
        </w:rPr>
        <w:t xml:space="preserve">                        </w:t>
      </w:r>
    </w:p>
    <w:p w14:paraId="5C950B21">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6.2 安装、调试</w:t>
      </w:r>
    </w:p>
    <w:p w14:paraId="5CD8D37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6.2.1 安装、调试方式的约定：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53489D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在安装、调试过程中，出现安装、调试不成功和（或）造成合同设备损坏的情况，买卖双方责任划分的约定：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B97E2C1">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6.2.2 安装、调试中合同设备运行需要的用水、用电、其他动力和原材料（如需要）等均由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1CE2D910">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6.3 考核</w:t>
      </w:r>
    </w:p>
    <w:p w14:paraId="45ADF13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6.3.1考核中合同设备运行需要的用水、用电、其他动力和原材料（如需要）等均由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3D0B798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6.3.3 合同设备的最低技术性能考核指标的约定：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；合同设备达到了最低技术性能考核指标的，卖方应</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（进行减价/向买方支付补偿金），减价或补偿金金额的约定：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。双方在考核中另行达成了合同设备的最低技术性能考核指标，双方应签订补充协议。</w:t>
      </w:r>
    </w:p>
    <w:p w14:paraId="7C4168B5">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6.4 验收</w:t>
      </w:r>
    </w:p>
    <w:p w14:paraId="745AEAF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6.4.1 如合同设备在考核中达到或视为达到技术性能考核指标，则买卖双方应在考核完成后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日内签署合同设备验收证书一式二份，双方各持一份。验收日期应为合同设备达到或视为达到技术性能考核指标的日期。</w:t>
      </w:r>
    </w:p>
    <w:p w14:paraId="5EF46E9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6.4.2 如由于买方原因合同设备在三次考核中均未能达到技术性能考核指标，买卖双方应在考核结束后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日内签署验收款支付函。</w:t>
      </w:r>
    </w:p>
    <w:p w14:paraId="6242F8CF">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卖方后续服务的约定：</w:t>
      </w:r>
      <w:r>
        <w:rPr>
          <w:rFonts w:hint="eastAsia" w:ascii="Times New Roman" w:hAnsi="Times New Roman" w:eastAsia="宋体" w:cs="宋体"/>
          <w:color w:val="auto"/>
          <w:sz w:val="24"/>
          <w:szCs w:val="24"/>
          <w:u w:val="single"/>
        </w:rPr>
        <w:t xml:space="preserve">                        </w:t>
      </w:r>
    </w:p>
    <w:p w14:paraId="3E4FFD4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6.4.3 由于买方原因在最后一批合同设备交货后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个月内未能开始考核，则买卖双方应在</w:t>
      </w:r>
      <w:r>
        <w:rPr>
          <w:rFonts w:hint="eastAsia" w:ascii="Times New Roman" w:hAnsi="Times New Roman" w:eastAsia="宋体" w:cs="宋体"/>
          <w:b/>
          <w:bCs/>
          <w:color w:val="auto"/>
          <w:sz w:val="24"/>
          <w:szCs w:val="24"/>
        </w:rPr>
        <w:t>上述期限届满后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b/>
          <w:bCs/>
          <w:color w:val="auto"/>
          <w:sz w:val="24"/>
          <w:szCs w:val="24"/>
        </w:rPr>
        <w:t>日内</w:t>
      </w:r>
      <w:r>
        <w:rPr>
          <w:rFonts w:hint="eastAsia" w:ascii="Times New Roman" w:hAnsi="Times New Roman" w:eastAsia="宋体" w:cs="宋体"/>
          <w:color w:val="auto"/>
          <w:sz w:val="24"/>
          <w:szCs w:val="24"/>
        </w:rPr>
        <w:t>签署验收款支付函。</w:t>
      </w:r>
    </w:p>
    <w:p w14:paraId="1DB3A19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卖方后续服务的约定：</w:t>
      </w:r>
      <w:r>
        <w:rPr>
          <w:rFonts w:hint="eastAsia" w:ascii="Times New Roman" w:hAnsi="Times New Roman" w:eastAsia="宋体" w:cs="宋体"/>
          <w:color w:val="auto"/>
          <w:sz w:val="24"/>
          <w:szCs w:val="24"/>
          <w:u w:val="single"/>
        </w:rPr>
        <w:t xml:space="preserve">                        </w:t>
      </w:r>
    </w:p>
    <w:p w14:paraId="0F4A3AA7">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26" w:name="_Toc2479"/>
      <w:bookmarkStart w:id="527" w:name="_Toc56792814"/>
      <w:bookmarkStart w:id="528" w:name="_Toc855"/>
      <w:bookmarkStart w:id="529" w:name="_Toc1916"/>
      <w:bookmarkStart w:id="530" w:name="_Toc11057"/>
      <w:bookmarkStart w:id="531" w:name="_Toc40275038"/>
      <w:bookmarkStart w:id="532" w:name="_Toc38478294"/>
      <w:bookmarkStart w:id="533" w:name="_Toc38436724"/>
      <w:bookmarkStart w:id="534" w:name="_Toc10634"/>
      <w:r>
        <w:rPr>
          <w:rFonts w:hint="eastAsia" w:ascii="Times New Roman" w:hAnsi="Times New Roman" w:cs="宋体"/>
          <w:b w:val="0"/>
          <w:color w:val="auto"/>
          <w:sz w:val="24"/>
          <w:szCs w:val="24"/>
        </w:rPr>
        <w:t>7.技术服务</w:t>
      </w:r>
      <w:bookmarkEnd w:id="526"/>
      <w:bookmarkEnd w:id="527"/>
      <w:bookmarkEnd w:id="528"/>
      <w:bookmarkEnd w:id="529"/>
      <w:bookmarkEnd w:id="530"/>
      <w:bookmarkEnd w:id="531"/>
      <w:bookmarkEnd w:id="532"/>
      <w:bookmarkEnd w:id="533"/>
      <w:bookmarkEnd w:id="534"/>
      <w:r>
        <w:rPr>
          <w:rFonts w:hint="eastAsia" w:ascii="Times New Roman" w:hAnsi="Times New Roman" w:cs="宋体"/>
          <w:b w:val="0"/>
          <w:color w:val="auto"/>
          <w:sz w:val="24"/>
          <w:szCs w:val="24"/>
        </w:rPr>
        <w:t xml:space="preserve"> </w:t>
      </w:r>
    </w:p>
    <w:p w14:paraId="2DB8DFA0">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7.2 卖方技术人员的交通、食宿费用由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2867D77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7.5（新增）本项目其他技术服务要求：</w:t>
      </w:r>
      <w:r>
        <w:rPr>
          <w:rFonts w:hint="eastAsia" w:ascii="Times New Roman" w:hAnsi="Times New Roman" w:eastAsia="宋体" w:cs="宋体"/>
          <w:color w:val="auto"/>
          <w:sz w:val="24"/>
          <w:szCs w:val="24"/>
          <w:u w:val="single"/>
        </w:rPr>
        <w:t xml:space="preserve">                        </w:t>
      </w:r>
    </w:p>
    <w:p w14:paraId="32C2B280">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35" w:name="_Toc17750"/>
      <w:bookmarkStart w:id="536" w:name="_Toc56792815"/>
      <w:bookmarkStart w:id="537" w:name="_Toc40275039"/>
      <w:bookmarkStart w:id="538" w:name="_Toc23276"/>
      <w:bookmarkStart w:id="539" w:name="_Toc14282"/>
      <w:bookmarkStart w:id="540" w:name="_Toc15635"/>
      <w:bookmarkStart w:id="541" w:name="_Toc38478295"/>
      <w:bookmarkStart w:id="542" w:name="_Toc38436725"/>
      <w:bookmarkStart w:id="543" w:name="_Toc24931"/>
      <w:r>
        <w:rPr>
          <w:rFonts w:hint="eastAsia" w:ascii="Times New Roman" w:hAnsi="Times New Roman" w:cs="宋体"/>
          <w:b w:val="0"/>
          <w:color w:val="auto"/>
          <w:sz w:val="24"/>
          <w:szCs w:val="24"/>
        </w:rPr>
        <w:t>8.质量保证期</w:t>
      </w:r>
      <w:bookmarkEnd w:id="535"/>
      <w:bookmarkEnd w:id="536"/>
      <w:bookmarkEnd w:id="537"/>
      <w:bookmarkEnd w:id="538"/>
      <w:bookmarkEnd w:id="539"/>
      <w:bookmarkEnd w:id="540"/>
      <w:bookmarkEnd w:id="541"/>
      <w:bookmarkEnd w:id="542"/>
      <w:bookmarkEnd w:id="543"/>
      <w:r>
        <w:rPr>
          <w:rFonts w:hint="eastAsia" w:ascii="Times New Roman" w:hAnsi="Times New Roman" w:cs="宋体"/>
          <w:b w:val="0"/>
          <w:color w:val="auto"/>
          <w:sz w:val="24"/>
          <w:szCs w:val="24"/>
        </w:rPr>
        <w:t xml:space="preserve"> </w:t>
      </w:r>
    </w:p>
    <w:p w14:paraId="7246950A">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8.1 合同设备整体质量保证期约定：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8D097D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合同设备中关键部件的质量保证期特殊要求：</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55E130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8.3 质量保证期届满后，买方应在</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日内向卖方出具合同设备的质量保证期届满证书。</w:t>
      </w:r>
    </w:p>
    <w:p w14:paraId="550C0FE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8.4 在合同第 6.4.2 项情形下，如在验收款支付函签署后 12 个月内由于买方原因合同设备仍未能达到技术性能考核指标，则买卖双方应在</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内签署结清款支付函。</w:t>
      </w:r>
    </w:p>
    <w:p w14:paraId="4ACA6157">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8.5 在合同第 6.4.3 项情形下，如在验收款支付函签署后 6 个月内由于买方原因合同设备仍未进行考核或仍未达到技术性能考核指标，则买卖双方应在</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内签署结清款支付函。</w:t>
      </w:r>
    </w:p>
    <w:p w14:paraId="51051355">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44" w:name="_Toc38478296"/>
      <w:bookmarkStart w:id="545" w:name="_Toc3337"/>
      <w:bookmarkStart w:id="546" w:name="_Toc56792816"/>
      <w:bookmarkStart w:id="547" w:name="_Toc4486"/>
      <w:bookmarkStart w:id="548" w:name="_Toc38436726"/>
      <w:bookmarkStart w:id="549" w:name="_Toc3811"/>
      <w:bookmarkStart w:id="550" w:name="_Toc18042"/>
      <w:bookmarkStart w:id="551" w:name="_Toc40275040"/>
      <w:bookmarkStart w:id="552" w:name="_Toc4875"/>
      <w:r>
        <w:rPr>
          <w:rFonts w:hint="eastAsia" w:ascii="Times New Roman" w:hAnsi="Times New Roman" w:cs="宋体"/>
          <w:b w:val="0"/>
          <w:color w:val="auto"/>
          <w:sz w:val="24"/>
          <w:szCs w:val="24"/>
        </w:rPr>
        <w:t>9.质保期服务</w:t>
      </w:r>
      <w:bookmarkEnd w:id="544"/>
      <w:bookmarkEnd w:id="545"/>
      <w:bookmarkEnd w:id="546"/>
      <w:bookmarkEnd w:id="547"/>
      <w:bookmarkEnd w:id="548"/>
      <w:bookmarkEnd w:id="549"/>
      <w:bookmarkEnd w:id="550"/>
      <w:bookmarkEnd w:id="551"/>
      <w:bookmarkEnd w:id="552"/>
    </w:p>
    <w:p w14:paraId="4AC37DB8">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9.1 质保期服务卖方响应时间的约定：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8BACD84">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9.2 卖方技术人员的交通、食宿费用由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416B1A58">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9.4 质保期服务情况记录的约定：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4DE703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9.5（新增）新增质保期服务其他要求：</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482F9EB">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53" w:name="_Toc38436727"/>
      <w:bookmarkStart w:id="554" w:name="_Toc32108"/>
      <w:bookmarkStart w:id="555" w:name="_Toc40275041"/>
      <w:bookmarkStart w:id="556" w:name="_Toc23683"/>
      <w:bookmarkStart w:id="557" w:name="_Toc56792817"/>
      <w:bookmarkStart w:id="558" w:name="_Toc24217"/>
      <w:bookmarkStart w:id="559" w:name="_Toc38478297"/>
      <w:bookmarkStart w:id="560" w:name="_Toc16220"/>
      <w:bookmarkStart w:id="561" w:name="_Toc12256"/>
      <w:r>
        <w:rPr>
          <w:rFonts w:hint="eastAsia" w:ascii="Times New Roman" w:hAnsi="Times New Roman" w:cs="宋体"/>
          <w:b w:val="0"/>
          <w:color w:val="auto"/>
          <w:sz w:val="24"/>
          <w:szCs w:val="24"/>
        </w:rPr>
        <w:t>10.履约</w:t>
      </w:r>
      <w:bookmarkEnd w:id="553"/>
      <w:bookmarkEnd w:id="554"/>
      <w:bookmarkEnd w:id="555"/>
      <w:bookmarkEnd w:id="556"/>
      <w:bookmarkEnd w:id="557"/>
      <w:bookmarkEnd w:id="558"/>
      <w:bookmarkEnd w:id="559"/>
      <w:bookmarkEnd w:id="560"/>
      <w:r>
        <w:rPr>
          <w:rFonts w:hint="eastAsia" w:ascii="Times New Roman" w:hAnsi="Times New Roman" w:cs="宋体"/>
          <w:b w:val="0"/>
          <w:color w:val="auto"/>
          <w:sz w:val="24"/>
          <w:szCs w:val="24"/>
        </w:rPr>
        <w:t>保证金</w:t>
      </w:r>
      <w:bookmarkEnd w:id="561"/>
    </w:p>
    <w:p w14:paraId="4FBA785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本合同卖方</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（提交/不提交）履约保证金。履约保证金的约定：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FA7CF37">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62" w:name="_Toc29548"/>
      <w:bookmarkStart w:id="563" w:name="_Toc15376"/>
      <w:bookmarkStart w:id="564" w:name="_Toc17214"/>
      <w:bookmarkStart w:id="565" w:name="_Toc56792818"/>
      <w:bookmarkStart w:id="566" w:name="_Toc38478298"/>
      <w:bookmarkStart w:id="567" w:name="_Toc12656"/>
      <w:bookmarkStart w:id="568" w:name="_Toc40275042"/>
      <w:bookmarkStart w:id="569" w:name="_Toc38436728"/>
      <w:bookmarkStart w:id="570" w:name="_Toc31198"/>
      <w:r>
        <w:rPr>
          <w:rFonts w:hint="eastAsia" w:ascii="Times New Roman" w:hAnsi="Times New Roman" w:cs="宋体"/>
          <w:b w:val="0"/>
          <w:color w:val="auto"/>
          <w:sz w:val="24"/>
          <w:szCs w:val="24"/>
        </w:rPr>
        <w:t>11.保证</w:t>
      </w:r>
      <w:bookmarkEnd w:id="562"/>
      <w:bookmarkEnd w:id="563"/>
      <w:bookmarkEnd w:id="564"/>
      <w:bookmarkEnd w:id="565"/>
      <w:bookmarkEnd w:id="566"/>
      <w:bookmarkEnd w:id="567"/>
      <w:bookmarkEnd w:id="568"/>
      <w:bookmarkEnd w:id="569"/>
      <w:bookmarkEnd w:id="570"/>
    </w:p>
    <w:p w14:paraId="23C54580">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  修改本条款如下：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2081524">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11.7  修改本条款如下：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B1FF784">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71" w:name="_Toc38436729"/>
      <w:bookmarkStart w:id="572" w:name="_Toc40275043"/>
      <w:bookmarkStart w:id="573" w:name="_Toc15131"/>
      <w:bookmarkStart w:id="574" w:name="_Toc30909"/>
      <w:bookmarkStart w:id="575" w:name="_Toc38478299"/>
      <w:bookmarkStart w:id="576" w:name="_Toc24880"/>
      <w:bookmarkStart w:id="577" w:name="_Toc56792819"/>
      <w:bookmarkStart w:id="578" w:name="_Toc17407"/>
      <w:bookmarkStart w:id="579" w:name="_Toc10898"/>
      <w:r>
        <w:rPr>
          <w:rFonts w:hint="eastAsia" w:ascii="Times New Roman" w:hAnsi="Times New Roman" w:cs="宋体"/>
          <w:b w:val="0"/>
          <w:color w:val="auto"/>
          <w:sz w:val="24"/>
          <w:szCs w:val="24"/>
        </w:rPr>
        <w:t>12.知识产权</w:t>
      </w:r>
      <w:bookmarkEnd w:id="571"/>
      <w:bookmarkEnd w:id="572"/>
      <w:bookmarkEnd w:id="573"/>
      <w:bookmarkEnd w:id="574"/>
      <w:bookmarkEnd w:id="575"/>
      <w:bookmarkEnd w:id="576"/>
      <w:bookmarkEnd w:id="577"/>
      <w:bookmarkEnd w:id="578"/>
      <w:bookmarkEnd w:id="579"/>
    </w:p>
    <w:p w14:paraId="4467834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 修改本条款如下：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52252705">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12.4 如果卖方拒绝处理前述索赔或诉讼或在收到买方通知后 28 日内未作表示，本款约定：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656C2EE">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80" w:name="_Toc56792820"/>
      <w:bookmarkStart w:id="581" w:name="_Toc38478300"/>
      <w:bookmarkStart w:id="582" w:name="_Toc38436730"/>
      <w:bookmarkStart w:id="583" w:name="_Toc9995"/>
      <w:bookmarkStart w:id="584" w:name="_Toc3579"/>
      <w:bookmarkStart w:id="585" w:name="_Toc17152"/>
      <w:bookmarkStart w:id="586" w:name="_Toc28424"/>
      <w:bookmarkStart w:id="587" w:name="_Toc23420"/>
      <w:bookmarkStart w:id="588" w:name="_Toc40275044"/>
      <w:r>
        <w:rPr>
          <w:rFonts w:hint="eastAsia" w:ascii="Times New Roman" w:hAnsi="Times New Roman" w:cs="宋体"/>
          <w:b w:val="0"/>
          <w:color w:val="auto"/>
          <w:sz w:val="24"/>
          <w:szCs w:val="24"/>
        </w:rPr>
        <w:t>14.违约责任</w:t>
      </w:r>
      <w:bookmarkEnd w:id="580"/>
      <w:bookmarkEnd w:id="581"/>
      <w:bookmarkEnd w:id="582"/>
      <w:bookmarkEnd w:id="583"/>
      <w:bookmarkEnd w:id="584"/>
      <w:bookmarkEnd w:id="585"/>
      <w:bookmarkEnd w:id="586"/>
      <w:bookmarkEnd w:id="587"/>
      <w:bookmarkEnd w:id="588"/>
    </w:p>
    <w:p w14:paraId="798115A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 迟延交付违约金的计算方法：</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829795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14.3迟延付款违约金的计算方法：</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A21FE2A">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89" w:name="_Toc38436731"/>
      <w:bookmarkStart w:id="590" w:name="_Toc40275045"/>
      <w:bookmarkStart w:id="591" w:name="_Toc22165"/>
      <w:bookmarkStart w:id="592" w:name="_Toc11386"/>
      <w:bookmarkStart w:id="593" w:name="_Toc13930"/>
      <w:bookmarkStart w:id="594" w:name="_Toc3138"/>
      <w:bookmarkStart w:id="595" w:name="_Toc38478301"/>
      <w:bookmarkStart w:id="596" w:name="_Toc22280"/>
      <w:bookmarkStart w:id="597" w:name="_Toc56792821"/>
      <w:r>
        <w:rPr>
          <w:rFonts w:hint="eastAsia" w:ascii="Times New Roman" w:hAnsi="Times New Roman" w:cs="宋体"/>
          <w:b w:val="0"/>
          <w:color w:val="auto"/>
          <w:sz w:val="24"/>
          <w:szCs w:val="24"/>
        </w:rPr>
        <w:t>15.合同的解除</w:t>
      </w:r>
      <w:bookmarkEnd w:id="589"/>
      <w:bookmarkEnd w:id="590"/>
      <w:bookmarkEnd w:id="591"/>
      <w:bookmarkEnd w:id="592"/>
      <w:bookmarkEnd w:id="593"/>
      <w:bookmarkEnd w:id="594"/>
      <w:bookmarkEnd w:id="595"/>
      <w:bookmarkEnd w:id="596"/>
      <w:bookmarkEnd w:id="597"/>
    </w:p>
    <w:p w14:paraId="2520642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当事人可发出书面通知全部或部分地解除合同，合同自通知到达对方时全部或部分地解除的情形：</w:t>
      </w:r>
    </w:p>
    <w:p w14:paraId="66AE1BC7">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06CA0AC">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25CB83C">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5A148FCA">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98" w:name="_Toc17971"/>
      <w:bookmarkStart w:id="599" w:name="_Toc28223"/>
      <w:bookmarkStart w:id="600" w:name="_Toc40275046"/>
      <w:bookmarkStart w:id="601" w:name="_Toc38478302"/>
      <w:bookmarkStart w:id="602" w:name="_Toc25030"/>
      <w:bookmarkStart w:id="603" w:name="_Toc56792822"/>
      <w:bookmarkStart w:id="604" w:name="_Toc18702"/>
      <w:bookmarkStart w:id="605" w:name="_Toc30683"/>
      <w:bookmarkStart w:id="606" w:name="_Toc38436732"/>
      <w:r>
        <w:rPr>
          <w:rFonts w:hint="eastAsia" w:ascii="Times New Roman" w:hAnsi="Times New Roman" w:cs="宋体"/>
          <w:b w:val="0"/>
          <w:color w:val="auto"/>
          <w:sz w:val="24"/>
          <w:szCs w:val="24"/>
        </w:rPr>
        <w:t>16.不可抗力</w:t>
      </w:r>
      <w:bookmarkEnd w:id="598"/>
      <w:bookmarkEnd w:id="599"/>
      <w:bookmarkEnd w:id="600"/>
      <w:bookmarkEnd w:id="601"/>
      <w:bookmarkEnd w:id="602"/>
      <w:bookmarkEnd w:id="603"/>
      <w:bookmarkEnd w:id="604"/>
      <w:bookmarkEnd w:id="605"/>
      <w:bookmarkEnd w:id="606"/>
    </w:p>
    <w:p w14:paraId="61DD28D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16.1 不可抗力其他情形的约定：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C74FF5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不可抗力事件的影响持续超过</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F73DB9C">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607" w:name="_Toc28089"/>
      <w:bookmarkStart w:id="608" w:name="_Toc56792823"/>
      <w:bookmarkStart w:id="609" w:name="_Toc38478303"/>
      <w:bookmarkStart w:id="610" w:name="_Toc27614"/>
      <w:bookmarkStart w:id="611" w:name="_Toc40275047"/>
      <w:bookmarkStart w:id="612" w:name="_Toc30709"/>
      <w:bookmarkStart w:id="613" w:name="_Toc20234"/>
      <w:bookmarkStart w:id="614" w:name="_Toc38436733"/>
      <w:bookmarkStart w:id="615" w:name="_Toc3341"/>
      <w:r>
        <w:rPr>
          <w:rFonts w:hint="eastAsia" w:ascii="Times New Roman" w:hAnsi="Times New Roman" w:cs="宋体"/>
          <w:b w:val="0"/>
          <w:color w:val="auto"/>
          <w:sz w:val="24"/>
          <w:szCs w:val="24"/>
        </w:rPr>
        <w:t>17.争议的解决</w:t>
      </w:r>
      <w:bookmarkEnd w:id="607"/>
      <w:bookmarkEnd w:id="608"/>
      <w:bookmarkEnd w:id="609"/>
      <w:bookmarkEnd w:id="610"/>
      <w:bookmarkEnd w:id="611"/>
      <w:bookmarkEnd w:id="612"/>
      <w:bookmarkEnd w:id="613"/>
      <w:bookmarkEnd w:id="614"/>
      <w:bookmarkEnd w:id="615"/>
      <w:r>
        <w:rPr>
          <w:rFonts w:hint="eastAsia" w:ascii="Times New Roman" w:hAnsi="Times New Roman" w:cs="宋体"/>
          <w:b w:val="0"/>
          <w:color w:val="auto"/>
          <w:sz w:val="24"/>
          <w:szCs w:val="24"/>
        </w:rPr>
        <w:t xml:space="preserve"> </w:t>
      </w:r>
    </w:p>
    <w:p w14:paraId="0ABCBC07">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友好协商解决不成的，约定下列第</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种方式解决：</w:t>
      </w:r>
    </w:p>
    <w:p w14:paraId="05860F8B">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（1）向约定的仲裁委员会申请仲裁；约定的仲裁委员会为：</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30F076A">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（2）向有管辖权的人民法院提起诉讼。</w:t>
      </w:r>
    </w:p>
    <w:p w14:paraId="729C1EA8">
      <w:pPr>
        <w:widowControl w:val="0"/>
        <w:adjustRightInd w:val="0"/>
        <w:snapToGrid w:val="0"/>
        <w:spacing w:after="0" w:line="480" w:lineRule="exact"/>
        <w:ind w:firstLine="482" w:firstLineChars="200"/>
        <w:jc w:val="both"/>
        <w:outlineLvl w:val="1"/>
        <w:rPr>
          <w:rFonts w:ascii="Times New Roman" w:hAnsi="Times New Roman" w:eastAsia="宋体" w:cs="宋体"/>
          <w:b/>
          <w:color w:val="auto"/>
          <w:kern w:val="0"/>
          <w:sz w:val="24"/>
          <w:szCs w:val="24"/>
        </w:rPr>
      </w:pPr>
      <w:bookmarkStart w:id="616" w:name="_Toc23232"/>
      <w:bookmarkStart w:id="617" w:name="_Toc38478304"/>
      <w:bookmarkStart w:id="618" w:name="_Toc40275048"/>
      <w:bookmarkStart w:id="619" w:name="_Toc56792824"/>
      <w:bookmarkStart w:id="620" w:name="_Toc24886"/>
      <w:bookmarkStart w:id="621" w:name="_Toc18171"/>
      <w:bookmarkStart w:id="622" w:name="_Toc6280"/>
      <w:bookmarkStart w:id="623" w:name="_Toc20704"/>
      <w:r>
        <w:rPr>
          <w:rFonts w:hint="eastAsia" w:ascii="Times New Roman" w:hAnsi="Times New Roman" w:eastAsia="宋体" w:cs="宋体"/>
          <w:b/>
          <w:color w:val="auto"/>
          <w:kern w:val="0"/>
          <w:sz w:val="24"/>
          <w:szCs w:val="24"/>
        </w:rPr>
        <w:t>18.……（根据项目情况补充）</w:t>
      </w:r>
      <w:bookmarkEnd w:id="616"/>
      <w:bookmarkEnd w:id="617"/>
      <w:bookmarkEnd w:id="618"/>
      <w:bookmarkEnd w:id="619"/>
      <w:bookmarkEnd w:id="620"/>
      <w:bookmarkEnd w:id="621"/>
      <w:bookmarkEnd w:id="622"/>
      <w:bookmarkEnd w:id="623"/>
    </w:p>
    <w:p w14:paraId="6A51193A">
      <w:pPr>
        <w:widowControl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4441C320">
      <w:pPr>
        <w:widowControl w:val="0"/>
        <w:spacing w:line="480" w:lineRule="exact"/>
        <w:ind w:firstLine="482" w:firstLineChars="200"/>
        <w:rPr>
          <w:rFonts w:ascii="Times New Roman" w:hAnsi="Times New Roman" w:eastAsia="宋体" w:cs="宋体"/>
          <w:b/>
          <w:color w:val="auto"/>
          <w:sz w:val="24"/>
          <w:szCs w:val="24"/>
        </w:rPr>
      </w:pPr>
      <w:r>
        <w:rPr>
          <w:rFonts w:hint="eastAsia" w:ascii="Times New Roman" w:hAnsi="Times New Roman" w:eastAsia="宋体" w:cs="宋体"/>
          <w:b/>
          <w:color w:val="auto"/>
          <w:sz w:val="24"/>
          <w:szCs w:val="24"/>
        </w:rPr>
        <w:br w:type="page"/>
      </w:r>
    </w:p>
    <w:p w14:paraId="29E78289"/>
    <w:p w14:paraId="3187886E">
      <w:pPr>
        <w:rPr>
          <w:rFonts w:ascii="Times New Roman" w:hAnsi="Times New Roman" w:eastAsia="宋体" w:cs="宋体"/>
          <w:b/>
          <w:color w:val="auto"/>
        </w:rPr>
      </w:pPr>
    </w:p>
    <w:p w14:paraId="3789A274"/>
    <w:p w14:paraId="362A0259">
      <w:bookmarkStart w:id="624" w:name="_Toc56792838"/>
      <w:bookmarkStart w:id="625" w:name="_Toc19844"/>
    </w:p>
    <w:p w14:paraId="04A8F1BE"/>
    <w:p w14:paraId="604EBE98">
      <w:pPr>
        <w:pStyle w:val="3"/>
        <w:jc w:val="center"/>
      </w:pPr>
      <w:bookmarkStart w:id="626" w:name="_Toc21885"/>
      <w:bookmarkStart w:id="627" w:name="_Toc4002"/>
      <w:bookmarkStart w:id="628" w:name="_Toc8386"/>
      <w:bookmarkStart w:id="629" w:name="_Toc5804"/>
      <w:bookmarkStart w:id="630" w:name="_Toc1771"/>
      <w:r>
        <w:rPr>
          <w:rFonts w:hint="eastAsia"/>
        </w:rPr>
        <w:t>第三节  合同附件格式</w:t>
      </w:r>
      <w:bookmarkEnd w:id="624"/>
      <w:bookmarkEnd w:id="626"/>
      <w:bookmarkEnd w:id="627"/>
      <w:bookmarkEnd w:id="628"/>
      <w:bookmarkEnd w:id="629"/>
      <w:bookmarkEnd w:id="630"/>
    </w:p>
    <w:p w14:paraId="47F2AC61">
      <w:pPr>
        <w:pStyle w:val="3"/>
        <w:rPr>
          <w:rFonts w:ascii="Times New Roman" w:hAnsi="Times New Roman" w:cs="宋体"/>
          <w:bCs/>
          <w:color w:val="auto"/>
        </w:rPr>
      </w:pPr>
      <w:r>
        <w:rPr>
          <w:rFonts w:hint="eastAsia" w:ascii="Times New Roman" w:hAnsi="Times New Roman" w:cs="宋体"/>
          <w:b w:val="0"/>
          <w:bCs/>
          <w:color w:val="auto"/>
          <w:sz w:val="36"/>
        </w:rPr>
        <w:br w:type="page"/>
      </w:r>
      <w:bookmarkEnd w:id="625"/>
      <w:bookmarkStart w:id="631" w:name="_Toc31124"/>
      <w:bookmarkStart w:id="632" w:name="_Toc31155"/>
      <w:r>
        <w:rPr>
          <w:rFonts w:hint="eastAsia" w:ascii="Times New Roman" w:hAnsi="Times New Roman" w:cs="宋体"/>
          <w:color w:val="auto"/>
        </w:rPr>
        <w:t>附件一：合同协议书</w:t>
      </w:r>
      <w:bookmarkEnd w:id="631"/>
      <w:bookmarkEnd w:id="632"/>
    </w:p>
    <w:p w14:paraId="43CBD2F0">
      <w:pPr>
        <w:widowControl w:val="0"/>
        <w:spacing w:after="0" w:line="490" w:lineRule="exact"/>
        <w:rPr>
          <w:rFonts w:ascii="Times New Roman" w:hAnsi="Times New Roman" w:eastAsia="宋体" w:cs="宋体"/>
          <w:color w:val="auto"/>
          <w:sz w:val="28"/>
          <w:szCs w:val="28"/>
        </w:rPr>
      </w:pPr>
    </w:p>
    <w:p w14:paraId="7D6828E3">
      <w:pPr>
        <w:widowControl w:val="0"/>
        <w:adjustRightInd w:val="0"/>
        <w:snapToGrid w:val="0"/>
        <w:spacing w:after="0" w:line="490" w:lineRule="exact"/>
        <w:jc w:val="center"/>
        <w:rPr>
          <w:rFonts w:ascii="Times New Roman" w:hAnsi="Times New Roman" w:eastAsia="宋体" w:cs="宋体"/>
          <w:b/>
          <w:bCs/>
          <w:color w:val="auto"/>
          <w:sz w:val="32"/>
          <w:szCs w:val="28"/>
        </w:rPr>
      </w:pPr>
      <w:r>
        <w:rPr>
          <w:rFonts w:hint="eastAsia" w:ascii="Times New Roman" w:hAnsi="Times New Roman" w:eastAsia="宋体" w:cs="宋体"/>
          <w:b/>
          <w:bCs/>
          <w:color w:val="auto"/>
          <w:sz w:val="32"/>
          <w:szCs w:val="28"/>
        </w:rPr>
        <w:t>合同协议书</w:t>
      </w:r>
    </w:p>
    <w:p w14:paraId="1FF5754B">
      <w:pPr>
        <w:widowControl w:val="0"/>
        <w:adjustRightInd w:val="0"/>
        <w:snapToGrid w:val="0"/>
        <w:spacing w:after="0" w:line="490" w:lineRule="exact"/>
        <w:ind w:firstLine="525" w:firstLineChars="250"/>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（买方名称，以下简称“买方”）为获得</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（项目名称）合同设备和技术服务和质保期服务，已接受</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（卖方名称，以下简称“卖方”）为提供上述合同设备和技术服务和质保期服务所做的投标，买方和卖方共同达成如下协议：</w:t>
      </w:r>
    </w:p>
    <w:p w14:paraId="26A17638">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1．本协议书与下列文件一起构成合同文件： </w:t>
      </w:r>
    </w:p>
    <w:p w14:paraId="1B41101F">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（1）中标通知书；</w:t>
      </w:r>
    </w:p>
    <w:p w14:paraId="2A143D92">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（2）投标函；</w:t>
      </w:r>
    </w:p>
    <w:p w14:paraId="658AC861">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（3）商务和技术偏差表； </w:t>
      </w:r>
    </w:p>
    <w:p w14:paraId="18360FE0">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（4）专用合同条款； </w:t>
      </w:r>
    </w:p>
    <w:p w14:paraId="6D0BC7A8">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（5）通用合同条款； </w:t>
      </w:r>
    </w:p>
    <w:p w14:paraId="77F77C94">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（6）供货要求； </w:t>
      </w:r>
    </w:p>
    <w:p w14:paraId="6C73200A">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（7）分项报价表； </w:t>
      </w:r>
    </w:p>
    <w:p w14:paraId="17A11D97">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（8）中标设备技术性能指标的详细描述； </w:t>
      </w:r>
    </w:p>
    <w:p w14:paraId="1AF8EA5F">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（9）技术服务和质保期服务计划； </w:t>
      </w:r>
    </w:p>
    <w:p w14:paraId="5A44010C">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（10）</w:t>
      </w:r>
      <w:r>
        <w:rPr>
          <w:rFonts w:hint="eastAsia" w:ascii="Times New Roman" w:hAnsi="Times New Roman" w:eastAsia="宋体" w:cs="宋体"/>
          <w:color w:val="auto"/>
          <w:sz w:val="21"/>
          <w:szCs w:val="21"/>
        </w:rPr>
        <w:tab/>
      </w:r>
      <w:r>
        <w:rPr>
          <w:rFonts w:hint="eastAsia" w:ascii="Times New Roman" w:hAnsi="Times New Roman" w:eastAsia="宋体" w:cs="宋体"/>
          <w:color w:val="auto"/>
          <w:sz w:val="21"/>
          <w:szCs w:val="21"/>
        </w:rPr>
        <w:t>其他合同文件。</w:t>
      </w:r>
    </w:p>
    <w:p w14:paraId="7DE90E96">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2．上述合同文件互相补充和解释。如果合同文件之间存在矛盾或不一致之处，以上述文件的排列顺序在先者为准。</w:t>
      </w:r>
    </w:p>
    <w:p w14:paraId="70E1798A">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3．签约合同价：人民币（大写）</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p>
    <w:p w14:paraId="15009673">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4．卖方承诺保证完全按照合同约定提供合同设备和技术服务和质保期服务并修补缺陷。</w:t>
      </w:r>
    </w:p>
    <w:p w14:paraId="5298823B">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5．买方承诺保证按照合同约定的条件、时间和方式向卖方支付合同价款。</w:t>
      </w:r>
    </w:p>
    <w:p w14:paraId="3FC90413">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6．本合同协议书一式</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份，合同双方各执</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份。</w:t>
      </w:r>
    </w:p>
    <w:p w14:paraId="1DAE234C">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7．合同未尽事宜，双方另行签订补充协议，补充协议是合同的组成部分。</w:t>
      </w:r>
    </w:p>
    <w:p w14:paraId="3C8CDEA5">
      <w:pPr>
        <w:widowControl w:val="0"/>
        <w:adjustRightInd w:val="0"/>
        <w:snapToGrid w:val="0"/>
        <w:spacing w:after="0" w:line="490" w:lineRule="exact"/>
        <w:ind w:firstLine="200"/>
        <w:rPr>
          <w:rFonts w:ascii="Times New Roman" w:hAnsi="Times New Roman" w:eastAsia="宋体" w:cs="宋体"/>
          <w:color w:val="auto"/>
          <w:sz w:val="21"/>
          <w:szCs w:val="21"/>
        </w:rPr>
      </w:pPr>
    </w:p>
    <w:p w14:paraId="03463716">
      <w:pPr>
        <w:widowControl w:val="0"/>
        <w:adjustRightInd w:val="0"/>
        <w:snapToGrid w:val="0"/>
        <w:spacing w:after="0" w:line="490" w:lineRule="exact"/>
        <w:ind w:firstLine="200"/>
        <w:rPr>
          <w:rFonts w:ascii="Times New Roman" w:hAnsi="Times New Roman" w:eastAsia="宋体" w:cs="宋体"/>
          <w:color w:val="auto"/>
          <w:sz w:val="21"/>
          <w:szCs w:val="21"/>
        </w:rPr>
      </w:pPr>
    </w:p>
    <w:p w14:paraId="37BC03FC">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（盖单位章）</w:t>
      </w:r>
    </w:p>
    <w:p w14:paraId="42F1AED8">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法定代表人（单位负责人）或其委托代理人：</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（签字）</w:t>
      </w:r>
    </w:p>
    <w:p w14:paraId="4CCD6C36">
      <w:pPr>
        <w:widowControl w:val="0"/>
        <w:tabs>
          <w:tab w:val="center" w:pos="4261"/>
          <w:tab w:val="center" w:pos="6039"/>
        </w:tabs>
        <w:wordWrap w:val="0"/>
        <w:adjustRightInd w:val="0"/>
        <w:snapToGrid w:val="0"/>
        <w:spacing w:after="0" w:line="490" w:lineRule="exact"/>
        <w:ind w:right="560" w:firstLine="4620" w:firstLineChars="2200"/>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日 </w:t>
      </w:r>
    </w:p>
    <w:p w14:paraId="7FBD21FD">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卖方：</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（盖单位章）</w:t>
      </w:r>
    </w:p>
    <w:p w14:paraId="15CDE6F7">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法定代表人（单位负责人）或其委托代理人：</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（签字）</w:t>
      </w:r>
    </w:p>
    <w:p w14:paraId="1722558B">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日</w:t>
      </w:r>
    </w:p>
    <w:p w14:paraId="1B3877BC">
      <w:pPr>
        <w:widowControl w:val="0"/>
        <w:adjustRightInd w:val="0"/>
        <w:snapToGrid w:val="0"/>
        <w:spacing w:after="0" w:line="490" w:lineRule="exact"/>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605630A6">
      <w:pPr>
        <w:pStyle w:val="3"/>
        <w:rPr>
          <w:rFonts w:ascii="Times New Roman" w:hAnsi="Times New Roman" w:cs="宋体"/>
          <w:bCs/>
          <w:color w:val="auto"/>
        </w:rPr>
      </w:pPr>
      <w:r>
        <w:rPr>
          <w:rFonts w:hint="eastAsia" w:ascii="Times New Roman" w:hAnsi="Times New Roman" w:cs="宋体"/>
          <w:color w:val="auto"/>
          <w:szCs w:val="28"/>
        </w:rPr>
        <w:br w:type="page"/>
      </w:r>
      <w:bookmarkStart w:id="633" w:name="_Toc1395"/>
      <w:bookmarkStart w:id="634" w:name="_Toc7590"/>
      <w:r>
        <w:rPr>
          <w:rFonts w:hint="eastAsia" w:ascii="Times New Roman" w:hAnsi="Times New Roman" w:cs="宋体"/>
          <w:bCs/>
          <w:color w:val="auto"/>
        </w:rPr>
        <w:t>附件二：履约保函格式</w:t>
      </w:r>
      <w:bookmarkEnd w:id="633"/>
      <w:bookmarkEnd w:id="634"/>
      <w:r>
        <w:rPr>
          <w:rFonts w:hint="eastAsia" w:ascii="Times New Roman" w:hAnsi="Times New Roman" w:cs="宋体"/>
          <w:bCs/>
          <w:color w:val="auto"/>
        </w:rPr>
        <w:t xml:space="preserve"> </w:t>
      </w:r>
    </w:p>
    <w:p w14:paraId="659549D6">
      <w:pPr>
        <w:widowControl w:val="0"/>
        <w:adjustRightInd w:val="0"/>
        <w:snapToGrid w:val="0"/>
        <w:spacing w:after="0" w:line="490" w:lineRule="exact"/>
        <w:ind w:hanging="1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如采用银行保函，格式如下。</w:t>
      </w:r>
    </w:p>
    <w:p w14:paraId="2B3E8869">
      <w:pPr>
        <w:widowControl w:val="0"/>
        <w:adjustRightInd w:val="0"/>
        <w:snapToGrid w:val="0"/>
        <w:spacing w:after="0" w:line="490" w:lineRule="exact"/>
        <w:jc w:val="center"/>
        <w:rPr>
          <w:rFonts w:ascii="Times New Roman" w:hAnsi="Times New Roman" w:eastAsia="宋体" w:cs="宋体"/>
          <w:b/>
          <w:bCs/>
          <w:color w:val="auto"/>
          <w:sz w:val="32"/>
          <w:szCs w:val="28"/>
        </w:rPr>
      </w:pPr>
      <w:r>
        <w:rPr>
          <w:rFonts w:hint="eastAsia" w:ascii="Times New Roman" w:hAnsi="Times New Roman" w:eastAsia="宋体" w:cs="宋体"/>
          <w:b/>
          <w:bCs/>
          <w:color w:val="auto"/>
          <w:sz w:val="32"/>
          <w:szCs w:val="28"/>
        </w:rPr>
        <w:t xml:space="preserve">履约保函 </w:t>
      </w:r>
    </w:p>
    <w:p w14:paraId="1903ECAE">
      <w:pPr>
        <w:widowControl w:val="0"/>
        <w:adjustRightInd w:val="0"/>
        <w:snapToGrid w:val="0"/>
        <w:spacing w:after="0" w:line="490" w:lineRule="exact"/>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469B7C18">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（买方名称）： </w:t>
      </w:r>
    </w:p>
    <w:p w14:paraId="55F476FD">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鉴于（买方名称，以下简称“买方”）接受（卖方名称，以下简称“卖方”）于</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日参加</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（项目名称）招标项目的投标。我方愿意无条件地、不可撤销地就卖方履行与你方订立的合同，向你方提供担保。</w:t>
      </w:r>
    </w:p>
    <w:p w14:paraId="1E85B2AF">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1．担保金额人民币（大写）</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p>
    <w:p w14:paraId="0A24B733">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2．担保有效期自买方与卖方签订的合同生效之日起至合同货物验收证书或验收款支付函签署之日起 28 日后失效。</w:t>
      </w:r>
    </w:p>
    <w:p w14:paraId="3D94C7EA">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3．在本担保有效期内，如果卖方不履行合同约定的义务或其履行不符合合同的约定，我方在收到你方以书面形式提出的在担保金额内的赔偿要求后，在 7 日内无条件支付。</w:t>
      </w:r>
    </w:p>
    <w:p w14:paraId="0FC6322E">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4．买方和卖方变更合同时，无论我方是否收到该变更，我方承担本担保规定的义务不变。</w:t>
      </w:r>
    </w:p>
    <w:p w14:paraId="417FBDD7">
      <w:pPr>
        <w:widowControl w:val="0"/>
        <w:adjustRightInd w:val="0"/>
        <w:snapToGrid w:val="0"/>
        <w:spacing w:after="0" w:line="490" w:lineRule="exact"/>
        <w:ind w:firstLine="420" w:firstLineChars="200"/>
        <w:rPr>
          <w:rFonts w:ascii="Times New Roman" w:hAnsi="Times New Roman" w:eastAsia="宋体" w:cs="宋体"/>
          <w:color w:val="auto"/>
          <w:sz w:val="21"/>
          <w:szCs w:val="21"/>
        </w:rPr>
      </w:pPr>
    </w:p>
    <w:p w14:paraId="5CA2C49C">
      <w:pPr>
        <w:widowControl w:val="0"/>
        <w:adjustRightInd w:val="0"/>
        <w:snapToGrid w:val="0"/>
        <w:spacing w:after="0" w:line="490" w:lineRule="exact"/>
        <w:ind w:firstLine="420" w:firstLineChars="200"/>
        <w:rPr>
          <w:rFonts w:ascii="Times New Roman" w:hAnsi="Times New Roman" w:eastAsia="宋体" w:cs="宋体"/>
          <w:color w:val="auto"/>
          <w:sz w:val="21"/>
          <w:szCs w:val="21"/>
        </w:rPr>
      </w:pPr>
    </w:p>
    <w:p w14:paraId="6B5D76E7">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担保人名称 ：</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（盖单位章） </w:t>
      </w:r>
    </w:p>
    <w:p w14:paraId="7BA75AC6">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法定代表人（单位负责人）或其委托代理人：</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（签字）</w:t>
      </w:r>
    </w:p>
    <w:p w14:paraId="5E525CA2">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地    址：</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 </w:t>
      </w:r>
    </w:p>
    <w:p w14:paraId="18B892B0">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邮政编码：</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 </w:t>
      </w:r>
    </w:p>
    <w:p w14:paraId="7BE029A0">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电    话：</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 </w:t>
      </w:r>
    </w:p>
    <w:p w14:paraId="61A9C819">
      <w:pPr>
        <w:widowControl w:val="0"/>
        <w:adjustRightInd w:val="0"/>
        <w:snapToGrid w:val="0"/>
        <w:spacing w:after="0" w:line="490" w:lineRule="exact"/>
        <w:ind w:right="420" w:firstLine="2849" w:firstLineChars="1357"/>
        <w:rPr>
          <w:rFonts w:ascii="Times New Roman" w:hAnsi="Times New Roman" w:eastAsia="宋体" w:cs="宋体"/>
          <w:color w:val="auto"/>
          <w:sz w:val="28"/>
          <w:szCs w:val="28"/>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日</w:t>
      </w:r>
      <w:r>
        <w:rPr>
          <w:rFonts w:hint="eastAsia" w:ascii="Times New Roman" w:hAnsi="Times New Roman" w:eastAsia="宋体" w:cs="宋体"/>
          <w:color w:val="auto"/>
          <w:sz w:val="28"/>
          <w:szCs w:val="28"/>
        </w:rPr>
        <w:t xml:space="preserve"> </w:t>
      </w:r>
    </w:p>
    <w:p w14:paraId="496E535A">
      <w:pPr>
        <w:widowControl w:val="0"/>
        <w:adjustRightInd w:val="0"/>
        <w:snapToGrid w:val="0"/>
        <w:spacing w:after="0" w:line="490" w:lineRule="exact"/>
        <w:ind w:firstLine="562" w:firstLineChars="200"/>
        <w:rPr>
          <w:rFonts w:ascii="Times New Roman" w:hAnsi="Times New Roman" w:eastAsia="宋体" w:cs="宋体"/>
          <w:b/>
          <w:color w:val="auto"/>
          <w:sz w:val="28"/>
          <w:szCs w:val="28"/>
        </w:rPr>
      </w:pPr>
      <w:r>
        <w:rPr>
          <w:rFonts w:hint="eastAsia" w:ascii="Times New Roman" w:hAnsi="Times New Roman" w:eastAsia="宋体" w:cs="宋体"/>
          <w:b/>
          <w:color w:val="auto"/>
          <w:sz w:val="28"/>
          <w:szCs w:val="28"/>
        </w:rPr>
        <w:t xml:space="preserve"> </w:t>
      </w:r>
    </w:p>
    <w:p w14:paraId="28808F98">
      <w:pPr>
        <w:widowControl w:val="0"/>
        <w:adjustRightInd w:val="0"/>
        <w:snapToGrid w:val="0"/>
        <w:spacing w:after="0"/>
        <w:rPr>
          <w:rFonts w:ascii="Times New Roman" w:hAnsi="Times New Roman" w:eastAsia="宋体" w:cs="宋体"/>
          <w:b/>
          <w:color w:val="auto"/>
          <w:sz w:val="44"/>
        </w:rPr>
      </w:pPr>
      <w:r>
        <w:rPr>
          <w:rFonts w:hint="eastAsia" w:ascii="Times New Roman" w:hAnsi="Times New Roman" w:eastAsia="宋体" w:cs="宋体"/>
          <w:b/>
          <w:color w:val="auto"/>
          <w:sz w:val="44"/>
        </w:rPr>
        <w:br w:type="page"/>
      </w:r>
      <w:bookmarkStart w:id="635" w:name="_Toc12921"/>
    </w:p>
    <w:p w14:paraId="67118346">
      <w:pPr>
        <w:widowControl w:val="0"/>
        <w:adjustRightInd w:val="0"/>
        <w:snapToGrid w:val="0"/>
        <w:spacing w:after="0"/>
        <w:rPr>
          <w:rFonts w:ascii="Times New Roman" w:hAnsi="Times New Roman" w:eastAsia="宋体" w:cs="宋体"/>
          <w:b/>
          <w:color w:val="auto"/>
          <w:sz w:val="44"/>
        </w:rPr>
      </w:pPr>
    </w:p>
    <w:p w14:paraId="25E5F218">
      <w:pPr>
        <w:widowControl w:val="0"/>
        <w:adjustRightInd w:val="0"/>
        <w:snapToGrid w:val="0"/>
        <w:spacing w:after="0"/>
        <w:rPr>
          <w:rFonts w:ascii="Times New Roman" w:hAnsi="Times New Roman" w:eastAsia="宋体" w:cs="宋体"/>
          <w:b/>
          <w:color w:val="auto"/>
          <w:sz w:val="44"/>
        </w:rPr>
      </w:pPr>
    </w:p>
    <w:p w14:paraId="01853826">
      <w:pPr>
        <w:widowControl w:val="0"/>
        <w:adjustRightInd w:val="0"/>
        <w:snapToGrid w:val="0"/>
        <w:spacing w:after="0"/>
        <w:rPr>
          <w:rFonts w:ascii="Times New Roman" w:hAnsi="Times New Roman" w:eastAsia="宋体" w:cs="宋体"/>
          <w:b/>
          <w:color w:val="auto"/>
          <w:sz w:val="44"/>
        </w:rPr>
      </w:pPr>
    </w:p>
    <w:p w14:paraId="6EC7AA79">
      <w:pPr>
        <w:widowControl w:val="0"/>
        <w:adjustRightInd w:val="0"/>
        <w:snapToGrid w:val="0"/>
        <w:spacing w:after="0"/>
        <w:rPr>
          <w:rFonts w:ascii="Times New Roman" w:hAnsi="Times New Roman" w:eastAsia="宋体" w:cs="宋体"/>
          <w:b/>
          <w:color w:val="auto"/>
          <w:sz w:val="44"/>
        </w:rPr>
      </w:pPr>
    </w:p>
    <w:p w14:paraId="7CE3C549">
      <w:pPr>
        <w:widowControl w:val="0"/>
        <w:adjustRightInd w:val="0"/>
        <w:snapToGrid w:val="0"/>
        <w:spacing w:after="0"/>
        <w:rPr>
          <w:rFonts w:ascii="Times New Roman" w:hAnsi="Times New Roman" w:eastAsia="宋体" w:cs="宋体"/>
          <w:color w:val="auto"/>
        </w:rPr>
      </w:pPr>
    </w:p>
    <w:p w14:paraId="49148B76">
      <w:pPr>
        <w:widowControl w:val="0"/>
        <w:adjustRightInd w:val="0"/>
        <w:snapToGrid w:val="0"/>
        <w:spacing w:after="0"/>
        <w:rPr>
          <w:rFonts w:ascii="Times New Roman" w:hAnsi="Times New Roman" w:eastAsia="宋体" w:cs="宋体"/>
          <w:color w:val="auto"/>
        </w:rPr>
      </w:pPr>
    </w:p>
    <w:p w14:paraId="34371724">
      <w:pPr>
        <w:pStyle w:val="2"/>
        <w:keepNext w:val="0"/>
        <w:keepLines w:val="0"/>
        <w:widowControl w:val="0"/>
        <w:adjustRightInd w:val="0"/>
        <w:snapToGrid w:val="0"/>
        <w:spacing w:after="0"/>
        <w:ind w:left="0" w:right="0"/>
        <w:rPr>
          <w:rFonts w:ascii="Times New Roman" w:hAnsi="Times New Roman" w:eastAsia="宋体" w:cs="宋体"/>
          <w:b/>
          <w:color w:val="auto"/>
          <w:sz w:val="52"/>
          <w:szCs w:val="52"/>
        </w:rPr>
      </w:pPr>
      <w:bookmarkStart w:id="636" w:name="_Toc3633"/>
      <w:bookmarkStart w:id="637" w:name="_Toc28849"/>
      <w:bookmarkStart w:id="638" w:name="_Toc3289"/>
      <w:bookmarkStart w:id="639" w:name="_Toc7395"/>
      <w:bookmarkStart w:id="640" w:name="_Toc30027"/>
      <w:bookmarkStart w:id="641" w:name="_Toc56792839"/>
      <w:r>
        <w:rPr>
          <w:rFonts w:hint="eastAsia" w:ascii="Times New Roman" w:hAnsi="Times New Roman" w:eastAsia="宋体" w:cs="宋体"/>
          <w:b/>
          <w:color w:val="auto"/>
          <w:sz w:val="52"/>
          <w:szCs w:val="52"/>
        </w:rPr>
        <w:t>第二卷</w:t>
      </w:r>
      <w:bookmarkEnd w:id="635"/>
      <w:bookmarkEnd w:id="636"/>
      <w:bookmarkEnd w:id="637"/>
      <w:bookmarkEnd w:id="638"/>
      <w:bookmarkEnd w:id="639"/>
      <w:bookmarkEnd w:id="640"/>
      <w:bookmarkEnd w:id="641"/>
    </w:p>
    <w:p w14:paraId="407FA1C9">
      <w:pPr>
        <w:widowControl w:val="0"/>
        <w:adjustRightInd w:val="0"/>
        <w:snapToGrid w:val="0"/>
        <w:spacing w:after="0"/>
        <w:jc w:val="right"/>
        <w:rPr>
          <w:rFonts w:ascii="Times New Roman" w:hAnsi="Times New Roman" w:eastAsia="宋体" w:cs="宋体"/>
          <w:color w:val="auto"/>
        </w:rPr>
      </w:pPr>
      <w:r>
        <w:rPr>
          <w:rFonts w:hint="eastAsia" w:ascii="Times New Roman" w:hAnsi="Times New Roman" w:eastAsia="宋体" w:cs="宋体"/>
          <w:b/>
          <w:color w:val="auto"/>
          <w:sz w:val="20"/>
        </w:rPr>
        <w:t xml:space="preserve"> </w:t>
      </w:r>
      <w:r>
        <w:rPr>
          <w:rFonts w:hint="eastAsia" w:ascii="Times New Roman" w:hAnsi="Times New Roman" w:eastAsia="宋体" w:cs="宋体"/>
          <w:color w:val="auto"/>
        </w:rPr>
        <w:br w:type="page"/>
      </w:r>
    </w:p>
    <w:p w14:paraId="7B6E7076">
      <w:bookmarkStart w:id="642" w:name="_Toc30472"/>
      <w:bookmarkStart w:id="643" w:name="_Toc56792840"/>
    </w:p>
    <w:p w14:paraId="56DD53E7"/>
    <w:p w14:paraId="03E8BAA2">
      <w:pPr>
        <w:rPr>
          <w:rFonts w:ascii="Times New Roman" w:hAnsi="Times New Roman" w:eastAsia="宋体" w:cs="宋体"/>
          <w:b/>
          <w:bCs/>
          <w:color w:val="auto"/>
          <w:sz w:val="36"/>
          <w:szCs w:val="28"/>
        </w:rPr>
      </w:pPr>
    </w:p>
    <w:p w14:paraId="124C9A0B"/>
    <w:p w14:paraId="1FBE4C86">
      <w:pPr>
        <w:rPr>
          <w:rFonts w:ascii="Times New Roman" w:hAnsi="Times New Roman" w:eastAsia="宋体" w:cs="宋体"/>
          <w:b/>
          <w:bCs/>
          <w:color w:val="auto"/>
          <w:sz w:val="36"/>
          <w:szCs w:val="28"/>
        </w:rPr>
      </w:pPr>
    </w:p>
    <w:p w14:paraId="628A70D1"/>
    <w:p w14:paraId="7416EE58">
      <w:pPr>
        <w:pStyle w:val="2"/>
        <w:keepNext w:val="0"/>
        <w:keepLines w:val="0"/>
        <w:widowControl w:val="0"/>
        <w:adjustRightInd w:val="0"/>
        <w:snapToGrid w:val="0"/>
        <w:spacing w:after="0" w:line="490" w:lineRule="exact"/>
        <w:ind w:left="0" w:right="0" w:hanging="11"/>
        <w:rPr>
          <w:rFonts w:ascii="Times New Roman" w:hAnsi="Times New Roman" w:eastAsia="宋体" w:cs="宋体"/>
          <w:b/>
          <w:bCs/>
          <w:color w:val="auto"/>
          <w:sz w:val="36"/>
          <w:szCs w:val="28"/>
        </w:rPr>
      </w:pPr>
      <w:bookmarkStart w:id="644" w:name="_Toc8617"/>
      <w:bookmarkStart w:id="645" w:name="_Toc27633"/>
      <w:bookmarkStart w:id="646" w:name="_Toc27805"/>
      <w:bookmarkStart w:id="647" w:name="_Toc973"/>
      <w:bookmarkStart w:id="648" w:name="_Toc13215"/>
      <w:r>
        <w:rPr>
          <w:rFonts w:hint="eastAsia" w:ascii="Times New Roman" w:hAnsi="Times New Roman" w:eastAsia="宋体" w:cs="宋体"/>
          <w:b/>
          <w:bCs/>
          <w:color w:val="auto"/>
          <w:sz w:val="36"/>
          <w:szCs w:val="28"/>
        </w:rPr>
        <w:t>第五章  供货要求</w:t>
      </w:r>
      <w:bookmarkEnd w:id="642"/>
      <w:bookmarkEnd w:id="643"/>
      <w:bookmarkEnd w:id="644"/>
      <w:bookmarkEnd w:id="645"/>
      <w:bookmarkEnd w:id="646"/>
      <w:bookmarkEnd w:id="647"/>
      <w:bookmarkEnd w:id="648"/>
    </w:p>
    <w:p w14:paraId="2EC29FCE">
      <w:pPr>
        <w:widowControl w:val="0"/>
        <w:adjustRightInd w:val="0"/>
        <w:snapToGrid w:val="0"/>
        <w:spacing w:after="0" w:line="490" w:lineRule="exact"/>
        <w:jc w:val="center"/>
        <w:rPr>
          <w:rFonts w:ascii="Times New Roman" w:hAnsi="Times New Roman" w:eastAsia="宋体" w:cs="宋体"/>
          <w:b/>
          <w:bCs/>
          <w:color w:val="auto"/>
          <w:szCs w:val="28"/>
        </w:rPr>
      </w:pPr>
      <w:r>
        <w:rPr>
          <w:rFonts w:hint="eastAsia" w:ascii="Times New Roman" w:hAnsi="Times New Roman" w:eastAsia="宋体" w:cs="宋体"/>
          <w:b/>
          <w:bCs/>
          <w:color w:val="auto"/>
          <w:szCs w:val="28"/>
        </w:rPr>
        <w:br w:type="page"/>
      </w:r>
      <w:r>
        <w:rPr>
          <w:rFonts w:hint="eastAsia" w:ascii="Times New Roman" w:hAnsi="Times New Roman" w:eastAsia="宋体" w:cs="宋体"/>
          <w:b/>
          <w:bCs/>
          <w:color w:val="auto"/>
          <w:sz w:val="28"/>
          <w:szCs w:val="28"/>
        </w:rPr>
        <w:t>供货要求</w:t>
      </w:r>
    </w:p>
    <w:p w14:paraId="7B7962CC">
      <w:pPr>
        <w:widowControl w:val="0"/>
        <w:adjustRightInd w:val="0"/>
        <w:snapToGrid w:val="0"/>
        <w:spacing w:after="0" w:line="480" w:lineRule="exact"/>
        <w:ind w:firstLine="560" w:firstLineChars="200"/>
        <w:jc w:val="both"/>
        <w:rPr>
          <w:color w:val="auto"/>
          <w:sz w:val="28"/>
          <w:szCs w:val="28"/>
        </w:rPr>
      </w:pPr>
      <w:bookmarkStart w:id="649" w:name="_Toc32208"/>
      <w:bookmarkStart w:id="650" w:name="_Toc56792841"/>
      <w:bookmarkStart w:id="651" w:name="_Toc38436737"/>
      <w:bookmarkStart w:id="652" w:name="_Toc20772"/>
      <w:r>
        <w:rPr>
          <w:rFonts w:hint="eastAsia"/>
          <w:color w:val="auto"/>
          <w:sz w:val="28"/>
          <w:szCs w:val="28"/>
        </w:rPr>
        <w:t>一、项目概况及总体要求</w:t>
      </w:r>
      <w:bookmarkEnd w:id="649"/>
      <w:bookmarkEnd w:id="650"/>
      <w:bookmarkEnd w:id="651"/>
      <w:bookmarkEnd w:id="652"/>
      <w:r>
        <w:rPr>
          <w:color w:val="auto"/>
          <w:sz w:val="28"/>
          <w:szCs w:val="28"/>
        </w:rPr>
        <w:t xml:space="preserve"> </w:t>
      </w:r>
      <w:bookmarkStart w:id="653" w:name="_Toc18295"/>
      <w:bookmarkStart w:id="654" w:name="_Toc29690"/>
      <w:bookmarkStart w:id="655" w:name="_Toc19701"/>
      <w:bookmarkStart w:id="656" w:name="_Toc2945"/>
    </w:p>
    <w:bookmarkEnd w:id="653"/>
    <w:bookmarkEnd w:id="654"/>
    <w:bookmarkEnd w:id="655"/>
    <w:bookmarkEnd w:id="656"/>
    <w:p w14:paraId="7AD01874">
      <w:pPr>
        <w:widowControl w:val="0"/>
        <w:adjustRightInd w:val="0"/>
        <w:snapToGrid w:val="0"/>
        <w:spacing w:after="0" w:line="480" w:lineRule="exact"/>
        <w:ind w:firstLine="560" w:firstLineChars="200"/>
        <w:jc w:val="both"/>
        <w:rPr>
          <w:color w:val="auto"/>
          <w:sz w:val="28"/>
          <w:szCs w:val="28"/>
        </w:rPr>
      </w:pPr>
      <w:bookmarkStart w:id="657" w:name="_Toc16758"/>
      <w:bookmarkStart w:id="658" w:name="_Toc27498"/>
      <w:bookmarkStart w:id="659" w:name="_Toc14243"/>
      <w:bookmarkStart w:id="660" w:name="_Toc38436738"/>
      <w:bookmarkStart w:id="661" w:name="_Toc18061"/>
      <w:bookmarkStart w:id="662" w:name="_Toc56792842"/>
      <w:bookmarkStart w:id="663" w:name="_Toc23873"/>
      <w:r>
        <w:rPr>
          <w:rFonts w:hint="eastAsia"/>
          <w:color w:val="auto"/>
          <w:sz w:val="28"/>
          <w:szCs w:val="28"/>
        </w:rPr>
        <w:t>工程涉及</w:t>
      </w:r>
      <w:r>
        <w:rPr>
          <w:rFonts w:hint="eastAsia" w:eastAsia="宋体"/>
          <w:color w:val="auto"/>
          <w:sz w:val="28"/>
          <w:szCs w:val="28"/>
        </w:rPr>
        <w:t>大石桥市西部农村供水工程（一期）</w:t>
      </w:r>
      <w:r>
        <w:rPr>
          <w:rFonts w:hint="eastAsia"/>
          <w:color w:val="auto"/>
          <w:sz w:val="28"/>
          <w:szCs w:val="28"/>
        </w:rPr>
        <w:t>涉及5个镇89个行政村，设计供水用户65780户，受益总人口197348人。设计供水规模15824.46m3/d，工程类型为Ⅰ型供水工程。主要建设内容：输水管道、净水厂、配水管网及配套设施，中途加压泵站，61个村内蓄水池及加压泵站，25个村村内及入户管线改造，自控与信息化设施及NB-IOT远控物联网水表安装。</w:t>
      </w:r>
    </w:p>
    <w:p w14:paraId="1C470D28">
      <w:pPr>
        <w:widowControl w:val="0"/>
        <w:adjustRightInd w:val="0"/>
        <w:snapToGrid w:val="0"/>
        <w:spacing w:after="0" w:line="480" w:lineRule="exact"/>
        <w:ind w:firstLine="560" w:firstLineChars="200"/>
        <w:jc w:val="both"/>
        <w:rPr>
          <w:color w:val="auto"/>
          <w:sz w:val="28"/>
          <w:szCs w:val="28"/>
        </w:rPr>
      </w:pPr>
      <w:r>
        <w:rPr>
          <w:rFonts w:hint="eastAsia"/>
          <w:color w:val="auto"/>
          <w:sz w:val="28"/>
          <w:szCs w:val="28"/>
        </w:rPr>
        <w:t>第一标段</w:t>
      </w:r>
    </w:p>
    <w:p w14:paraId="6CD08A79">
      <w:pPr>
        <w:widowControl w:val="0"/>
        <w:adjustRightInd w:val="0"/>
        <w:snapToGrid w:val="0"/>
        <w:spacing w:after="0" w:line="480" w:lineRule="exact"/>
        <w:ind w:firstLine="560" w:firstLineChars="200"/>
        <w:jc w:val="both"/>
        <w:rPr>
          <w:color w:val="auto"/>
          <w:sz w:val="28"/>
          <w:szCs w:val="28"/>
        </w:rPr>
      </w:pPr>
      <w:r>
        <w:rPr>
          <w:rFonts w:hint="eastAsia"/>
          <w:color w:val="auto"/>
          <w:sz w:val="28"/>
          <w:szCs w:val="28"/>
        </w:rPr>
        <w:t>主要采购内容：</w:t>
      </w:r>
      <w:r>
        <w:rPr>
          <w:rFonts w:hint="eastAsia" w:ascii="Times New Roman" w:hAnsi="Times New Roman" w:eastAsia="宋体" w:cs="宋体"/>
          <w:color w:val="auto"/>
          <w:sz w:val="28"/>
          <w:szCs w:val="28"/>
          <w:highlight w:val="yellow"/>
          <w:u w:val="single"/>
        </w:rPr>
        <w:t>村内配电柜等机电设备采购及安装</w:t>
      </w:r>
      <w:r>
        <w:rPr>
          <w:rFonts w:hint="eastAsia"/>
          <w:color w:val="auto"/>
          <w:sz w:val="28"/>
          <w:szCs w:val="28"/>
        </w:rPr>
        <w:t>。</w:t>
      </w:r>
    </w:p>
    <w:p w14:paraId="175D471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color w:val="auto"/>
          <w:sz w:val="28"/>
          <w:szCs w:val="28"/>
        </w:rPr>
        <w:t>二、设备需求</w:t>
      </w:r>
      <w:bookmarkEnd w:id="657"/>
      <w:bookmarkEnd w:id="658"/>
      <w:bookmarkEnd w:id="659"/>
      <w:bookmarkEnd w:id="660"/>
      <w:bookmarkEnd w:id="661"/>
      <w:bookmarkEnd w:id="662"/>
      <w:bookmarkEnd w:id="663"/>
      <w:bookmarkStart w:id="664" w:name="_Toc56792843"/>
      <w:bookmarkStart w:id="665" w:name="_Toc38436739"/>
      <w:bookmarkStart w:id="666" w:name="_Toc760"/>
      <w:bookmarkStart w:id="667" w:name="_Toc556"/>
      <w:r>
        <w:rPr>
          <w:rFonts w:hint="eastAsia" w:eastAsia="宋体"/>
          <w:color w:val="auto"/>
          <w:sz w:val="28"/>
          <w:szCs w:val="28"/>
        </w:rPr>
        <w:t>及</w:t>
      </w:r>
      <w:r>
        <w:rPr>
          <w:rFonts w:hint="eastAsia" w:ascii="Times New Roman" w:hAnsi="Times New Roman" w:eastAsia="宋体" w:cs="宋体"/>
          <w:color w:val="auto"/>
          <w:sz w:val="28"/>
          <w:szCs w:val="24"/>
        </w:rPr>
        <w:t>技术性能指标</w:t>
      </w:r>
      <w:bookmarkEnd w:id="664"/>
      <w:bookmarkEnd w:id="665"/>
      <w:bookmarkEnd w:id="666"/>
      <w:bookmarkEnd w:id="667"/>
    </w:p>
    <w:p w14:paraId="707CC5AB">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bookmarkStart w:id="668" w:name="_Toc38436740"/>
      <w:bookmarkStart w:id="669" w:name="_Toc10396"/>
      <w:bookmarkStart w:id="670" w:name="_Toc25389"/>
      <w:bookmarkStart w:id="671" w:name="_Toc20326"/>
      <w:bookmarkStart w:id="672" w:name="_Toc16215"/>
      <w:bookmarkStart w:id="673" w:name="_Toc16407"/>
      <w:bookmarkStart w:id="674" w:name="_Toc56792845"/>
      <w:r>
        <w:rPr>
          <w:rFonts w:hint="eastAsia" w:ascii="Times New Roman" w:hAnsi="Times New Roman" w:eastAsia="宋体" w:cs="宋体"/>
          <w:color w:val="auto"/>
          <w:sz w:val="28"/>
          <w:szCs w:val="24"/>
        </w:rPr>
        <w:t>详见招标文件附件。</w:t>
      </w:r>
    </w:p>
    <w:p w14:paraId="7DB8378A">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ascii="Times New Roman" w:hAnsi="Times New Roman" w:eastAsia="宋体" w:cs="宋体"/>
          <w:color w:val="auto"/>
          <w:sz w:val="28"/>
          <w:szCs w:val="24"/>
        </w:rPr>
        <w:t>四、检验考核要求</w:t>
      </w:r>
      <w:bookmarkEnd w:id="668"/>
      <w:bookmarkEnd w:id="669"/>
      <w:bookmarkEnd w:id="670"/>
      <w:bookmarkEnd w:id="671"/>
      <w:bookmarkEnd w:id="672"/>
      <w:bookmarkEnd w:id="673"/>
      <w:bookmarkEnd w:id="674"/>
    </w:p>
    <w:p w14:paraId="1F37A43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ascii="Times New Roman" w:hAnsi="Times New Roman" w:eastAsia="宋体" w:cs="宋体"/>
          <w:color w:val="auto"/>
          <w:sz w:val="28"/>
          <w:szCs w:val="24"/>
        </w:rPr>
        <w:t>投标人应使用格式“八、投标设备技术性能指标的详细描述”对本标段采购的工程设备技术参数进行响应，并于格式“九、技术支持资料”提供相关佐证材料。</w:t>
      </w:r>
    </w:p>
    <w:p w14:paraId="34A4A2C9">
      <w:pPr>
        <w:widowControl w:val="0"/>
        <w:adjustRightInd w:val="0"/>
        <w:snapToGrid w:val="0"/>
        <w:spacing w:after="0" w:line="480" w:lineRule="exact"/>
        <w:ind w:firstLine="560" w:firstLineChars="200"/>
        <w:jc w:val="both"/>
        <w:rPr>
          <w:rFonts w:ascii="Times New Roman" w:hAnsi="Times New Roman" w:eastAsia="宋体" w:cs="宋体"/>
          <w:color w:val="auto"/>
          <w:szCs w:val="21"/>
        </w:rPr>
      </w:pPr>
      <w:bookmarkStart w:id="675" w:name="_Toc21625"/>
      <w:bookmarkStart w:id="676" w:name="_Toc56792847"/>
      <w:bookmarkStart w:id="677" w:name="_Toc38436741"/>
      <w:bookmarkStart w:id="678" w:name="_Toc10253"/>
      <w:bookmarkStart w:id="679" w:name="_Toc31842"/>
      <w:bookmarkStart w:id="680" w:name="_Toc1888"/>
      <w:bookmarkStart w:id="681" w:name="_Toc15730"/>
      <w:r>
        <w:rPr>
          <w:rFonts w:hint="eastAsia" w:ascii="Times New Roman" w:hAnsi="Times New Roman" w:eastAsia="宋体" w:cs="宋体"/>
          <w:color w:val="auto"/>
          <w:sz w:val="28"/>
          <w:szCs w:val="24"/>
        </w:rPr>
        <w:t>五、</w:t>
      </w:r>
      <w:bookmarkEnd w:id="675"/>
      <w:bookmarkEnd w:id="676"/>
      <w:bookmarkEnd w:id="677"/>
      <w:r>
        <w:rPr>
          <w:rFonts w:hint="eastAsia" w:ascii="Times New Roman" w:hAnsi="Times New Roman" w:eastAsia="宋体" w:cs="宋体"/>
          <w:color w:val="auto"/>
          <w:sz w:val="28"/>
          <w:szCs w:val="24"/>
        </w:rPr>
        <w:t>技术服务和质保期服务要求</w:t>
      </w:r>
      <w:bookmarkEnd w:id="678"/>
      <w:bookmarkEnd w:id="679"/>
      <w:bookmarkEnd w:id="680"/>
      <w:bookmarkEnd w:id="681"/>
      <w:r>
        <w:rPr>
          <w:rFonts w:hint="eastAsia" w:ascii="Times New Roman" w:hAnsi="Times New Roman" w:eastAsia="宋体" w:cs="宋体"/>
          <w:color w:val="auto"/>
          <w:sz w:val="28"/>
          <w:szCs w:val="24"/>
        </w:rPr>
        <w:t xml:space="preserve"> </w:t>
      </w:r>
    </w:p>
    <w:p w14:paraId="2B05BEB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ascii="Times New Roman" w:hAnsi="Times New Roman" w:eastAsia="宋体" w:cs="宋体"/>
          <w:color w:val="auto"/>
          <w:sz w:val="28"/>
          <w:szCs w:val="24"/>
        </w:rPr>
        <w:t>按照招标人要求。</w:t>
      </w:r>
    </w:p>
    <w:p w14:paraId="1671D663">
      <w:pPr>
        <w:widowControl w:val="0"/>
        <w:adjustRightInd w:val="0"/>
        <w:snapToGrid w:val="0"/>
        <w:spacing w:after="0" w:line="490" w:lineRule="exact"/>
        <w:ind w:firstLine="422" w:firstLineChars="200"/>
        <w:jc w:val="both"/>
        <w:rPr>
          <w:rFonts w:ascii="Times New Roman" w:hAnsi="Times New Roman" w:eastAsia="宋体" w:cs="宋体"/>
          <w:b/>
          <w:bCs/>
          <w:color w:val="auto"/>
          <w:sz w:val="21"/>
          <w:szCs w:val="21"/>
        </w:rPr>
      </w:pPr>
    </w:p>
    <w:p w14:paraId="283A4306">
      <w:pPr>
        <w:widowControl w:val="0"/>
        <w:adjustRightInd w:val="0"/>
        <w:snapToGrid w:val="0"/>
        <w:spacing w:after="0" w:line="490" w:lineRule="exact"/>
        <w:ind w:firstLine="422" w:firstLineChars="200"/>
        <w:jc w:val="both"/>
        <w:rPr>
          <w:rFonts w:ascii="Times New Roman" w:hAnsi="Times New Roman" w:eastAsia="宋体" w:cs="宋体"/>
          <w:b/>
          <w:bCs/>
          <w:color w:val="auto"/>
          <w:sz w:val="21"/>
          <w:szCs w:val="21"/>
        </w:rPr>
      </w:pPr>
    </w:p>
    <w:p w14:paraId="5E29F35A">
      <w:pPr>
        <w:widowControl w:val="0"/>
        <w:adjustRightInd w:val="0"/>
        <w:snapToGrid w:val="0"/>
        <w:spacing w:after="0" w:line="490" w:lineRule="exact"/>
        <w:ind w:firstLine="422" w:firstLineChars="200"/>
        <w:jc w:val="both"/>
        <w:rPr>
          <w:rFonts w:ascii="Times New Roman" w:hAnsi="Times New Roman" w:eastAsia="宋体" w:cs="宋体"/>
          <w:b/>
          <w:bCs/>
          <w:color w:val="auto"/>
          <w:sz w:val="21"/>
          <w:szCs w:val="21"/>
        </w:rPr>
      </w:pPr>
    </w:p>
    <w:p w14:paraId="0A69AA0D">
      <w:pPr>
        <w:widowControl w:val="0"/>
        <w:adjustRightInd w:val="0"/>
        <w:snapToGrid w:val="0"/>
        <w:spacing w:after="0"/>
        <w:rPr>
          <w:rFonts w:ascii="Times New Roman" w:hAnsi="Times New Roman" w:eastAsia="宋体" w:cs="宋体"/>
          <w:color w:val="auto"/>
          <w:sz w:val="21"/>
        </w:rPr>
      </w:pPr>
    </w:p>
    <w:p w14:paraId="12AD6CD9">
      <w:pPr>
        <w:widowControl w:val="0"/>
        <w:adjustRightInd w:val="0"/>
        <w:snapToGrid w:val="0"/>
        <w:spacing w:after="0"/>
        <w:rPr>
          <w:rFonts w:ascii="Times New Roman" w:hAnsi="Times New Roman" w:eastAsia="宋体" w:cs="宋体"/>
          <w:b/>
          <w:color w:val="auto"/>
          <w:sz w:val="44"/>
        </w:rPr>
      </w:pPr>
      <w:r>
        <w:rPr>
          <w:rFonts w:hint="eastAsia" w:ascii="Times New Roman" w:hAnsi="Times New Roman" w:eastAsia="宋体" w:cs="宋体"/>
          <w:color w:val="auto"/>
          <w:sz w:val="21"/>
        </w:rPr>
        <w:t xml:space="preserve"> </w:t>
      </w:r>
      <w:r>
        <w:rPr>
          <w:rFonts w:hint="eastAsia" w:ascii="Times New Roman" w:hAnsi="Times New Roman" w:eastAsia="宋体" w:cs="宋体"/>
          <w:color w:val="auto"/>
        </w:rPr>
        <w:br w:type="page"/>
      </w:r>
    </w:p>
    <w:p w14:paraId="2235762F">
      <w:pPr>
        <w:widowControl w:val="0"/>
        <w:adjustRightInd w:val="0"/>
        <w:snapToGrid w:val="0"/>
        <w:spacing w:after="0"/>
        <w:rPr>
          <w:rFonts w:ascii="Times New Roman" w:hAnsi="Times New Roman" w:eastAsia="宋体" w:cs="宋体"/>
          <w:b/>
          <w:color w:val="auto"/>
          <w:sz w:val="44"/>
        </w:rPr>
      </w:pPr>
    </w:p>
    <w:p w14:paraId="7803A923">
      <w:pPr>
        <w:widowControl w:val="0"/>
        <w:adjustRightInd w:val="0"/>
        <w:snapToGrid w:val="0"/>
        <w:spacing w:after="0"/>
        <w:rPr>
          <w:rFonts w:ascii="Times New Roman" w:hAnsi="Times New Roman" w:eastAsia="宋体" w:cs="宋体"/>
          <w:b/>
          <w:color w:val="auto"/>
          <w:sz w:val="44"/>
        </w:rPr>
      </w:pPr>
    </w:p>
    <w:p w14:paraId="3F7C892B">
      <w:pPr>
        <w:widowControl w:val="0"/>
        <w:adjustRightInd w:val="0"/>
        <w:snapToGrid w:val="0"/>
        <w:spacing w:after="0"/>
        <w:rPr>
          <w:rFonts w:ascii="Times New Roman" w:hAnsi="Times New Roman" w:eastAsia="宋体" w:cs="宋体"/>
          <w:b/>
          <w:color w:val="auto"/>
          <w:sz w:val="44"/>
        </w:rPr>
      </w:pPr>
    </w:p>
    <w:p w14:paraId="27A70E5D">
      <w:pPr>
        <w:widowControl w:val="0"/>
        <w:adjustRightInd w:val="0"/>
        <w:snapToGrid w:val="0"/>
        <w:spacing w:after="0"/>
        <w:rPr>
          <w:rFonts w:ascii="Times New Roman" w:hAnsi="Times New Roman" w:eastAsia="宋体" w:cs="宋体"/>
          <w:b/>
          <w:color w:val="auto"/>
          <w:sz w:val="44"/>
        </w:rPr>
      </w:pPr>
    </w:p>
    <w:p w14:paraId="4EDED429">
      <w:pPr>
        <w:pStyle w:val="2"/>
        <w:keepNext w:val="0"/>
        <w:keepLines w:val="0"/>
        <w:widowControl w:val="0"/>
        <w:adjustRightInd w:val="0"/>
        <w:snapToGrid w:val="0"/>
        <w:spacing w:after="0"/>
        <w:ind w:left="0" w:right="0"/>
        <w:rPr>
          <w:rFonts w:ascii="Times New Roman" w:hAnsi="Times New Roman" w:eastAsia="宋体" w:cs="宋体"/>
          <w:b/>
          <w:color w:val="auto"/>
          <w:sz w:val="52"/>
          <w:szCs w:val="52"/>
        </w:rPr>
      </w:pPr>
      <w:bookmarkStart w:id="682" w:name="_Toc15447"/>
      <w:bookmarkStart w:id="683" w:name="_Toc2114"/>
      <w:bookmarkStart w:id="684" w:name="_Toc24080"/>
      <w:bookmarkStart w:id="685" w:name="_Toc14835"/>
      <w:bookmarkStart w:id="686" w:name="_Toc5492"/>
      <w:bookmarkStart w:id="687" w:name="_Toc5802"/>
      <w:bookmarkStart w:id="688" w:name="_Toc56792848"/>
      <w:r>
        <w:rPr>
          <w:rFonts w:hint="eastAsia" w:ascii="Times New Roman" w:hAnsi="Times New Roman" w:eastAsia="宋体" w:cs="宋体"/>
          <w:b/>
          <w:color w:val="auto"/>
          <w:sz w:val="52"/>
          <w:szCs w:val="52"/>
        </w:rPr>
        <w:t>第三卷</w:t>
      </w:r>
      <w:bookmarkEnd w:id="682"/>
      <w:bookmarkEnd w:id="683"/>
      <w:bookmarkEnd w:id="684"/>
      <w:bookmarkEnd w:id="685"/>
      <w:bookmarkEnd w:id="686"/>
      <w:bookmarkEnd w:id="687"/>
      <w:bookmarkEnd w:id="688"/>
    </w:p>
    <w:p w14:paraId="557E0295">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5E35F83A">
      <w:pPr>
        <w:widowControl w:val="0"/>
        <w:adjustRightInd w:val="0"/>
        <w:snapToGrid w:val="0"/>
        <w:spacing w:after="0"/>
        <w:jc w:val="right"/>
        <w:rPr>
          <w:rFonts w:ascii="Times New Roman" w:hAnsi="Times New Roman" w:eastAsia="宋体" w:cs="宋体"/>
          <w:color w:val="auto"/>
        </w:rPr>
      </w:pPr>
      <w:r>
        <w:rPr>
          <w:rFonts w:hint="eastAsia" w:ascii="Times New Roman" w:hAnsi="Times New Roman" w:eastAsia="宋体" w:cs="宋体"/>
          <w:color w:val="auto"/>
          <w:sz w:val="21"/>
        </w:rPr>
        <w:t xml:space="preserve"> </w:t>
      </w:r>
      <w:r>
        <w:rPr>
          <w:rFonts w:hint="eastAsia" w:ascii="Times New Roman" w:hAnsi="Times New Roman" w:eastAsia="宋体" w:cs="宋体"/>
          <w:color w:val="auto"/>
          <w:sz w:val="21"/>
        </w:rPr>
        <w:tab/>
      </w:r>
      <w:r>
        <w:rPr>
          <w:rFonts w:hint="eastAsia" w:ascii="Times New Roman" w:hAnsi="Times New Roman" w:eastAsia="宋体" w:cs="宋体"/>
          <w:color w:val="auto"/>
          <w:sz w:val="21"/>
        </w:rPr>
        <w:t xml:space="preserve"> </w:t>
      </w:r>
      <w:r>
        <w:rPr>
          <w:rFonts w:hint="eastAsia" w:ascii="Times New Roman" w:hAnsi="Times New Roman" w:eastAsia="宋体" w:cs="宋体"/>
          <w:color w:val="auto"/>
        </w:rPr>
        <w:br w:type="page"/>
      </w:r>
    </w:p>
    <w:p w14:paraId="5780AAB3"/>
    <w:p w14:paraId="7E2188DD">
      <w:pPr>
        <w:rPr>
          <w:rFonts w:ascii="Times New Roman" w:hAnsi="Times New Roman" w:eastAsia="宋体" w:cs="宋体"/>
          <w:color w:val="auto"/>
        </w:rPr>
      </w:pPr>
    </w:p>
    <w:p w14:paraId="678C7F71"/>
    <w:p w14:paraId="14020751">
      <w:pPr>
        <w:rPr>
          <w:rFonts w:ascii="Times New Roman" w:hAnsi="Times New Roman" w:eastAsia="宋体" w:cs="宋体"/>
          <w:color w:val="auto"/>
        </w:rPr>
      </w:pPr>
    </w:p>
    <w:p w14:paraId="2CDF6C2B"/>
    <w:p w14:paraId="12457AE0">
      <w:pPr>
        <w:rPr>
          <w:rFonts w:ascii="Times New Roman" w:hAnsi="Times New Roman" w:eastAsia="宋体" w:cs="宋体"/>
          <w:color w:val="auto"/>
        </w:rPr>
      </w:pPr>
    </w:p>
    <w:p w14:paraId="0E87A145">
      <w:pPr>
        <w:widowControl w:val="0"/>
        <w:adjustRightInd w:val="0"/>
        <w:snapToGrid w:val="0"/>
        <w:spacing w:after="0"/>
        <w:jc w:val="right"/>
        <w:rPr>
          <w:rFonts w:ascii="Times New Roman" w:hAnsi="Times New Roman" w:eastAsia="宋体" w:cs="宋体"/>
          <w:color w:val="auto"/>
        </w:rPr>
      </w:pPr>
    </w:p>
    <w:p w14:paraId="044288E5">
      <w:pPr>
        <w:pStyle w:val="2"/>
        <w:keepNext w:val="0"/>
        <w:keepLines w:val="0"/>
        <w:widowControl w:val="0"/>
        <w:adjustRightInd w:val="0"/>
        <w:snapToGrid w:val="0"/>
        <w:spacing w:after="0" w:line="240" w:lineRule="auto"/>
        <w:ind w:left="0" w:right="0" w:firstLine="0"/>
        <w:rPr>
          <w:rFonts w:ascii="Times New Roman" w:hAnsi="Times New Roman" w:eastAsia="宋体" w:cs="宋体"/>
          <w:b/>
          <w:bCs/>
          <w:color w:val="auto"/>
          <w:sz w:val="44"/>
          <w:szCs w:val="28"/>
        </w:rPr>
      </w:pPr>
      <w:bookmarkStart w:id="689" w:name="_Toc724"/>
      <w:bookmarkStart w:id="690" w:name="_Toc29646"/>
      <w:bookmarkStart w:id="691" w:name="_Toc19272"/>
      <w:bookmarkStart w:id="692" w:name="_Toc56792849"/>
      <w:bookmarkStart w:id="693" w:name="_Toc10655"/>
      <w:bookmarkStart w:id="694" w:name="_Toc29693"/>
      <w:bookmarkStart w:id="695" w:name="_Toc21285"/>
      <w:r>
        <w:rPr>
          <w:rFonts w:hint="eastAsia" w:ascii="Times New Roman" w:hAnsi="Times New Roman" w:eastAsia="宋体" w:cs="宋体"/>
          <w:b/>
          <w:bCs/>
          <w:color w:val="auto"/>
          <w:sz w:val="44"/>
          <w:szCs w:val="28"/>
        </w:rPr>
        <w:t>第六章  投标文件格式</w:t>
      </w:r>
      <w:bookmarkEnd w:id="689"/>
      <w:bookmarkEnd w:id="690"/>
      <w:bookmarkEnd w:id="691"/>
      <w:bookmarkEnd w:id="692"/>
      <w:bookmarkEnd w:id="693"/>
      <w:bookmarkEnd w:id="694"/>
      <w:bookmarkEnd w:id="695"/>
    </w:p>
    <w:p w14:paraId="078A6ED8">
      <w:pPr>
        <w:rPr>
          <w:rFonts w:ascii="Times New Roman" w:hAnsi="Times New Roman" w:eastAsia="宋体" w:cs="宋体"/>
          <w:b/>
          <w:bCs/>
          <w:color w:val="auto"/>
          <w:sz w:val="44"/>
          <w:szCs w:val="28"/>
        </w:rPr>
      </w:pPr>
      <w:r>
        <w:rPr>
          <w:rFonts w:hint="eastAsia" w:ascii="Times New Roman" w:hAnsi="Times New Roman" w:eastAsia="宋体" w:cs="宋体"/>
          <w:b/>
          <w:bCs/>
          <w:color w:val="auto"/>
          <w:sz w:val="44"/>
          <w:szCs w:val="28"/>
        </w:rPr>
        <w:br w:type="page"/>
      </w:r>
      <w:r>
        <w:rPr>
          <w:rFonts w:hint="eastAsia" w:ascii="Times New Roman" w:hAnsi="Times New Roman" w:eastAsia="宋体" w:cs="宋体"/>
          <w:b/>
          <w:bCs/>
          <w:color w:val="auto"/>
          <w:sz w:val="44"/>
          <w:szCs w:val="28"/>
        </w:rPr>
        <w:t xml:space="preserve"> </w:t>
      </w:r>
    </w:p>
    <w:p w14:paraId="64CB0A0A">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5C4D1CF7">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155D08D3">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2D283901">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7B1FB799">
      <w:pPr>
        <w:pStyle w:val="7"/>
        <w:ind w:left="440"/>
        <w:jc w:val="center"/>
        <w:rPr>
          <w:sz w:val="32"/>
          <w:szCs w:val="32"/>
        </w:rPr>
      </w:pPr>
      <w:r>
        <w:rPr>
          <w:sz w:val="32"/>
          <w:szCs w:val="32"/>
          <w:u w:val="single"/>
        </w:rPr>
        <w:t xml:space="preserve">     </w:t>
      </w:r>
      <w:r>
        <w:rPr>
          <w:rFonts w:hint="eastAsia"/>
          <w:sz w:val="32"/>
          <w:szCs w:val="32"/>
          <w:u w:val="single"/>
        </w:rPr>
        <w:t xml:space="preserve">               </w:t>
      </w:r>
      <w:r>
        <w:rPr>
          <w:sz w:val="32"/>
          <w:szCs w:val="32"/>
          <w:u w:val="single"/>
        </w:rPr>
        <w:t xml:space="preserve">        </w:t>
      </w:r>
      <w:r>
        <w:rPr>
          <w:kern w:val="0"/>
          <w:sz w:val="32"/>
          <w:szCs w:val="32"/>
        </w:rPr>
        <w:t>（项目名称</w:t>
      </w:r>
      <w:r>
        <w:rPr>
          <w:sz w:val="32"/>
          <w:szCs w:val="32"/>
        </w:rPr>
        <w:t>）</w:t>
      </w:r>
      <w:r>
        <w:rPr>
          <w:sz w:val="32"/>
          <w:szCs w:val="32"/>
          <w:u w:val="single"/>
        </w:rPr>
        <w:t xml:space="preserve">     </w:t>
      </w:r>
      <w:r>
        <w:rPr>
          <w:rFonts w:hint="eastAsia"/>
          <w:sz w:val="32"/>
          <w:szCs w:val="32"/>
          <w:u w:val="single"/>
        </w:rPr>
        <w:t xml:space="preserve">             </w:t>
      </w:r>
      <w:r>
        <w:rPr>
          <w:sz w:val="32"/>
          <w:szCs w:val="32"/>
          <w:u w:val="single"/>
        </w:rPr>
        <w:t xml:space="preserve">    </w:t>
      </w:r>
      <w:r>
        <w:rPr>
          <w:sz w:val="32"/>
          <w:szCs w:val="32"/>
        </w:rPr>
        <w:t>（标段名称）</w:t>
      </w:r>
    </w:p>
    <w:p w14:paraId="0AD3596D">
      <w:pPr>
        <w:widowControl w:val="0"/>
        <w:adjustRightInd w:val="0"/>
        <w:snapToGrid w:val="0"/>
        <w:spacing w:after="0"/>
        <w:rPr>
          <w:rFonts w:ascii="Times New Roman" w:hAnsi="Times New Roman" w:eastAsia="宋体" w:cs="宋体"/>
          <w:color w:val="auto"/>
          <w:sz w:val="20"/>
        </w:rPr>
      </w:pPr>
      <w:r>
        <w:rPr>
          <w:rFonts w:hint="eastAsia" w:ascii="Times New Roman" w:hAnsi="Times New Roman" w:eastAsia="宋体" w:cs="宋体"/>
          <w:color w:val="auto"/>
          <w:sz w:val="20"/>
        </w:rPr>
        <w:t xml:space="preserve"> </w:t>
      </w:r>
    </w:p>
    <w:p w14:paraId="691A735A"/>
    <w:p w14:paraId="36C82BD9">
      <w:pPr>
        <w:rPr>
          <w:color w:val="auto"/>
        </w:rPr>
      </w:pPr>
    </w:p>
    <w:p w14:paraId="3846E9BE">
      <w:pPr>
        <w:widowControl w:val="0"/>
        <w:adjustRightInd w:val="0"/>
        <w:snapToGrid w:val="0"/>
        <w:spacing w:after="0"/>
        <w:rPr>
          <w:rFonts w:ascii="Times New Roman" w:hAnsi="Times New Roman" w:eastAsia="宋体" w:cs="宋体"/>
          <w:color w:val="auto"/>
          <w:sz w:val="20"/>
        </w:rPr>
      </w:pPr>
    </w:p>
    <w:p w14:paraId="1381E38F">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0"/>
        </w:rPr>
        <w:t xml:space="preserve"> </w:t>
      </w:r>
    </w:p>
    <w:p w14:paraId="7903AE00">
      <w:pPr>
        <w:widowControl w:val="0"/>
        <w:adjustRightInd w:val="0"/>
        <w:snapToGrid w:val="0"/>
        <w:spacing w:after="0" w:line="219" w:lineRule="auto"/>
        <w:jc w:val="center"/>
        <w:rPr>
          <w:rFonts w:ascii="Times New Roman" w:hAnsi="Times New Roman" w:eastAsia="宋体" w:cs="宋体"/>
          <w:b/>
          <w:bCs/>
          <w:color w:val="auto"/>
          <w:sz w:val="72"/>
          <w:szCs w:val="72"/>
        </w:rPr>
      </w:pPr>
      <w:r>
        <w:rPr>
          <w:rFonts w:hint="eastAsia" w:ascii="Times New Roman" w:hAnsi="Times New Roman" w:eastAsia="宋体" w:cs="宋体"/>
          <w:b/>
          <w:bCs/>
          <w:color w:val="auto"/>
          <w:sz w:val="72"/>
          <w:szCs w:val="72"/>
        </w:rPr>
        <w:t>投  标  文  件</w:t>
      </w:r>
    </w:p>
    <w:p w14:paraId="1D373A07">
      <w:pPr>
        <w:widowControl w:val="0"/>
        <w:adjustRightInd w:val="0"/>
        <w:snapToGrid w:val="0"/>
        <w:spacing w:after="0"/>
        <w:jc w:val="center"/>
        <w:rPr>
          <w:rFonts w:ascii="Times New Roman" w:hAnsi="Times New Roman" w:eastAsia="宋体" w:cs="宋体"/>
          <w:color w:val="auto"/>
        </w:rPr>
      </w:pPr>
      <w:r>
        <w:rPr>
          <w:rFonts w:hint="eastAsia" w:ascii="Times New Roman" w:hAnsi="Times New Roman" w:eastAsia="宋体" w:cs="宋体"/>
          <w:color w:val="auto"/>
          <w:sz w:val="44"/>
        </w:rPr>
        <w:t xml:space="preserve"> </w:t>
      </w:r>
    </w:p>
    <w:p w14:paraId="6AB9D41D">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760B57DD">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2C36B8BD">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4A5A0373">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7A4335FB">
      <w:pPr>
        <w:widowControl w:val="0"/>
        <w:adjustRightInd w:val="0"/>
        <w:snapToGrid w:val="0"/>
        <w:spacing w:after="0"/>
        <w:rPr>
          <w:rFonts w:ascii="Times New Roman" w:hAnsi="Times New Roman" w:eastAsia="宋体" w:cs="宋体"/>
          <w:color w:val="auto"/>
        </w:rPr>
      </w:pPr>
    </w:p>
    <w:p w14:paraId="7F7ACAE7">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24C6EF57">
      <w:pPr>
        <w:widowControl w:val="0"/>
        <w:adjustRightInd w:val="0"/>
        <w:snapToGrid w:val="0"/>
        <w:spacing w:after="0"/>
        <w:rPr>
          <w:rFonts w:ascii="Times New Roman" w:hAnsi="Times New Roman" w:eastAsia="宋体" w:cs="宋体"/>
          <w:color w:val="auto"/>
          <w:sz w:val="28"/>
        </w:rPr>
      </w:pPr>
      <w:r>
        <w:rPr>
          <w:rFonts w:hint="eastAsia" w:ascii="Times New Roman" w:hAnsi="Times New Roman" w:eastAsia="宋体" w:cs="宋体"/>
          <w:color w:val="auto"/>
          <w:sz w:val="28"/>
        </w:rPr>
        <w:t xml:space="preserve"> </w:t>
      </w:r>
    </w:p>
    <w:p w14:paraId="7ED893F9">
      <w:pPr>
        <w:widowControl w:val="0"/>
        <w:adjustRightInd w:val="0"/>
        <w:snapToGrid w:val="0"/>
        <w:spacing w:after="0"/>
        <w:rPr>
          <w:rFonts w:ascii="Times New Roman" w:hAnsi="Times New Roman" w:eastAsia="宋体" w:cs="宋体"/>
          <w:color w:val="auto"/>
          <w:sz w:val="28"/>
        </w:rPr>
      </w:pPr>
    </w:p>
    <w:p w14:paraId="55B1C093">
      <w:pPr>
        <w:widowControl w:val="0"/>
        <w:adjustRightInd w:val="0"/>
        <w:snapToGrid w:val="0"/>
        <w:spacing w:after="0"/>
        <w:rPr>
          <w:rFonts w:ascii="Times New Roman" w:hAnsi="Times New Roman" w:eastAsia="宋体" w:cs="宋体"/>
          <w:color w:val="auto"/>
          <w:sz w:val="28"/>
        </w:rPr>
      </w:pPr>
    </w:p>
    <w:p w14:paraId="1F35B0D4">
      <w:pPr>
        <w:widowControl w:val="0"/>
        <w:adjustRightInd w:val="0"/>
        <w:snapToGrid w:val="0"/>
        <w:spacing w:after="0"/>
        <w:rPr>
          <w:rFonts w:ascii="Times New Roman" w:hAnsi="Times New Roman" w:eastAsia="宋体" w:cs="宋体"/>
          <w:color w:val="auto"/>
          <w:sz w:val="28"/>
        </w:rPr>
      </w:pPr>
    </w:p>
    <w:p w14:paraId="69CD7E4B">
      <w:pPr>
        <w:widowControl w:val="0"/>
        <w:adjustRightInd w:val="0"/>
        <w:snapToGrid w:val="0"/>
        <w:spacing w:after="0"/>
        <w:rPr>
          <w:rFonts w:ascii="Times New Roman" w:hAnsi="Times New Roman" w:eastAsia="宋体" w:cs="宋体"/>
          <w:color w:val="auto"/>
          <w:sz w:val="28"/>
        </w:rPr>
      </w:pPr>
    </w:p>
    <w:p w14:paraId="0B72F5D1">
      <w:pPr>
        <w:widowControl w:val="0"/>
        <w:adjustRightInd w:val="0"/>
        <w:snapToGrid w:val="0"/>
        <w:spacing w:after="0"/>
        <w:rPr>
          <w:rFonts w:ascii="Times New Roman" w:hAnsi="Times New Roman" w:eastAsia="宋体" w:cs="宋体"/>
          <w:color w:val="auto"/>
          <w:sz w:val="28"/>
        </w:rPr>
      </w:pPr>
    </w:p>
    <w:p w14:paraId="544CFBFC">
      <w:pPr>
        <w:widowControl w:val="0"/>
        <w:adjustRightInd w:val="0"/>
        <w:snapToGrid w:val="0"/>
        <w:spacing w:after="0"/>
        <w:rPr>
          <w:rFonts w:ascii="Times New Roman" w:hAnsi="Times New Roman" w:eastAsia="宋体" w:cs="宋体"/>
          <w:color w:val="auto"/>
          <w:sz w:val="28"/>
        </w:rPr>
      </w:pPr>
    </w:p>
    <w:p w14:paraId="286BE111">
      <w:pPr>
        <w:widowControl w:val="0"/>
        <w:adjustRightInd w:val="0"/>
        <w:snapToGrid w:val="0"/>
        <w:spacing w:after="0"/>
        <w:rPr>
          <w:rFonts w:ascii="Times New Roman" w:hAnsi="Times New Roman" w:eastAsia="宋体" w:cs="宋体"/>
          <w:color w:val="auto"/>
        </w:rPr>
      </w:pPr>
    </w:p>
    <w:p w14:paraId="4DA61FF1">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7924476D">
      <w:pPr>
        <w:widowControl w:val="0"/>
        <w:adjustRightInd w:val="0"/>
        <w:snapToGrid w:val="0"/>
        <w:spacing w:after="0"/>
        <w:jc w:val="center"/>
        <w:rPr>
          <w:rFonts w:ascii="Times New Roman" w:hAnsi="Times New Roman" w:eastAsia="宋体" w:cs="宋体"/>
          <w:b/>
          <w:color w:val="auto"/>
          <w:kern w:val="0"/>
          <w:sz w:val="30"/>
          <w:szCs w:val="30"/>
        </w:rPr>
      </w:pPr>
      <w:r>
        <w:rPr>
          <w:rFonts w:hint="eastAsia" w:ascii="Times New Roman" w:hAnsi="Times New Roman" w:eastAsia="宋体" w:cs="宋体"/>
          <w:b/>
          <w:color w:val="auto"/>
          <w:kern w:val="0"/>
          <w:sz w:val="30"/>
          <w:szCs w:val="30"/>
        </w:rPr>
        <w:t xml:space="preserve"> 投  标  人：</w:t>
      </w:r>
      <w:r>
        <w:rPr>
          <w:rFonts w:hint="eastAsia" w:ascii="Times New Roman" w:hAnsi="Times New Roman" w:eastAsia="宋体" w:cs="宋体"/>
          <w:bCs/>
          <w:color w:val="auto"/>
          <w:kern w:val="0"/>
          <w:sz w:val="30"/>
          <w:szCs w:val="30"/>
          <w:u w:val="single"/>
        </w:rPr>
        <w:t xml:space="preserve">                </w:t>
      </w:r>
      <w:r>
        <w:rPr>
          <w:rFonts w:hint="eastAsia" w:ascii="Times New Roman" w:hAnsi="Times New Roman" w:eastAsia="宋体" w:cs="宋体"/>
          <w:b/>
          <w:color w:val="auto"/>
          <w:kern w:val="0"/>
          <w:sz w:val="30"/>
          <w:szCs w:val="30"/>
        </w:rPr>
        <w:t>（单位CA数字证书章）</w:t>
      </w:r>
    </w:p>
    <w:p w14:paraId="7FD5097E">
      <w:pPr>
        <w:widowControl w:val="0"/>
        <w:autoSpaceDE w:val="0"/>
        <w:autoSpaceDN w:val="0"/>
        <w:adjustRightInd w:val="0"/>
        <w:spacing w:after="0" w:line="360" w:lineRule="auto"/>
        <w:ind w:firstLine="1205" w:firstLineChars="400"/>
        <w:jc w:val="both"/>
        <w:rPr>
          <w:rFonts w:ascii="Times New Roman" w:hAnsi="Times New Roman" w:eastAsia="宋体" w:cs="宋体"/>
          <w:b/>
          <w:color w:val="auto"/>
          <w:kern w:val="0"/>
          <w:sz w:val="30"/>
          <w:szCs w:val="30"/>
        </w:rPr>
      </w:pPr>
      <w:r>
        <w:rPr>
          <w:rFonts w:hint="eastAsia" w:ascii="Times New Roman" w:hAnsi="Times New Roman" w:eastAsia="宋体" w:cs="宋体"/>
          <w:b/>
          <w:color w:val="auto"/>
          <w:kern w:val="0"/>
          <w:sz w:val="30"/>
          <w:szCs w:val="30"/>
        </w:rPr>
        <w:t>法定代表人：</w:t>
      </w:r>
      <w:r>
        <w:rPr>
          <w:rFonts w:hint="eastAsia" w:ascii="Times New Roman" w:hAnsi="Times New Roman" w:eastAsia="宋体" w:cs="宋体"/>
          <w:bCs/>
          <w:color w:val="auto"/>
          <w:kern w:val="0"/>
          <w:sz w:val="30"/>
          <w:szCs w:val="30"/>
          <w:u w:val="single"/>
        </w:rPr>
        <w:t xml:space="preserve">                  </w:t>
      </w:r>
      <w:r>
        <w:rPr>
          <w:rFonts w:hint="eastAsia" w:ascii="Times New Roman" w:hAnsi="Times New Roman" w:eastAsia="宋体" w:cs="宋体"/>
          <w:b/>
          <w:color w:val="auto"/>
          <w:kern w:val="0"/>
          <w:sz w:val="30"/>
          <w:szCs w:val="30"/>
        </w:rPr>
        <w:t>（CA数字证书章）</w:t>
      </w:r>
    </w:p>
    <w:p w14:paraId="2ADA325E">
      <w:pPr>
        <w:widowControl w:val="0"/>
        <w:spacing w:after="0" w:line="360" w:lineRule="auto"/>
        <w:ind w:firstLine="1500" w:firstLineChars="500"/>
        <w:jc w:val="both"/>
        <w:rPr>
          <w:rFonts w:ascii="Times New Roman" w:hAnsi="Times New Roman" w:eastAsia="宋体" w:cs="宋体"/>
          <w:bCs/>
          <w:color w:val="auto"/>
          <w:sz w:val="30"/>
          <w:szCs w:val="30"/>
        </w:rPr>
      </w:pPr>
      <w:r>
        <w:rPr>
          <w:rFonts w:hint="eastAsia" w:ascii="Times New Roman" w:hAnsi="Times New Roman" w:eastAsia="宋体" w:cs="宋体"/>
          <w:bCs/>
          <w:color w:val="auto"/>
          <w:sz w:val="30"/>
          <w:szCs w:val="30"/>
        </w:rPr>
        <w:t>时      间：</w:t>
      </w:r>
      <w:r>
        <w:rPr>
          <w:rFonts w:hint="eastAsia" w:ascii="Times New Roman" w:hAnsi="Times New Roman" w:eastAsia="宋体" w:cs="宋体"/>
          <w:bCs/>
          <w:color w:val="auto"/>
          <w:sz w:val="30"/>
          <w:szCs w:val="30"/>
          <w:u w:val="single"/>
        </w:rPr>
        <w:t xml:space="preserve">          </w:t>
      </w:r>
      <w:r>
        <w:rPr>
          <w:rFonts w:hint="eastAsia" w:ascii="Times New Roman" w:hAnsi="Times New Roman" w:eastAsia="宋体" w:cs="宋体"/>
          <w:bCs/>
          <w:color w:val="auto"/>
          <w:sz w:val="30"/>
          <w:szCs w:val="30"/>
        </w:rPr>
        <w:t>年</w:t>
      </w:r>
      <w:r>
        <w:rPr>
          <w:rFonts w:hint="eastAsia" w:ascii="Times New Roman" w:hAnsi="Times New Roman" w:eastAsia="宋体" w:cs="宋体"/>
          <w:bCs/>
          <w:color w:val="auto"/>
          <w:sz w:val="30"/>
          <w:szCs w:val="30"/>
          <w:u w:val="single"/>
        </w:rPr>
        <w:t xml:space="preserve">     </w:t>
      </w:r>
      <w:r>
        <w:rPr>
          <w:rFonts w:hint="eastAsia" w:ascii="Times New Roman" w:hAnsi="Times New Roman" w:eastAsia="宋体" w:cs="宋体"/>
          <w:bCs/>
          <w:color w:val="auto"/>
          <w:sz w:val="30"/>
          <w:szCs w:val="30"/>
        </w:rPr>
        <w:t>月</w:t>
      </w:r>
      <w:r>
        <w:rPr>
          <w:rFonts w:hint="eastAsia" w:ascii="Times New Roman" w:hAnsi="Times New Roman" w:eastAsia="宋体" w:cs="宋体"/>
          <w:bCs/>
          <w:color w:val="auto"/>
          <w:sz w:val="30"/>
          <w:szCs w:val="30"/>
          <w:u w:val="single"/>
        </w:rPr>
        <w:t xml:space="preserve">      </w:t>
      </w:r>
      <w:r>
        <w:rPr>
          <w:rFonts w:hint="eastAsia" w:ascii="Times New Roman" w:hAnsi="Times New Roman" w:eastAsia="宋体" w:cs="宋体"/>
          <w:bCs/>
          <w:color w:val="auto"/>
          <w:sz w:val="30"/>
          <w:szCs w:val="30"/>
        </w:rPr>
        <w:t>日</w:t>
      </w:r>
    </w:p>
    <w:p w14:paraId="0FCB02EA">
      <w:pPr>
        <w:widowControl w:val="0"/>
        <w:spacing w:after="0" w:line="360" w:lineRule="auto"/>
        <w:jc w:val="center"/>
        <w:rPr>
          <w:rFonts w:ascii="Times New Roman" w:hAnsi="Times New Roman" w:eastAsia="宋体" w:cs="宋体"/>
          <w:bCs/>
          <w:color w:val="auto"/>
          <w:sz w:val="30"/>
          <w:szCs w:val="30"/>
        </w:rPr>
      </w:pPr>
    </w:p>
    <w:p w14:paraId="7A3B7869">
      <w:pPr>
        <w:widowControl w:val="0"/>
        <w:adjustRightInd w:val="0"/>
        <w:snapToGrid w:val="0"/>
        <w:spacing w:after="0" w:line="480" w:lineRule="auto"/>
        <w:jc w:val="center"/>
        <w:rPr>
          <w:rFonts w:ascii="Times New Roman" w:hAnsi="Times New Roman" w:eastAsia="宋体" w:cs="宋体"/>
          <w:b/>
          <w:color w:val="auto"/>
          <w:sz w:val="28"/>
        </w:rPr>
      </w:pPr>
      <w:r>
        <w:rPr>
          <w:rFonts w:hint="eastAsia" w:ascii="Times New Roman" w:hAnsi="Times New Roman" w:eastAsia="宋体" w:cs="宋体"/>
          <w:b/>
          <w:color w:val="auto"/>
          <w:sz w:val="36"/>
        </w:rPr>
        <w:t xml:space="preserve"> </w:t>
      </w:r>
    </w:p>
    <w:p w14:paraId="56875731">
      <w:pPr>
        <w:widowControl w:val="0"/>
        <w:tabs>
          <w:tab w:val="center" w:pos="4320"/>
          <w:tab w:val="center" w:pos="8723"/>
        </w:tabs>
        <w:adjustRightInd w:val="0"/>
        <w:snapToGrid w:val="0"/>
        <w:spacing w:after="0" w:line="490" w:lineRule="exact"/>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2128E72B"/>
    <w:p w14:paraId="39391378">
      <w:pPr>
        <w:pStyle w:val="3"/>
        <w:keepNext w:val="0"/>
        <w:keepLines w:val="0"/>
        <w:widowControl w:val="0"/>
        <w:adjustRightInd w:val="0"/>
        <w:snapToGrid w:val="0"/>
        <w:spacing w:line="490" w:lineRule="exact"/>
        <w:ind w:left="0" w:right="0" w:firstLine="0"/>
        <w:jc w:val="center"/>
        <w:rPr>
          <w:rFonts w:ascii="Times New Roman" w:hAnsi="Times New Roman" w:cs="宋体"/>
          <w:b w:val="0"/>
          <w:color w:val="auto"/>
          <w:sz w:val="36"/>
          <w:szCs w:val="28"/>
        </w:rPr>
      </w:pPr>
      <w:bookmarkStart w:id="696" w:name="_Toc26213"/>
      <w:bookmarkStart w:id="697" w:name="_Toc17000"/>
      <w:bookmarkStart w:id="698" w:name="_Toc20692"/>
      <w:bookmarkStart w:id="699" w:name="_Toc30410"/>
      <w:bookmarkStart w:id="700" w:name="_Toc31938"/>
      <w:bookmarkStart w:id="701" w:name="_Toc29822"/>
      <w:bookmarkStart w:id="702" w:name="_Toc40275074"/>
      <w:bookmarkStart w:id="703" w:name="_Toc22082"/>
      <w:bookmarkStart w:id="704" w:name="_Toc56792850"/>
      <w:r>
        <w:rPr>
          <w:rFonts w:hint="eastAsia" w:ascii="Times New Roman" w:hAnsi="Times New Roman" w:cs="宋体"/>
          <w:b w:val="0"/>
          <w:color w:val="auto"/>
          <w:sz w:val="36"/>
          <w:szCs w:val="28"/>
        </w:rPr>
        <w:t>目   录</w:t>
      </w:r>
      <w:bookmarkEnd w:id="696"/>
      <w:bookmarkEnd w:id="697"/>
      <w:bookmarkEnd w:id="698"/>
      <w:bookmarkEnd w:id="699"/>
      <w:bookmarkEnd w:id="700"/>
      <w:bookmarkEnd w:id="701"/>
      <w:bookmarkEnd w:id="702"/>
      <w:bookmarkEnd w:id="703"/>
      <w:bookmarkEnd w:id="704"/>
    </w:p>
    <w:p w14:paraId="5DACBAEF"/>
    <w:p w14:paraId="468C4295">
      <w:pPr>
        <w:spacing w:line="260" w:lineRule="auto"/>
        <w:ind w:firstLine="1100" w:firstLineChars="500"/>
        <w:rPr>
          <w:color w:val="auto"/>
        </w:rPr>
      </w:pPr>
      <w:bookmarkStart w:id="705" w:name="_Toc23796"/>
      <w:bookmarkStart w:id="706" w:name="_Toc30936"/>
      <w:bookmarkStart w:id="707" w:name="_Toc31872"/>
      <w:bookmarkStart w:id="708" w:name="_Toc8847"/>
      <w:bookmarkStart w:id="709" w:name="_Toc18214"/>
      <w:r>
        <w:rPr>
          <w:rFonts w:hint="eastAsia"/>
          <w:color w:val="auto"/>
        </w:rPr>
        <w:t>第一部分：商务部分</w:t>
      </w:r>
    </w:p>
    <w:p w14:paraId="0DE32D37">
      <w:pPr>
        <w:spacing w:line="260" w:lineRule="auto"/>
        <w:ind w:firstLine="1100" w:firstLineChars="500"/>
        <w:rPr>
          <w:color w:val="auto"/>
        </w:rPr>
      </w:pPr>
      <w:r>
        <w:rPr>
          <w:rFonts w:hint="eastAsia"/>
          <w:color w:val="auto"/>
        </w:rPr>
        <w:t>一、投标函</w:t>
      </w:r>
      <w:bookmarkEnd w:id="705"/>
      <w:bookmarkEnd w:id="706"/>
      <w:bookmarkEnd w:id="707"/>
      <w:bookmarkEnd w:id="708"/>
      <w:bookmarkEnd w:id="709"/>
    </w:p>
    <w:p w14:paraId="5F4A5DB6">
      <w:pPr>
        <w:spacing w:line="260" w:lineRule="auto"/>
        <w:ind w:firstLine="1100" w:firstLineChars="500"/>
        <w:rPr>
          <w:color w:val="auto"/>
        </w:rPr>
      </w:pPr>
      <w:bookmarkStart w:id="710" w:name="_Toc15311"/>
      <w:bookmarkStart w:id="711" w:name="_Toc26611"/>
      <w:bookmarkStart w:id="712" w:name="_Toc27095"/>
      <w:bookmarkStart w:id="713" w:name="_Toc20247"/>
      <w:bookmarkStart w:id="714" w:name="_Toc22941"/>
      <w:r>
        <w:rPr>
          <w:rFonts w:hint="eastAsia"/>
          <w:color w:val="auto"/>
        </w:rPr>
        <w:t>二、法定代表人（单位负责人）身份证明（适用于无委托代理人的情况）</w:t>
      </w:r>
      <w:bookmarkEnd w:id="710"/>
      <w:bookmarkEnd w:id="711"/>
      <w:bookmarkEnd w:id="712"/>
      <w:bookmarkEnd w:id="713"/>
      <w:bookmarkEnd w:id="714"/>
    </w:p>
    <w:p w14:paraId="42F9FAF0">
      <w:pPr>
        <w:spacing w:line="260" w:lineRule="auto"/>
        <w:ind w:firstLine="1100" w:firstLineChars="500"/>
        <w:rPr>
          <w:color w:val="auto"/>
        </w:rPr>
      </w:pPr>
      <w:bookmarkStart w:id="715" w:name="_Toc30537"/>
      <w:bookmarkStart w:id="716" w:name="_Toc17573"/>
      <w:bookmarkStart w:id="717" w:name="_Toc1091"/>
      <w:bookmarkStart w:id="718" w:name="_Toc22715"/>
      <w:bookmarkStart w:id="719" w:name="_Toc20832"/>
      <w:r>
        <w:rPr>
          <w:rFonts w:hint="eastAsia"/>
          <w:color w:val="auto"/>
        </w:rPr>
        <w:t>二、授权委托书（适用于有委托代理人的情况）</w:t>
      </w:r>
      <w:bookmarkEnd w:id="715"/>
      <w:bookmarkEnd w:id="716"/>
      <w:bookmarkEnd w:id="717"/>
      <w:bookmarkEnd w:id="718"/>
      <w:bookmarkEnd w:id="719"/>
    </w:p>
    <w:p w14:paraId="0B1CB1A4">
      <w:pPr>
        <w:spacing w:line="260" w:lineRule="auto"/>
        <w:ind w:firstLine="1100" w:firstLineChars="500"/>
        <w:rPr>
          <w:color w:val="auto"/>
        </w:rPr>
      </w:pPr>
      <w:bookmarkStart w:id="720" w:name="_Toc26565"/>
      <w:bookmarkStart w:id="721" w:name="_Toc12603"/>
      <w:bookmarkStart w:id="722" w:name="_Toc2149"/>
      <w:bookmarkStart w:id="723" w:name="_Toc4184"/>
      <w:bookmarkStart w:id="724" w:name="_Toc7824"/>
      <w:r>
        <w:rPr>
          <w:rFonts w:hint="eastAsia"/>
          <w:color w:val="auto"/>
        </w:rPr>
        <w:t>三、联合体协议书</w:t>
      </w:r>
      <w:bookmarkEnd w:id="720"/>
      <w:bookmarkEnd w:id="721"/>
      <w:bookmarkEnd w:id="722"/>
      <w:bookmarkEnd w:id="723"/>
      <w:bookmarkEnd w:id="724"/>
    </w:p>
    <w:p w14:paraId="66D79BFF">
      <w:pPr>
        <w:spacing w:line="260" w:lineRule="auto"/>
        <w:ind w:firstLine="1100" w:firstLineChars="500"/>
        <w:rPr>
          <w:color w:val="auto"/>
        </w:rPr>
      </w:pPr>
      <w:bookmarkStart w:id="725" w:name="_Toc19922"/>
      <w:bookmarkStart w:id="726" w:name="_Toc22173"/>
      <w:bookmarkStart w:id="727" w:name="_Toc10336"/>
      <w:bookmarkStart w:id="728" w:name="_Toc9999"/>
      <w:bookmarkStart w:id="729" w:name="_Toc8815"/>
      <w:r>
        <w:rPr>
          <w:rFonts w:hint="eastAsia"/>
          <w:color w:val="auto"/>
        </w:rPr>
        <w:t>四、投标保证金</w:t>
      </w:r>
      <w:bookmarkEnd w:id="725"/>
      <w:bookmarkEnd w:id="726"/>
      <w:bookmarkEnd w:id="727"/>
      <w:bookmarkEnd w:id="728"/>
      <w:bookmarkEnd w:id="729"/>
    </w:p>
    <w:p w14:paraId="7888610C">
      <w:pPr>
        <w:spacing w:line="260" w:lineRule="auto"/>
        <w:ind w:firstLine="1100" w:firstLineChars="500"/>
        <w:rPr>
          <w:color w:val="auto"/>
        </w:rPr>
      </w:pPr>
      <w:bookmarkStart w:id="730" w:name="_Toc9038"/>
      <w:bookmarkStart w:id="731" w:name="_Toc10741"/>
      <w:bookmarkStart w:id="732" w:name="_Toc14536"/>
      <w:bookmarkStart w:id="733" w:name="_Toc21731"/>
      <w:bookmarkStart w:id="734" w:name="_Toc13806"/>
      <w:r>
        <w:rPr>
          <w:rFonts w:hint="eastAsia"/>
          <w:color w:val="auto"/>
        </w:rPr>
        <w:t>五、商务和技术偏差表</w:t>
      </w:r>
      <w:bookmarkEnd w:id="730"/>
      <w:bookmarkEnd w:id="731"/>
      <w:bookmarkEnd w:id="732"/>
      <w:bookmarkEnd w:id="733"/>
      <w:bookmarkEnd w:id="734"/>
    </w:p>
    <w:p w14:paraId="22FFFA47">
      <w:pPr>
        <w:spacing w:line="260" w:lineRule="auto"/>
        <w:ind w:firstLine="1100" w:firstLineChars="500"/>
        <w:rPr>
          <w:color w:val="auto"/>
        </w:rPr>
      </w:pPr>
      <w:bookmarkStart w:id="735" w:name="_Toc20336"/>
      <w:bookmarkStart w:id="736" w:name="_Toc17365"/>
      <w:bookmarkStart w:id="737" w:name="_Toc27809"/>
      <w:bookmarkStart w:id="738" w:name="_Toc6574"/>
      <w:bookmarkStart w:id="739" w:name="_Toc31716"/>
      <w:r>
        <w:rPr>
          <w:rFonts w:hint="eastAsia"/>
          <w:color w:val="auto"/>
        </w:rPr>
        <w:t>六、分项报价表</w:t>
      </w:r>
      <w:bookmarkEnd w:id="735"/>
      <w:bookmarkEnd w:id="736"/>
      <w:bookmarkEnd w:id="737"/>
      <w:bookmarkEnd w:id="738"/>
      <w:bookmarkEnd w:id="739"/>
    </w:p>
    <w:p w14:paraId="51314571">
      <w:pPr>
        <w:spacing w:line="260" w:lineRule="auto"/>
        <w:ind w:firstLine="1100" w:firstLineChars="500"/>
        <w:rPr>
          <w:color w:val="auto"/>
        </w:rPr>
      </w:pPr>
      <w:bookmarkStart w:id="740" w:name="_Toc8758"/>
      <w:bookmarkStart w:id="741" w:name="_Toc12440"/>
      <w:bookmarkStart w:id="742" w:name="_Toc2172"/>
      <w:bookmarkStart w:id="743" w:name="_Toc515"/>
      <w:bookmarkStart w:id="744" w:name="_Toc19251"/>
      <w:r>
        <w:rPr>
          <w:rFonts w:hint="eastAsia"/>
          <w:color w:val="auto"/>
        </w:rPr>
        <w:t>七、资格审查资料</w:t>
      </w:r>
      <w:bookmarkEnd w:id="740"/>
      <w:bookmarkEnd w:id="741"/>
      <w:bookmarkEnd w:id="742"/>
      <w:bookmarkEnd w:id="743"/>
      <w:bookmarkEnd w:id="744"/>
    </w:p>
    <w:p w14:paraId="6A41DD1C">
      <w:pPr>
        <w:spacing w:line="260" w:lineRule="auto"/>
        <w:ind w:firstLine="1100" w:firstLineChars="500"/>
        <w:rPr>
          <w:color w:val="auto"/>
        </w:rPr>
      </w:pPr>
      <w:bookmarkStart w:id="745" w:name="_Toc3791"/>
      <w:bookmarkStart w:id="746" w:name="_Toc11629"/>
      <w:bookmarkStart w:id="747" w:name="_Toc26896"/>
      <w:bookmarkStart w:id="748" w:name="_Toc12061"/>
      <w:bookmarkStart w:id="749" w:name="_Toc31041"/>
      <w:r>
        <w:rPr>
          <w:rFonts w:hint="eastAsia"/>
          <w:color w:val="auto"/>
        </w:rPr>
        <w:t>第二部分：技术部分</w:t>
      </w:r>
    </w:p>
    <w:p w14:paraId="7BCC6BF0">
      <w:pPr>
        <w:spacing w:line="260" w:lineRule="auto"/>
        <w:ind w:firstLine="1100" w:firstLineChars="500"/>
        <w:rPr>
          <w:color w:val="auto"/>
        </w:rPr>
      </w:pPr>
      <w:r>
        <w:rPr>
          <w:rFonts w:hint="eastAsia"/>
          <w:color w:val="auto"/>
        </w:rPr>
        <w:t>八、投标设备技术性能指标的详细描述</w:t>
      </w:r>
      <w:bookmarkEnd w:id="745"/>
      <w:bookmarkEnd w:id="746"/>
      <w:bookmarkEnd w:id="747"/>
      <w:bookmarkEnd w:id="748"/>
      <w:bookmarkEnd w:id="749"/>
    </w:p>
    <w:p w14:paraId="6C55BE30">
      <w:pPr>
        <w:spacing w:line="260" w:lineRule="auto"/>
        <w:ind w:firstLine="1100" w:firstLineChars="500"/>
        <w:rPr>
          <w:color w:val="auto"/>
        </w:rPr>
      </w:pPr>
      <w:bookmarkStart w:id="750" w:name="_Toc5756"/>
      <w:bookmarkStart w:id="751" w:name="_Toc3769"/>
      <w:bookmarkStart w:id="752" w:name="_Toc21247"/>
      <w:bookmarkStart w:id="753" w:name="_Toc24753"/>
      <w:bookmarkStart w:id="754" w:name="_Toc19386"/>
      <w:r>
        <w:rPr>
          <w:rFonts w:hint="eastAsia"/>
          <w:color w:val="auto"/>
        </w:rPr>
        <w:t>九、技术支持资料</w:t>
      </w:r>
      <w:bookmarkEnd w:id="750"/>
      <w:bookmarkEnd w:id="751"/>
      <w:bookmarkEnd w:id="752"/>
      <w:bookmarkEnd w:id="753"/>
      <w:bookmarkEnd w:id="754"/>
    </w:p>
    <w:p w14:paraId="306E15C6">
      <w:pPr>
        <w:spacing w:line="260" w:lineRule="auto"/>
        <w:ind w:firstLine="1100" w:firstLineChars="500"/>
        <w:rPr>
          <w:color w:val="auto"/>
        </w:rPr>
      </w:pPr>
      <w:bookmarkStart w:id="755" w:name="_Toc11546"/>
      <w:bookmarkStart w:id="756" w:name="_Toc24239"/>
      <w:bookmarkStart w:id="757" w:name="_Toc6619"/>
      <w:bookmarkStart w:id="758" w:name="_Toc19705"/>
      <w:bookmarkStart w:id="759" w:name="_Toc3321"/>
      <w:r>
        <w:rPr>
          <w:rFonts w:hint="eastAsia"/>
          <w:color w:val="auto"/>
        </w:rPr>
        <w:t>十、技术服务和质保期服务计划</w:t>
      </w:r>
      <w:bookmarkEnd w:id="755"/>
      <w:bookmarkEnd w:id="756"/>
      <w:bookmarkEnd w:id="757"/>
      <w:bookmarkEnd w:id="758"/>
      <w:bookmarkEnd w:id="759"/>
    </w:p>
    <w:p w14:paraId="0A461AC9">
      <w:pPr>
        <w:spacing w:line="260" w:lineRule="auto"/>
        <w:ind w:firstLine="1100" w:firstLineChars="500"/>
        <w:rPr>
          <w:color w:val="auto"/>
        </w:rPr>
      </w:pPr>
      <w:bookmarkStart w:id="760" w:name="_Toc12268"/>
      <w:bookmarkStart w:id="761" w:name="_Toc14490"/>
      <w:bookmarkStart w:id="762" w:name="_Toc16491"/>
      <w:bookmarkStart w:id="763" w:name="_Toc10110"/>
      <w:bookmarkStart w:id="764" w:name="_Toc9516"/>
      <w:r>
        <w:rPr>
          <w:rFonts w:hint="eastAsia"/>
          <w:color w:val="auto"/>
        </w:rPr>
        <w:t>第三部分：其他</w:t>
      </w:r>
    </w:p>
    <w:p w14:paraId="3E7E39EE">
      <w:pPr>
        <w:spacing w:line="260" w:lineRule="auto"/>
        <w:ind w:firstLine="1100" w:firstLineChars="500"/>
        <w:rPr>
          <w:color w:val="auto"/>
        </w:rPr>
      </w:pPr>
      <w:r>
        <w:rPr>
          <w:rFonts w:hint="eastAsia"/>
          <w:color w:val="auto"/>
        </w:rPr>
        <w:t>十一、其他资料</w:t>
      </w:r>
      <w:bookmarkEnd w:id="760"/>
      <w:bookmarkEnd w:id="761"/>
      <w:bookmarkEnd w:id="762"/>
      <w:bookmarkEnd w:id="763"/>
      <w:bookmarkEnd w:id="764"/>
    </w:p>
    <w:p w14:paraId="0B81400C">
      <w:r>
        <w:rPr>
          <w:rFonts w:hint="eastAsia"/>
        </w:rPr>
        <w:br w:type="page"/>
      </w:r>
    </w:p>
    <w:p w14:paraId="7882C501"/>
    <w:p w14:paraId="4BCC9D7D">
      <w:pPr>
        <w:rPr>
          <w:color w:val="auto"/>
        </w:rPr>
      </w:pPr>
    </w:p>
    <w:p w14:paraId="03C2B46F"/>
    <w:p w14:paraId="5F90A8A4"/>
    <w:p w14:paraId="4BA27CC2">
      <w:pPr>
        <w:jc w:val="center"/>
        <w:rPr>
          <w:rFonts w:ascii="Times New Roman" w:hAnsi="Times New Roman" w:eastAsia="宋体" w:cs="宋体"/>
          <w:color w:val="auto"/>
          <w:szCs w:val="28"/>
        </w:rPr>
      </w:pPr>
      <w:bookmarkStart w:id="765" w:name="_Toc29342"/>
      <w:r>
        <w:rPr>
          <w:rFonts w:hint="eastAsia" w:ascii="宋体" w:hAnsi="宋体" w:eastAsia="宋体" w:cs="宋体"/>
          <w:color w:val="auto"/>
          <w:sz w:val="44"/>
          <w:szCs w:val="44"/>
        </w:rPr>
        <w:t>商务部分</w:t>
      </w:r>
      <w:r>
        <w:rPr>
          <w:rFonts w:hint="eastAsia" w:ascii="Times New Roman" w:hAnsi="Times New Roman" w:eastAsia="宋体" w:cs="宋体"/>
          <w:color w:val="auto"/>
          <w:szCs w:val="28"/>
        </w:rPr>
        <w:br w:type="page"/>
      </w:r>
      <w:bookmarkEnd w:id="765"/>
      <w:bookmarkStart w:id="766" w:name="_Toc56792851"/>
      <w:bookmarkStart w:id="767" w:name="_Toc19926"/>
    </w:p>
    <w:p w14:paraId="33990EDF">
      <w:pPr>
        <w:pStyle w:val="3"/>
        <w:keepNext w:val="0"/>
        <w:keepLines w:val="0"/>
        <w:widowControl w:val="0"/>
        <w:adjustRightInd w:val="0"/>
        <w:snapToGrid w:val="0"/>
        <w:spacing w:line="490" w:lineRule="exact"/>
        <w:ind w:left="0" w:right="0" w:firstLine="0"/>
        <w:jc w:val="center"/>
        <w:rPr>
          <w:rFonts w:ascii="Times New Roman" w:hAnsi="Times New Roman" w:cs="宋体"/>
          <w:b w:val="0"/>
          <w:bCs/>
          <w:color w:val="auto"/>
          <w:sz w:val="36"/>
          <w:szCs w:val="28"/>
        </w:rPr>
      </w:pPr>
      <w:bookmarkStart w:id="768" w:name="_Toc8713"/>
      <w:bookmarkStart w:id="769" w:name="_Toc2486"/>
      <w:bookmarkStart w:id="770" w:name="_Toc15604"/>
      <w:bookmarkStart w:id="771" w:name="_Toc31948"/>
      <w:bookmarkStart w:id="772" w:name="_Toc13762"/>
      <w:r>
        <w:rPr>
          <w:rFonts w:hint="eastAsia" w:ascii="Times New Roman" w:hAnsi="Times New Roman" w:cs="宋体"/>
          <w:b w:val="0"/>
          <w:bCs/>
          <w:color w:val="auto"/>
          <w:sz w:val="36"/>
          <w:szCs w:val="28"/>
        </w:rPr>
        <w:t>一、投标函</w:t>
      </w:r>
      <w:bookmarkEnd w:id="766"/>
      <w:bookmarkEnd w:id="767"/>
      <w:bookmarkEnd w:id="768"/>
      <w:bookmarkEnd w:id="769"/>
      <w:bookmarkEnd w:id="770"/>
      <w:bookmarkEnd w:id="771"/>
      <w:bookmarkEnd w:id="772"/>
      <w:r>
        <w:rPr>
          <w:rFonts w:hint="eastAsia" w:ascii="Times New Roman" w:hAnsi="Times New Roman" w:cs="宋体"/>
          <w:b w:val="0"/>
          <w:bCs/>
          <w:color w:val="auto"/>
          <w:sz w:val="36"/>
          <w:szCs w:val="28"/>
        </w:rPr>
        <w:t xml:space="preserve"> </w:t>
      </w:r>
    </w:p>
    <w:p w14:paraId="11DC462C">
      <w:pPr>
        <w:widowControl w:val="0"/>
        <w:adjustRightInd w:val="0"/>
        <w:snapToGrid w:val="0"/>
        <w:spacing w:after="0" w:line="490" w:lineRule="exact"/>
        <w:rPr>
          <w:rFonts w:ascii="Times New Roman" w:hAnsi="Times New Roman" w:eastAsia="宋体" w:cs="宋体"/>
          <w:color w:val="auto"/>
          <w:sz w:val="28"/>
          <w:szCs w:val="28"/>
          <w:u w:val="single" w:color="000000"/>
        </w:rPr>
      </w:pPr>
    </w:p>
    <w:p w14:paraId="4A7CD29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（招标人名称）： </w:t>
      </w:r>
    </w:p>
    <w:p w14:paraId="31A6AA3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1.我方已仔细研究了</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（项目名称）招标项目招标文件的全部内容，愿意以人民币（大写）</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）的投标总报价（其中，增值税税率为</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）提供</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（设备名称）及相关服务，并按合同约定履行义务。</w:t>
      </w:r>
    </w:p>
    <w:p w14:paraId="61DCD9E5">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2.我方的投标文件包括下列内容： </w:t>
      </w:r>
    </w:p>
    <w:p w14:paraId="709FFED4">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（1）投标函； </w:t>
      </w:r>
    </w:p>
    <w:p w14:paraId="450006A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（2）法定代表人（单位负责人）身份证明或授权委托书； </w:t>
      </w:r>
    </w:p>
    <w:p w14:paraId="2D0BDD0E">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（3）联合体协议书（如有）； </w:t>
      </w:r>
    </w:p>
    <w:p w14:paraId="3B2C3841">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（4）投标保证金（如有）； </w:t>
      </w:r>
    </w:p>
    <w:p w14:paraId="2A76EB1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（5）商务和技术偏差表； </w:t>
      </w:r>
    </w:p>
    <w:p w14:paraId="2F264E51">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（6）分项报价表； </w:t>
      </w:r>
    </w:p>
    <w:p w14:paraId="6B97354B">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（7）资格审查资料； </w:t>
      </w:r>
    </w:p>
    <w:p w14:paraId="22E45D1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（8）投标设备技术性能指标的详细描述</w:t>
      </w:r>
    </w:p>
    <w:p w14:paraId="2DD4AD2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（9）技术支持资料； </w:t>
      </w:r>
    </w:p>
    <w:p w14:paraId="53036A9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（10）</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技术服务和质保期服务计划；</w:t>
      </w:r>
    </w:p>
    <w:p w14:paraId="451BF56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5CA210C9">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投标文件的上述组成部分如存在内容不一致的，以投标函为准。</w:t>
      </w:r>
    </w:p>
    <w:p w14:paraId="506ADAD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3.我方承诺除商务和技术偏差表列出的偏差外，我方响应招标文件的全部要求。</w:t>
      </w:r>
    </w:p>
    <w:p w14:paraId="2E5A528F">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4.我方承诺投标有效期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天，在投标有效期内不补充、修改、替代或者撤回本投标文件。</w:t>
      </w:r>
    </w:p>
    <w:p w14:paraId="5A1DF35E">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5.如我方中标，我方承诺： </w:t>
      </w:r>
    </w:p>
    <w:p w14:paraId="4A0E389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在收到中标通知书后，在中标通知书规定的期限内与你方签订合同；</w:t>
      </w:r>
    </w:p>
    <w:p w14:paraId="1E9CB6DE">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 xml:space="preserve">在签订合同时不向你方提出附加条件； </w:t>
      </w:r>
    </w:p>
    <w:p w14:paraId="7D203238">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 xml:space="preserve">按照招标文件要求提交履约保证金； </w:t>
      </w:r>
    </w:p>
    <w:p w14:paraId="57338AC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在合同约定的期限内完成合同规定的全部义务。</w:t>
      </w:r>
    </w:p>
    <w:p w14:paraId="6F60A912">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6.我方在此声明，所递交的投标文件及有关资料内容完整、真实和准确，且不存在第二章“投标人须知”第 1.4.3 项规定的任何一种情形。</w:t>
      </w:r>
    </w:p>
    <w:p w14:paraId="6A430622">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（其他补充说明）。</w:t>
      </w:r>
    </w:p>
    <w:p w14:paraId="284F241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7F2842BF">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469582A9">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投 标 人：</w:t>
      </w:r>
      <w:r>
        <w:rPr>
          <w:rFonts w:hint="eastAsia" w:ascii="Times New Roman" w:hAnsi="Times New Roman" w:eastAsia="宋体" w:cs="宋体"/>
          <w:color w:val="auto"/>
          <w:sz w:val="24"/>
          <w:szCs w:val="24"/>
          <w:u w:val="single"/>
        </w:rPr>
        <w:t xml:space="preserve">                     （单位CA数字证书章）                   </w:t>
      </w:r>
    </w:p>
    <w:p w14:paraId="70C26F2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法定代表人或其委托代理人：</w:t>
      </w:r>
      <w:r>
        <w:rPr>
          <w:rFonts w:hint="eastAsia" w:ascii="Times New Roman" w:hAnsi="Times New Roman" w:eastAsia="宋体" w:cs="宋体"/>
          <w:color w:val="auto"/>
          <w:sz w:val="24"/>
          <w:szCs w:val="24"/>
          <w:u w:val="single"/>
        </w:rPr>
        <w:t xml:space="preserve">      （CA数字证书章）         </w:t>
      </w:r>
    </w:p>
    <w:p w14:paraId="6E2FECC2">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通讯地址：</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cr/>
      </w:r>
      <w:r>
        <w:rPr>
          <w:rFonts w:hint="eastAsia" w:ascii="Times New Roman" w:hAnsi="Times New Roman" w:eastAsia="宋体" w:cs="宋体"/>
          <w:color w:val="auto"/>
          <w:sz w:val="24"/>
          <w:szCs w:val="24"/>
        </w:rPr>
        <w:t xml:space="preserve">        邮政编码：</w:t>
      </w:r>
      <w:r>
        <w:rPr>
          <w:rFonts w:hint="eastAsia" w:ascii="Times New Roman" w:hAnsi="Times New Roman" w:eastAsia="宋体" w:cs="宋体"/>
          <w:color w:val="auto"/>
          <w:sz w:val="24"/>
          <w:szCs w:val="24"/>
          <w:u w:val="single"/>
        </w:rPr>
        <w:t xml:space="preserve">                             </w:t>
      </w:r>
    </w:p>
    <w:p w14:paraId="3F9ABF65">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电    话：</w:t>
      </w:r>
      <w:r>
        <w:rPr>
          <w:rFonts w:hint="eastAsia" w:ascii="Times New Roman" w:hAnsi="Times New Roman" w:eastAsia="宋体" w:cs="宋体"/>
          <w:color w:val="auto"/>
          <w:sz w:val="24"/>
          <w:szCs w:val="24"/>
          <w:u w:val="single"/>
        </w:rPr>
        <w:t xml:space="preserve">                             </w:t>
      </w:r>
    </w:p>
    <w:p w14:paraId="2EAD5557">
      <w:pPr>
        <w:widowControl w:val="0"/>
        <w:adjustRightInd w:val="0"/>
        <w:snapToGrid w:val="0"/>
        <w:spacing w:after="0" w:line="490" w:lineRule="exact"/>
        <w:ind w:left="3840" w:leftChars="218" w:hanging="3360" w:hangingChars="14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传    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cr/>
      </w:r>
      <w:r>
        <w:rPr>
          <w:rFonts w:hint="eastAsia" w:ascii="Times New Roman" w:hAnsi="Times New Roman" w:eastAsia="宋体" w:cs="宋体"/>
          <w:color w:val="auto"/>
          <w:sz w:val="24"/>
          <w:szCs w:val="24"/>
        </w:rPr>
        <w:t xml:space="preserve">    </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4AAFC7AB">
      <w:pPr>
        <w:widowControl w:val="0"/>
        <w:adjustRightInd w:val="0"/>
        <w:snapToGrid w:val="0"/>
        <w:spacing w:after="0" w:line="490" w:lineRule="exact"/>
        <w:ind w:firstLine="5858"/>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548BB586">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0EBFBDAF">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0"/>
        </w:rPr>
        <w:t xml:space="preserve"> </w:t>
      </w:r>
    </w:p>
    <w:p w14:paraId="6CDC9A8B">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1"/>
        </w:rPr>
        <w:t xml:space="preserve"> </w:t>
      </w:r>
      <w:r>
        <w:rPr>
          <w:rFonts w:hint="eastAsia" w:ascii="Times New Roman" w:hAnsi="Times New Roman" w:eastAsia="宋体" w:cs="宋体"/>
          <w:color w:val="auto"/>
          <w:sz w:val="21"/>
        </w:rPr>
        <w:tab/>
      </w:r>
      <w:r>
        <w:rPr>
          <w:rFonts w:hint="eastAsia" w:ascii="Times New Roman" w:hAnsi="Times New Roman" w:eastAsia="宋体" w:cs="宋体"/>
          <w:color w:val="auto"/>
          <w:sz w:val="20"/>
        </w:rPr>
        <w:t xml:space="preserve"> </w:t>
      </w:r>
      <w:r>
        <w:rPr>
          <w:rFonts w:hint="eastAsia" w:ascii="Times New Roman" w:hAnsi="Times New Roman" w:eastAsia="宋体" w:cs="宋体"/>
          <w:color w:val="auto"/>
        </w:rPr>
        <w:br w:type="page"/>
      </w:r>
    </w:p>
    <w:p w14:paraId="6621BAA2">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773" w:name="_Toc56792852"/>
      <w:bookmarkStart w:id="774" w:name="_Toc2940"/>
      <w:bookmarkStart w:id="775" w:name="_Toc18424"/>
      <w:bookmarkStart w:id="776" w:name="_Toc14423"/>
      <w:bookmarkStart w:id="777" w:name="_Toc14308"/>
      <w:bookmarkStart w:id="778" w:name="_Toc24951"/>
      <w:bookmarkStart w:id="779" w:name="_Toc15642"/>
      <w:r>
        <w:rPr>
          <w:rFonts w:hint="eastAsia" w:ascii="Times New Roman" w:hAnsi="Times New Roman" w:cs="宋体"/>
          <w:b w:val="0"/>
          <w:bCs/>
          <w:color w:val="auto"/>
          <w:sz w:val="36"/>
        </w:rPr>
        <w:t>二、法定代表人（单位负责人）身份证明</w:t>
      </w:r>
      <w:bookmarkEnd w:id="773"/>
      <w:bookmarkEnd w:id="774"/>
      <w:bookmarkEnd w:id="775"/>
      <w:bookmarkEnd w:id="776"/>
      <w:bookmarkEnd w:id="777"/>
      <w:bookmarkEnd w:id="778"/>
      <w:bookmarkEnd w:id="779"/>
      <w:r>
        <w:rPr>
          <w:rFonts w:hint="eastAsia" w:ascii="Times New Roman" w:hAnsi="Times New Roman" w:cs="宋体"/>
          <w:b w:val="0"/>
          <w:bCs/>
          <w:color w:val="auto"/>
          <w:sz w:val="36"/>
        </w:rPr>
        <w:t xml:space="preserve"> </w:t>
      </w:r>
    </w:p>
    <w:p w14:paraId="3701C7AC">
      <w:pPr>
        <w:widowControl w:val="0"/>
        <w:adjustRightInd w:val="0"/>
        <w:snapToGrid w:val="0"/>
        <w:spacing w:after="0" w:line="49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5A55DDC3">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投标人名称：</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2B29583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单位性质：</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6C2AB9D4">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姓    名：</w:t>
      </w:r>
      <w:r>
        <w:rPr>
          <w:rFonts w:hint="eastAsia" w:ascii="Times New Roman" w:hAnsi="Times New Roman" w:eastAsia="宋体" w:cs="宋体"/>
          <w:color w:val="auto"/>
          <w:sz w:val="24"/>
          <w:szCs w:val="24"/>
          <w:u w:val="single" w:color="000000"/>
        </w:rPr>
        <w:t xml:space="preserve">                           </w:t>
      </w:r>
    </w:p>
    <w:p w14:paraId="3E27F785">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性    别：</w:t>
      </w:r>
      <w:r>
        <w:rPr>
          <w:rFonts w:hint="eastAsia" w:ascii="Times New Roman" w:hAnsi="Times New Roman" w:eastAsia="宋体" w:cs="宋体"/>
          <w:color w:val="auto"/>
          <w:sz w:val="24"/>
          <w:szCs w:val="24"/>
          <w:u w:val="single" w:color="000000"/>
        </w:rPr>
        <w:t xml:space="preserve">                           </w:t>
      </w:r>
    </w:p>
    <w:p w14:paraId="1E4F8CC0">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年    龄：</w:t>
      </w:r>
      <w:r>
        <w:rPr>
          <w:rFonts w:hint="eastAsia" w:ascii="Times New Roman" w:hAnsi="Times New Roman" w:eastAsia="宋体" w:cs="宋体"/>
          <w:color w:val="auto"/>
          <w:sz w:val="24"/>
          <w:szCs w:val="24"/>
          <w:u w:val="single" w:color="000000"/>
        </w:rPr>
        <w:t xml:space="preserve">                           </w:t>
      </w:r>
    </w:p>
    <w:p w14:paraId="6CD756A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职    务：</w:t>
      </w:r>
      <w:r>
        <w:rPr>
          <w:rFonts w:hint="eastAsia" w:ascii="Times New Roman" w:hAnsi="Times New Roman" w:eastAsia="宋体" w:cs="宋体"/>
          <w:color w:val="auto"/>
          <w:sz w:val="24"/>
          <w:szCs w:val="24"/>
          <w:u w:val="single" w:color="000000"/>
        </w:rPr>
        <w:t xml:space="preserve">                           </w:t>
      </w:r>
    </w:p>
    <w:p w14:paraId="1C24014A">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系</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（投标人名称）的法定代表人（单位负责人）。</w:t>
      </w:r>
    </w:p>
    <w:p w14:paraId="2C522569">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66720974">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3FE19EF4">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特此证明。</w:t>
      </w:r>
    </w:p>
    <w:p w14:paraId="4D9BBB2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6A66953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附：法定代表人（单位负责人）身份证扫描件 </w:t>
      </w:r>
    </w:p>
    <w:p w14:paraId="7C77299B">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02841C38">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213B3C07">
      <w:pPr>
        <w:widowControl w:val="0"/>
        <w:tabs>
          <w:tab w:val="center" w:pos="2956"/>
          <w:tab w:val="center" w:pos="7052"/>
        </w:tabs>
        <w:adjustRightInd w:val="0"/>
        <w:snapToGrid w:val="0"/>
        <w:spacing w:after="0" w:line="490" w:lineRule="exact"/>
        <w:ind w:firstLine="480" w:firstLineChars="200"/>
        <w:jc w:val="center"/>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 xml:space="preserve">                                    投标人：</w:t>
      </w:r>
      <w:r>
        <w:rPr>
          <w:rFonts w:hint="eastAsia" w:ascii="Times New Roman" w:hAnsi="Times New Roman" w:eastAsia="宋体" w:cs="宋体"/>
          <w:color w:val="auto"/>
          <w:sz w:val="24"/>
          <w:szCs w:val="24"/>
          <w:u w:val="single" w:color="000000"/>
        </w:rPr>
        <w:t xml:space="preserve">     （单位CA数字证书章）        </w:t>
      </w:r>
    </w:p>
    <w:p w14:paraId="787AAE69">
      <w:pPr>
        <w:widowControl w:val="0"/>
        <w:tabs>
          <w:tab w:val="center" w:pos="2956"/>
          <w:tab w:val="center" w:pos="7052"/>
        </w:tabs>
        <w:adjustRightInd w:val="0"/>
        <w:snapToGrid w:val="0"/>
        <w:spacing w:after="0" w:line="490" w:lineRule="exact"/>
        <w:ind w:firstLine="480" w:firstLineChars="200"/>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1581E922">
      <w:pPr>
        <w:widowControl w:val="0"/>
        <w:adjustRightInd w:val="0"/>
        <w:snapToGrid w:val="0"/>
        <w:spacing w:after="0" w:line="490" w:lineRule="exact"/>
        <w:ind w:firstLine="5520" w:firstLineChars="23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日 </w:t>
      </w:r>
    </w:p>
    <w:p w14:paraId="33D981E9">
      <w:pPr>
        <w:widowControl w:val="0"/>
        <w:adjustRightInd w:val="0"/>
        <w:snapToGrid w:val="0"/>
        <w:spacing w:after="0" w:line="49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3A59A934">
      <w:pPr>
        <w:widowControl w:val="0"/>
        <w:adjustRightInd w:val="0"/>
        <w:snapToGrid w:val="0"/>
        <w:spacing w:after="0" w:line="490" w:lineRule="exact"/>
        <w:ind w:firstLine="560" w:firstLineChars="200"/>
        <w:jc w:val="right"/>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r>
        <w:rPr>
          <w:rFonts w:hint="eastAsia" w:ascii="Times New Roman" w:hAnsi="Times New Roman" w:eastAsia="宋体" w:cs="宋体"/>
          <w:color w:val="auto"/>
          <w:sz w:val="28"/>
          <w:szCs w:val="28"/>
        </w:rPr>
        <w:tab/>
      </w:r>
      <w:r>
        <w:rPr>
          <w:rFonts w:hint="eastAsia" w:ascii="Times New Roman" w:hAnsi="Times New Roman" w:eastAsia="宋体" w:cs="宋体"/>
          <w:color w:val="auto"/>
          <w:sz w:val="28"/>
          <w:szCs w:val="28"/>
        </w:rPr>
        <w:t xml:space="preserve"> </w:t>
      </w:r>
    </w:p>
    <w:p w14:paraId="1CBCF667">
      <w:r>
        <w:rPr>
          <w:rFonts w:hint="eastAsia"/>
        </w:rPr>
        <w:br w:type="page"/>
      </w:r>
      <w:bookmarkStart w:id="780" w:name="_Toc30435"/>
      <w:bookmarkStart w:id="781" w:name="_Toc56792853"/>
    </w:p>
    <w:p w14:paraId="18457DF9">
      <w:pPr>
        <w:pStyle w:val="3"/>
        <w:keepNext w:val="0"/>
        <w:keepLines w:val="0"/>
        <w:widowControl w:val="0"/>
        <w:adjustRightInd w:val="0"/>
        <w:snapToGrid w:val="0"/>
        <w:spacing w:line="490" w:lineRule="exact"/>
        <w:ind w:right="0" w:hangingChars="3"/>
        <w:jc w:val="center"/>
        <w:rPr>
          <w:rFonts w:ascii="Times New Roman" w:hAnsi="Times New Roman" w:cs="宋体"/>
          <w:b w:val="0"/>
          <w:bCs/>
          <w:color w:val="auto"/>
          <w:sz w:val="36"/>
        </w:rPr>
      </w:pPr>
      <w:bookmarkStart w:id="782" w:name="_Toc5609"/>
      <w:bookmarkStart w:id="783" w:name="_Toc18855"/>
      <w:bookmarkStart w:id="784" w:name="_Toc21640"/>
      <w:bookmarkStart w:id="785" w:name="_Toc27848"/>
      <w:bookmarkStart w:id="786" w:name="_Toc23911"/>
      <w:r>
        <w:rPr>
          <w:rFonts w:hint="eastAsia" w:ascii="Times New Roman" w:hAnsi="Times New Roman" w:cs="宋体"/>
          <w:b w:val="0"/>
          <w:bCs/>
          <w:color w:val="auto"/>
          <w:sz w:val="36"/>
        </w:rPr>
        <w:t>二、授权委托书</w:t>
      </w:r>
      <w:bookmarkEnd w:id="780"/>
      <w:bookmarkEnd w:id="781"/>
      <w:bookmarkEnd w:id="782"/>
      <w:bookmarkEnd w:id="783"/>
      <w:bookmarkEnd w:id="784"/>
      <w:bookmarkEnd w:id="785"/>
      <w:bookmarkEnd w:id="786"/>
    </w:p>
    <w:p w14:paraId="3CFE87E8">
      <w:pPr>
        <w:widowControl w:val="0"/>
        <w:adjustRightInd w:val="0"/>
        <w:snapToGrid w:val="0"/>
        <w:spacing w:after="0" w:line="490" w:lineRule="exact"/>
        <w:rPr>
          <w:rFonts w:ascii="Times New Roman" w:hAnsi="Times New Roman" w:eastAsia="宋体" w:cs="宋体"/>
          <w:color w:val="auto"/>
          <w:sz w:val="28"/>
          <w:szCs w:val="28"/>
        </w:rPr>
      </w:pPr>
    </w:p>
    <w:p w14:paraId="0BB0AFF1">
      <w:pPr>
        <w:widowControl w:val="0"/>
        <w:adjustRightInd w:val="0"/>
        <w:snapToGrid w:val="0"/>
        <w:spacing w:after="0" w:line="490" w:lineRule="exact"/>
        <w:ind w:firstLine="720" w:firstLineChars="3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本人</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（姓名）系</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（投标人名称）的法定代表人（单位负责人），现委托</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（姓名）为我方代理人。代理人根据授权，以我方名义签署、澄清确认、递交、撤回、修改设备采购招标项目投标文件、签订合同和处理有关事宜，其法律后果由我方承担。</w:t>
      </w:r>
    </w:p>
    <w:p w14:paraId="145A702B">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委托期限：</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w:t>
      </w:r>
    </w:p>
    <w:p w14:paraId="6C8DDD43">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代理人无转委托权。</w:t>
      </w:r>
    </w:p>
    <w:p w14:paraId="196E43A9">
      <w:pPr>
        <w:widowControl w:val="0"/>
        <w:adjustRightInd w:val="0"/>
        <w:snapToGrid w:val="0"/>
        <w:spacing w:after="0" w:line="490" w:lineRule="exact"/>
        <w:ind w:firstLine="420" w:firstLineChars="200"/>
        <w:rPr>
          <w:rFonts w:ascii="Times New Roman" w:hAnsi="Times New Roman" w:eastAsia="宋体" w:cs="宋体"/>
          <w:color w:val="auto"/>
          <w:sz w:val="21"/>
          <w:szCs w:val="21"/>
        </w:rPr>
      </w:pPr>
    </w:p>
    <w:p w14:paraId="362668A9">
      <w:pPr>
        <w:spacing w:line="490" w:lineRule="exact"/>
        <w:ind w:firstLine="420" w:firstLineChars="200"/>
        <w:rPr>
          <w:rFonts w:ascii="Times New Roman" w:hAnsi="Times New Roman" w:eastAsia="宋体"/>
          <w:color w:val="auto"/>
          <w:sz w:val="21"/>
          <w:szCs w:val="21"/>
        </w:rPr>
      </w:pPr>
      <w:r>
        <w:rPr>
          <w:rFonts w:ascii="Times New Roman" w:hAnsi="Times New Roman" w:eastAsia="宋体" w:cs="Times New Roman"/>
          <w:color w:val="auto"/>
          <w:sz w:val="21"/>
          <w:szCs w:val="21"/>
        </w:rPr>
        <w:t>附：法定代表</w:t>
      </w:r>
      <w:r>
        <w:rPr>
          <w:rFonts w:ascii="Times New Roman" w:hAnsi="Times New Roman" w:eastAsia="宋体"/>
          <w:color w:val="auto"/>
          <w:sz w:val="21"/>
          <w:szCs w:val="21"/>
        </w:rPr>
        <w:t>人及委托代理人的身份证扫描件。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0"/>
        <w:gridCol w:w="735"/>
        <w:gridCol w:w="3570"/>
      </w:tblGrid>
      <w:tr w14:paraId="1347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3" w:hRule="atLeast"/>
          <w:jc w:val="center"/>
        </w:trPr>
        <w:tc>
          <w:tcPr>
            <w:tcW w:w="3570" w:type="dxa"/>
            <w:vAlign w:val="center"/>
          </w:tcPr>
          <w:p w14:paraId="7A89F30F">
            <w:pPr>
              <w:pStyle w:val="8"/>
              <w:jc w:val="center"/>
              <w:rPr>
                <w:rFonts w:ascii="Times New Roman" w:hAnsi="Times New Roman" w:cs="Times New Roman"/>
                <w:b/>
              </w:rPr>
            </w:pPr>
            <w:r>
              <w:rPr>
                <w:rFonts w:ascii="Times New Roman" w:hAnsi="Times New Roman" w:cs="Times New Roman"/>
                <w:b/>
              </w:rPr>
              <w:t>法定代表人身份证（正、反面）扫描件</w:t>
            </w:r>
          </w:p>
        </w:tc>
        <w:tc>
          <w:tcPr>
            <w:tcW w:w="735" w:type="dxa"/>
            <w:tcBorders>
              <w:top w:val="nil"/>
              <w:bottom w:val="nil"/>
            </w:tcBorders>
          </w:tcPr>
          <w:p w14:paraId="193E7439">
            <w:pPr>
              <w:pStyle w:val="8"/>
              <w:ind w:firstLine="480"/>
              <w:jc w:val="center"/>
              <w:rPr>
                <w:rFonts w:ascii="Times New Roman" w:hAnsi="Times New Roman" w:cs="Times New Roman"/>
                <w:b/>
              </w:rPr>
            </w:pPr>
          </w:p>
        </w:tc>
        <w:tc>
          <w:tcPr>
            <w:tcW w:w="3570" w:type="dxa"/>
            <w:vAlign w:val="center"/>
          </w:tcPr>
          <w:p w14:paraId="0BFD663B">
            <w:pPr>
              <w:pStyle w:val="8"/>
              <w:jc w:val="center"/>
              <w:rPr>
                <w:rFonts w:ascii="Times New Roman" w:hAnsi="Times New Roman" w:cs="Times New Roman"/>
                <w:b/>
              </w:rPr>
            </w:pPr>
            <w:r>
              <w:rPr>
                <w:rFonts w:ascii="Times New Roman" w:hAnsi="Times New Roman" w:cs="Times New Roman"/>
                <w:b/>
              </w:rPr>
              <w:t>委托代理人身份证（正、反面）扫描件</w:t>
            </w:r>
          </w:p>
        </w:tc>
      </w:tr>
    </w:tbl>
    <w:p w14:paraId="402EACDF"/>
    <w:p w14:paraId="59AAC977">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投 标 人：</w:t>
      </w:r>
      <w:r>
        <w:rPr>
          <w:rFonts w:hint="eastAsia" w:ascii="Times New Roman" w:hAnsi="Times New Roman" w:eastAsia="宋体" w:cs="宋体"/>
          <w:color w:val="auto"/>
          <w:sz w:val="24"/>
          <w:szCs w:val="24"/>
          <w:u w:val="single"/>
        </w:rPr>
        <w:t xml:space="preserve">                     （单位CA数字证书章）                   </w:t>
      </w:r>
    </w:p>
    <w:p w14:paraId="07FFCE0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w:t>
      </w:r>
      <w:r>
        <w:rPr>
          <w:rFonts w:hint="eastAsia" w:ascii="Times New Roman" w:hAnsi="Times New Roman" w:eastAsia="宋体" w:cs="宋体"/>
          <w:color w:val="auto"/>
          <w:sz w:val="24"/>
          <w:szCs w:val="24"/>
          <w:u w:val="single"/>
        </w:rPr>
        <w:t xml:space="preserve">      （CA数字证书章）                                       </w:t>
      </w:r>
    </w:p>
    <w:p w14:paraId="7B8E7B76">
      <w:pPr>
        <w:widowControl w:val="0"/>
        <w:tabs>
          <w:tab w:val="center" w:pos="3325"/>
          <w:tab w:val="center" w:pos="4201"/>
          <w:tab w:val="center" w:pos="4621"/>
          <w:tab w:val="center" w:pos="5041"/>
          <w:tab w:val="center" w:pos="8402"/>
        </w:tabs>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color="000000"/>
        </w:rPr>
        <w:tab/>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color="000000"/>
        </w:rPr>
        <w:tab/>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color="000000"/>
        </w:rPr>
        <w:tab/>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2423572E">
      <w:pPr>
        <w:widowControl w:val="0"/>
        <w:tabs>
          <w:tab w:val="center" w:pos="3325"/>
          <w:tab w:val="center" w:pos="4201"/>
          <w:tab w:val="center" w:pos="4621"/>
          <w:tab w:val="center" w:pos="6722"/>
        </w:tabs>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委托代理人：</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rPr>
        <w:t xml:space="preserve">（CA数字证书章） </w:t>
      </w:r>
      <w:r>
        <w:rPr>
          <w:rFonts w:hint="eastAsia" w:ascii="Times New Roman" w:hAnsi="Times New Roman" w:eastAsia="宋体" w:cs="宋体"/>
          <w:color w:val="auto"/>
          <w:sz w:val="24"/>
          <w:szCs w:val="24"/>
          <w:u w:val="single" w:color="000000"/>
        </w:rPr>
        <w:t xml:space="preserve">                                           </w:t>
      </w:r>
    </w:p>
    <w:p w14:paraId="7AD4362E">
      <w:pPr>
        <w:pStyle w:val="22"/>
        <w:snapToGrid w:val="0"/>
        <w:spacing w:line="490" w:lineRule="exact"/>
        <w:ind w:firstLine="480" w:firstLineChars="200"/>
        <w:rPr>
          <w:rFonts w:ascii="Times New Roman"/>
          <w:color w:val="auto"/>
          <w:u w:val="single"/>
        </w:rPr>
      </w:pPr>
      <w:r>
        <w:rPr>
          <w:rFonts w:hint="eastAsia" w:ascii="Times New Roman"/>
          <w:color w:val="auto"/>
        </w:rPr>
        <w:t>委托代理人联系电话（必填）：</w:t>
      </w:r>
      <w:r>
        <w:rPr>
          <w:rFonts w:hint="eastAsia" w:ascii="Times New Roman"/>
          <w:color w:val="auto"/>
          <w:u w:val="single"/>
        </w:rPr>
        <w:t xml:space="preserve">                       </w:t>
      </w:r>
    </w:p>
    <w:p w14:paraId="3A2F84F0">
      <w:pPr>
        <w:widowControl w:val="0"/>
        <w:tabs>
          <w:tab w:val="center" w:pos="3325"/>
          <w:tab w:val="center" w:pos="4201"/>
          <w:tab w:val="center" w:pos="4621"/>
          <w:tab w:val="center" w:pos="5041"/>
          <w:tab w:val="center" w:pos="8402"/>
        </w:tabs>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4C0BB95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日 </w:t>
      </w:r>
    </w:p>
    <w:p w14:paraId="78D20363">
      <w:pPr>
        <w:widowControl w:val="0"/>
        <w:adjustRightInd w:val="0"/>
        <w:snapToGrid w:val="0"/>
        <w:spacing w:after="0" w:line="490" w:lineRule="exact"/>
        <w:ind w:firstLine="420" w:firstLineChars="200"/>
        <w:jc w:val="right"/>
        <w:rPr>
          <w:rFonts w:ascii="Times New Roman" w:hAnsi="Times New Roman" w:eastAsia="宋体" w:cs="宋体"/>
          <w:color w:val="auto"/>
          <w:sz w:val="21"/>
          <w:szCs w:val="21"/>
        </w:rPr>
      </w:pPr>
    </w:p>
    <w:p w14:paraId="2BD8E36E">
      <w:pPr>
        <w:widowControl w:val="0"/>
        <w:adjustRightInd w:val="0"/>
        <w:snapToGrid w:val="0"/>
        <w:spacing w:after="0" w:line="265" w:lineRule="auto"/>
        <w:ind w:hanging="10"/>
        <w:jc w:val="right"/>
        <w:rPr>
          <w:rFonts w:ascii="Times New Roman" w:hAnsi="Times New Roman" w:eastAsia="宋体" w:cs="宋体"/>
          <w:color w:val="auto"/>
          <w:sz w:val="21"/>
        </w:rPr>
      </w:pPr>
    </w:p>
    <w:p w14:paraId="3A99AD2E">
      <w:bookmarkStart w:id="787" w:name="_Toc56792854"/>
      <w:bookmarkStart w:id="788" w:name="_Toc31525"/>
    </w:p>
    <w:p w14:paraId="34959CB9">
      <w:pPr>
        <w:rPr>
          <w:rFonts w:ascii="Times New Roman" w:hAnsi="Times New Roman" w:eastAsia="宋体" w:cs="宋体"/>
          <w:bCs/>
          <w:color w:val="auto"/>
          <w:sz w:val="36"/>
        </w:rPr>
      </w:pPr>
      <w:bookmarkStart w:id="789" w:name="_Toc29233"/>
      <w:bookmarkStart w:id="790" w:name="_Toc3664"/>
      <w:bookmarkStart w:id="791" w:name="_Toc23529"/>
      <w:bookmarkStart w:id="792" w:name="_Toc28566"/>
      <w:r>
        <w:rPr>
          <w:rFonts w:hint="eastAsia" w:ascii="Times New Roman" w:hAnsi="Times New Roman" w:eastAsia="宋体" w:cs="宋体"/>
          <w:bCs/>
          <w:color w:val="auto"/>
          <w:sz w:val="36"/>
        </w:rPr>
        <w:br w:type="page"/>
      </w:r>
    </w:p>
    <w:p w14:paraId="6AAA24F8">
      <w:pPr>
        <w:pStyle w:val="3"/>
        <w:keepNext w:val="0"/>
        <w:keepLines w:val="0"/>
        <w:widowControl w:val="0"/>
        <w:adjustRightInd w:val="0"/>
        <w:snapToGrid w:val="0"/>
        <w:spacing w:after="156" w:afterLines="50" w:line="240" w:lineRule="auto"/>
        <w:ind w:left="0" w:right="0" w:firstLine="0"/>
        <w:jc w:val="center"/>
        <w:rPr>
          <w:rFonts w:ascii="Times New Roman" w:hAnsi="Times New Roman" w:cs="宋体"/>
          <w:b w:val="0"/>
          <w:bCs/>
          <w:color w:val="auto"/>
          <w:sz w:val="36"/>
        </w:rPr>
      </w:pPr>
      <w:bookmarkStart w:id="793" w:name="_Toc19965"/>
      <w:r>
        <w:rPr>
          <w:rFonts w:hint="eastAsia" w:ascii="Times New Roman" w:hAnsi="Times New Roman" w:cs="宋体"/>
          <w:b w:val="0"/>
          <w:bCs/>
          <w:color w:val="auto"/>
          <w:sz w:val="36"/>
        </w:rPr>
        <w:t>三、联合体协议书</w:t>
      </w:r>
      <w:bookmarkEnd w:id="787"/>
      <w:bookmarkEnd w:id="788"/>
      <w:r>
        <w:rPr>
          <w:rFonts w:hint="eastAsia" w:ascii="Times New Roman" w:hAnsi="Times New Roman" w:cs="宋体"/>
          <w:b w:val="0"/>
          <w:bCs/>
          <w:color w:val="auto"/>
          <w:sz w:val="36"/>
        </w:rPr>
        <w:t>（</w:t>
      </w:r>
      <w:r>
        <w:rPr>
          <w:rFonts w:hint="eastAsia" w:ascii="Times New Roman" w:hAnsi="Times New Roman" w:cs="宋体"/>
          <w:bCs/>
          <w:color w:val="auto"/>
          <w:sz w:val="36"/>
        </w:rPr>
        <w:t>如有</w:t>
      </w:r>
      <w:r>
        <w:rPr>
          <w:rFonts w:hint="eastAsia" w:ascii="Times New Roman" w:hAnsi="Times New Roman" w:cs="宋体"/>
          <w:b w:val="0"/>
          <w:bCs/>
          <w:color w:val="auto"/>
          <w:sz w:val="36"/>
        </w:rPr>
        <w:t>）</w:t>
      </w:r>
      <w:bookmarkEnd w:id="789"/>
      <w:bookmarkEnd w:id="790"/>
      <w:bookmarkEnd w:id="791"/>
      <w:bookmarkEnd w:id="792"/>
      <w:bookmarkEnd w:id="793"/>
    </w:p>
    <w:p w14:paraId="1C592E0A">
      <w:pPr>
        <w:widowControl w:val="0"/>
        <w:spacing w:after="0" w:line="360" w:lineRule="auto"/>
        <w:ind w:firstLine="480" w:firstLineChars="200"/>
        <w:jc w:val="both"/>
        <w:rPr>
          <w:rFonts w:ascii="Times New Roman" w:hAnsi="Times New Roman" w:eastAsia="宋体" w:cs="宋体"/>
          <w:color w:val="auto"/>
          <w:sz w:val="24"/>
          <w:szCs w:val="24"/>
        </w:rPr>
      </w:pPr>
      <w:bookmarkStart w:id="794" w:name="_Hlk51172158"/>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（所有成员单位名称）自愿组成联合体，共同参加</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（项目名称）设备采购投标。现就联合体投标事宜订立如下协议。 </w:t>
      </w:r>
    </w:p>
    <w:p w14:paraId="2447F759">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（某成员单位名称）为 </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（联合体名称）牵头人。</w:t>
      </w:r>
    </w:p>
    <w:p w14:paraId="77E8D045">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在本招标项目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398AD716">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1E6A2FC0">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4、联合体各成员单位内部的职责分工如下：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。按照本条上述分工，联合体成员单位各自所承担的合同工作量比例如下：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 。</w:t>
      </w:r>
    </w:p>
    <w:p w14:paraId="6AB69A89">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5、投标工作和联合体在中标后工程实施过程中的有关费用按各自承担的工作量分摊。</w:t>
      </w:r>
    </w:p>
    <w:p w14:paraId="7A53660A">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6、联合体中标后，本联合体协议是合同的附件，对联合体各成员单位有合同约束力。</w:t>
      </w:r>
    </w:p>
    <w:p w14:paraId="6C7E7987">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7、本协议书自签署之日起生效，联合体未中标或者中标时合同履行完毕后自动失效。</w:t>
      </w:r>
    </w:p>
    <w:p w14:paraId="4B091F76">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8、本协议书一式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份，联合体成员和招标人各执一份。</w:t>
      </w:r>
    </w:p>
    <w:p w14:paraId="3808CF9A">
      <w:pPr>
        <w:widowControl w:val="0"/>
        <w:spacing w:after="0" w:line="360" w:lineRule="auto"/>
        <w:ind w:firstLine="48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4"/>
          <w:szCs w:val="24"/>
        </w:rPr>
        <w:t>注：本协议书由联合体各成员法定代表人签字，附法定代表人身份证明。</w:t>
      </w:r>
    </w:p>
    <w:p w14:paraId="451129B3">
      <w:pPr>
        <w:widowControl w:val="0"/>
        <w:spacing w:after="0" w:line="360" w:lineRule="auto"/>
        <w:ind w:firstLine="420" w:firstLineChars="200"/>
        <w:jc w:val="both"/>
        <w:rPr>
          <w:rFonts w:ascii="Times New Roman" w:hAnsi="Times New Roman" w:eastAsia="宋体" w:cs="宋体"/>
          <w:color w:val="auto"/>
          <w:sz w:val="21"/>
          <w:szCs w:val="21"/>
        </w:rPr>
      </w:pPr>
    </w:p>
    <w:p w14:paraId="3E79A14D">
      <w:pPr>
        <w:spacing w:line="360" w:lineRule="auto"/>
        <w:ind w:right="140"/>
        <w:rPr>
          <w:rFonts w:ascii="宋体" w:hAnsi="宋体" w:eastAsia="宋体" w:cs="宋体"/>
          <w:color w:val="auto"/>
          <w:sz w:val="24"/>
          <w:szCs w:val="24"/>
        </w:rPr>
      </w:pPr>
      <w:r>
        <w:rPr>
          <w:rFonts w:hint="eastAsia" w:ascii="宋体" w:hAnsi="宋体" w:eastAsia="宋体" w:cs="宋体"/>
          <w:color w:val="auto"/>
          <w:sz w:val="24"/>
          <w:szCs w:val="24"/>
        </w:rPr>
        <w:t>牵头人名称：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（单位CA数字证书章）</w:t>
      </w:r>
    </w:p>
    <w:p w14:paraId="5B2DE8AE">
      <w:pPr>
        <w:wordWrap w:val="0"/>
        <w:spacing w:line="360" w:lineRule="auto"/>
        <w:rPr>
          <w:rFonts w:ascii="宋体" w:hAnsi="宋体" w:eastAsia="宋体" w:cs="宋体"/>
          <w:color w:val="auto"/>
          <w:sz w:val="24"/>
          <w:szCs w:val="24"/>
        </w:rPr>
      </w:pPr>
      <w:r>
        <w:rPr>
          <w:rFonts w:hint="eastAsia" w:ascii="宋体" w:hAnsi="宋体" w:eastAsia="宋体" w:cs="宋体"/>
          <w:bCs/>
          <w:color w:val="auto"/>
          <w:sz w:val="24"/>
          <w:szCs w:val="24"/>
        </w:rPr>
        <w:t>法定代表人或其委托代理人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（CA数字证书章）</w:t>
      </w:r>
    </w:p>
    <w:p w14:paraId="0B442FA9">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成员一名称：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（单位CA数字证书章）</w:t>
      </w:r>
    </w:p>
    <w:p w14:paraId="51E50EB5">
      <w:pPr>
        <w:wordWrap w:val="0"/>
        <w:spacing w:line="360" w:lineRule="auto"/>
        <w:rPr>
          <w:rFonts w:ascii="宋体" w:hAnsi="宋体" w:eastAsia="宋体" w:cs="宋体"/>
          <w:color w:val="auto"/>
          <w:sz w:val="24"/>
          <w:szCs w:val="24"/>
        </w:rPr>
      </w:pPr>
      <w:r>
        <w:rPr>
          <w:rFonts w:hint="eastAsia" w:ascii="宋体" w:hAnsi="宋体" w:eastAsia="宋体" w:cs="宋体"/>
          <w:bCs/>
          <w:color w:val="auto"/>
          <w:sz w:val="24"/>
          <w:szCs w:val="24"/>
        </w:rPr>
        <w:t>法定代表人或其委托代理人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（CA数字证书章）</w:t>
      </w:r>
    </w:p>
    <w:p w14:paraId="5B7204F4">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成员二名称：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（单位CA数字证书章）</w:t>
      </w:r>
    </w:p>
    <w:p w14:paraId="4034DE41">
      <w:pPr>
        <w:wordWrap w:val="0"/>
        <w:spacing w:line="360" w:lineRule="auto"/>
        <w:rPr>
          <w:color w:val="auto"/>
          <w:sz w:val="24"/>
          <w:szCs w:val="24"/>
        </w:rPr>
      </w:pPr>
      <w:r>
        <w:rPr>
          <w:rFonts w:hint="eastAsia" w:ascii="宋体" w:hAnsi="宋体" w:eastAsia="宋体" w:cs="宋体"/>
          <w:bCs/>
          <w:color w:val="auto"/>
          <w:sz w:val="24"/>
          <w:szCs w:val="24"/>
        </w:rPr>
        <w:t>法定代表人或其委托代理人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（CA数字证书章）</w:t>
      </w:r>
    </w:p>
    <w:p w14:paraId="473F46BE">
      <w:pPr>
        <w:spacing w:line="360" w:lineRule="auto"/>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6189CCC6">
      <w:pPr>
        <w:spacing w:line="360" w:lineRule="auto"/>
        <w:ind w:firstLine="480" w:firstLineChars="200"/>
        <w:rPr>
          <w:rFonts w:ascii="Times New Roman" w:hAnsi="Times New Roman" w:eastAsia="宋体"/>
          <w:color w:val="auto"/>
          <w:sz w:val="24"/>
          <w:szCs w:val="24"/>
        </w:rPr>
      </w:pP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rPr>
        <w:t xml:space="preserve">        </w:t>
      </w:r>
      <w:r>
        <w:rPr>
          <w:rFonts w:ascii="Times New Roman" w:hAnsi="Times New Roman" w:eastAsia="宋体"/>
          <w:color w:val="auto"/>
          <w:sz w:val="24"/>
          <w:szCs w:val="24"/>
          <w:u w:val="single"/>
        </w:rPr>
        <w:t xml:space="preserve">   </w:t>
      </w:r>
      <w:r>
        <w:rPr>
          <w:rFonts w:ascii="Times New Roman" w:hAnsi="Times New Roman" w:eastAsia="宋体"/>
          <w:color w:val="auto"/>
          <w:sz w:val="24"/>
          <w:szCs w:val="24"/>
        </w:rPr>
        <w:t>年</w:t>
      </w: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rPr>
        <w:t xml:space="preserve">        </w:t>
      </w:r>
      <w:r>
        <w:rPr>
          <w:rFonts w:ascii="Times New Roman" w:hAnsi="Times New Roman" w:eastAsia="宋体"/>
          <w:color w:val="auto"/>
          <w:sz w:val="24"/>
          <w:szCs w:val="24"/>
          <w:u w:val="single"/>
        </w:rPr>
        <w:t xml:space="preserve">  </w:t>
      </w:r>
      <w:r>
        <w:rPr>
          <w:rFonts w:ascii="Times New Roman" w:hAnsi="Times New Roman" w:eastAsia="宋体"/>
          <w:color w:val="auto"/>
          <w:sz w:val="24"/>
          <w:szCs w:val="24"/>
        </w:rPr>
        <w:t>月</w:t>
      </w: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rPr>
        <w:t xml:space="preserve">        </w:t>
      </w:r>
      <w:r>
        <w:rPr>
          <w:rFonts w:ascii="Times New Roman" w:hAnsi="Times New Roman" w:eastAsia="宋体"/>
          <w:color w:val="auto"/>
          <w:sz w:val="24"/>
          <w:szCs w:val="24"/>
          <w:u w:val="single"/>
        </w:rPr>
        <w:t xml:space="preserve">  </w:t>
      </w:r>
      <w:r>
        <w:rPr>
          <w:rFonts w:ascii="Times New Roman" w:hAnsi="Times New Roman" w:eastAsia="宋体"/>
          <w:color w:val="auto"/>
          <w:sz w:val="24"/>
          <w:szCs w:val="24"/>
        </w:rPr>
        <w:t>日</w:t>
      </w:r>
    </w:p>
    <w:p w14:paraId="7E81BB64">
      <w:pPr>
        <w:widowControl w:val="0"/>
        <w:spacing w:after="0" w:line="360" w:lineRule="auto"/>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br w:type="page"/>
      </w:r>
    </w:p>
    <w:bookmarkEnd w:id="794"/>
    <w:p w14:paraId="51FEE802">
      <w:pPr>
        <w:widowControl w:val="0"/>
        <w:spacing w:after="0" w:line="360" w:lineRule="auto"/>
        <w:jc w:val="both"/>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3B177828">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795" w:name="_Toc16512"/>
      <w:bookmarkStart w:id="796" w:name="_Toc56792855"/>
      <w:bookmarkStart w:id="797" w:name="_Toc11311"/>
      <w:bookmarkStart w:id="798" w:name="_Toc16606"/>
      <w:bookmarkStart w:id="799" w:name="_Toc2046"/>
      <w:bookmarkStart w:id="800" w:name="_Toc12517"/>
      <w:bookmarkStart w:id="801" w:name="_Toc18696"/>
      <w:r>
        <w:rPr>
          <w:rFonts w:hint="eastAsia" w:ascii="Times New Roman" w:hAnsi="Times New Roman" w:cs="宋体"/>
          <w:b w:val="0"/>
          <w:bCs/>
          <w:color w:val="auto"/>
          <w:sz w:val="36"/>
        </w:rPr>
        <w:t>四、</w:t>
      </w:r>
      <w:bookmarkEnd w:id="795"/>
      <w:bookmarkEnd w:id="796"/>
      <w:r>
        <w:rPr>
          <w:rFonts w:hint="eastAsia" w:ascii="Times New Roman" w:hAnsi="Times New Roman" w:cs="宋体"/>
          <w:b w:val="0"/>
          <w:bCs/>
          <w:color w:val="auto"/>
          <w:sz w:val="36"/>
        </w:rPr>
        <w:t>投标保证金</w:t>
      </w:r>
      <w:bookmarkEnd w:id="797"/>
      <w:bookmarkEnd w:id="798"/>
      <w:bookmarkEnd w:id="799"/>
      <w:bookmarkEnd w:id="800"/>
      <w:bookmarkEnd w:id="801"/>
    </w:p>
    <w:p w14:paraId="0E6971CC">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若采用现金或支票，投标人应在此提供汇款凭证的复印件。</w:t>
      </w:r>
    </w:p>
    <w:p w14:paraId="7E3F5BB9">
      <w:pPr>
        <w:shd w:val="clear" w:color="auto" w:fill="FFFFFF"/>
        <w:spacing w:line="440" w:lineRule="exact"/>
        <w:rPr>
          <w:rFonts w:ascii="Times New Roman" w:hAnsi="Times New Roman" w:eastAsia="宋体" w:cs="FangSong_GB2312"/>
          <w:color w:val="auto"/>
          <w:sz w:val="21"/>
          <w:szCs w:val="21"/>
          <w:u w:val="single"/>
        </w:rPr>
      </w:pPr>
      <w:r>
        <w:rPr>
          <w:rFonts w:hint="eastAsia" w:ascii="Times New Roman" w:hAnsi="Times New Roman" w:eastAsia="宋体" w:cs="FangSong_GB2312"/>
          <w:color w:val="auto"/>
          <w:sz w:val="21"/>
          <w:szCs w:val="21"/>
        </w:rPr>
        <w:t>如采用银行保函，在此提供银行保函的复印件，参考格式如下。</w:t>
      </w:r>
    </w:p>
    <w:p w14:paraId="5FAEC662">
      <w:pPr>
        <w:shd w:val="clear" w:color="auto" w:fill="FFFFFF"/>
        <w:spacing w:line="440" w:lineRule="exact"/>
        <w:rPr>
          <w:rFonts w:ascii="Times New Roman" w:hAnsi="Times New Roman" w:eastAsia="宋体" w:cs="FangSong_GB2312"/>
          <w:color w:val="auto"/>
          <w:sz w:val="21"/>
          <w:szCs w:val="21"/>
          <w:u w:val="single"/>
        </w:rPr>
      </w:pPr>
    </w:p>
    <w:p w14:paraId="4EFD994F">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（招标人名称）：</w:t>
      </w:r>
    </w:p>
    <w:p w14:paraId="71EF4144">
      <w:pPr>
        <w:shd w:val="clear" w:color="auto" w:fill="FFFFFF"/>
        <w:spacing w:line="440" w:lineRule="exact"/>
        <w:rPr>
          <w:rFonts w:ascii="Times New Roman" w:hAnsi="Times New Roman" w:eastAsia="宋体" w:cs="FangSong_GB2312"/>
          <w:color w:val="auto"/>
          <w:sz w:val="21"/>
          <w:szCs w:val="21"/>
        </w:rPr>
      </w:pPr>
    </w:p>
    <w:p w14:paraId="02A7B82E">
      <w:pPr>
        <w:shd w:val="clear" w:color="auto" w:fill="FFFFFF"/>
        <w:spacing w:line="440" w:lineRule="exact"/>
        <w:ind w:firstLine="420" w:firstLineChars="200"/>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鉴于</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（投标人名称）（以下简称“投标人”）于</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年</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月</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日参加</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（项目名称）</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标段施工的投标，</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担保人名称，以下简称“我方”）无条件地、不可撤销地保证：投标人在规定的投标文件有效期内撤销或修改其投标文件的，或者投标人在收到中标通知书后无正当理由拒签合同或拒交规定履约保证金的，我方承担保证责任。收到你方书面通知后，在7日内无条件向你方支付人民币（大写）</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元。</w:t>
      </w:r>
    </w:p>
    <w:p w14:paraId="77517488">
      <w:pPr>
        <w:shd w:val="clear" w:color="auto" w:fill="FFFFFF"/>
        <w:spacing w:line="440" w:lineRule="exact"/>
        <w:ind w:firstLine="420" w:firstLineChars="200"/>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本保函在投标有效期内保持有效。要求我方承担保证责任的通知应在投标有效期内送达我方。</w:t>
      </w:r>
    </w:p>
    <w:p w14:paraId="0AF06B9D">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 xml:space="preserve"> </w:t>
      </w:r>
    </w:p>
    <w:p w14:paraId="445D274C">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担保人名称：</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w:t>
      </w:r>
      <w:r>
        <w:rPr>
          <w:rFonts w:ascii="Times New Roman" w:hAnsi="Times New Roman" w:eastAsia="宋体"/>
          <w:color w:val="auto"/>
          <w:sz w:val="21"/>
          <w:szCs w:val="21"/>
        </w:rPr>
        <w:t>盖单位公章</w:t>
      </w:r>
      <w:r>
        <w:rPr>
          <w:rFonts w:hint="eastAsia" w:ascii="Times New Roman" w:hAnsi="Times New Roman" w:eastAsia="宋体" w:cs="FangSong_GB2312"/>
          <w:color w:val="auto"/>
          <w:sz w:val="21"/>
          <w:szCs w:val="21"/>
        </w:rPr>
        <w:t>）</w:t>
      </w:r>
    </w:p>
    <w:p w14:paraId="44B97077">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法定代表人或其委托代理人：</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w:t>
      </w:r>
      <w:r>
        <w:rPr>
          <w:rFonts w:hint="eastAsia" w:ascii="Times New Roman" w:hAnsi="Times New Roman" w:eastAsia="宋体" w:cs="Times New Roman"/>
          <w:color w:val="auto"/>
          <w:sz w:val="21"/>
          <w:szCs w:val="21"/>
        </w:rPr>
        <w:t>签字或盖章</w:t>
      </w:r>
      <w:r>
        <w:rPr>
          <w:rFonts w:hint="eastAsia" w:ascii="Times New Roman" w:hAnsi="Times New Roman" w:eastAsia="宋体" w:cs="FangSong_GB2312"/>
          <w:color w:val="auto"/>
          <w:sz w:val="21"/>
          <w:szCs w:val="21"/>
        </w:rPr>
        <w:t>）</w:t>
      </w:r>
    </w:p>
    <w:p w14:paraId="191C679D">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地    址：</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p>
    <w:p w14:paraId="71BFB877">
      <w:pPr>
        <w:shd w:val="clear" w:color="auto" w:fill="FFFFFF"/>
        <w:spacing w:line="440" w:lineRule="exact"/>
        <w:rPr>
          <w:rFonts w:ascii="Times New Roman" w:hAnsi="Times New Roman" w:eastAsia="宋体" w:cs="FangSong_GB2312"/>
          <w:color w:val="auto"/>
          <w:sz w:val="21"/>
          <w:szCs w:val="21"/>
          <w:u w:val="single"/>
        </w:rPr>
      </w:pPr>
      <w:r>
        <w:rPr>
          <w:rFonts w:hint="eastAsia" w:ascii="Times New Roman" w:hAnsi="Times New Roman" w:eastAsia="宋体" w:cs="FangSong_GB2312"/>
          <w:color w:val="auto"/>
          <w:sz w:val="21"/>
          <w:szCs w:val="21"/>
        </w:rPr>
        <w:t>邮政编码：</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p>
    <w:p w14:paraId="6314A38A">
      <w:pPr>
        <w:shd w:val="clear" w:color="auto" w:fill="FFFFFF"/>
        <w:spacing w:line="440" w:lineRule="exact"/>
        <w:rPr>
          <w:rFonts w:ascii="Times New Roman" w:hAnsi="Times New Roman" w:eastAsia="宋体" w:cs="FangSong_GB2312"/>
          <w:color w:val="auto"/>
          <w:sz w:val="21"/>
          <w:szCs w:val="21"/>
          <w:u w:val="single"/>
        </w:rPr>
      </w:pPr>
      <w:r>
        <w:rPr>
          <w:rFonts w:hint="eastAsia" w:ascii="Times New Roman" w:hAnsi="Times New Roman" w:eastAsia="宋体" w:cs="FangSong_GB2312"/>
          <w:color w:val="auto"/>
          <w:sz w:val="21"/>
          <w:szCs w:val="21"/>
        </w:rPr>
        <w:t>电    话：</w:t>
      </w:r>
      <w:r>
        <w:rPr>
          <w:rFonts w:hint="eastAsia" w:ascii="Times New Roman" w:hAnsi="Times New Roman" w:eastAsia="宋体" w:cs="FangSong_GB2312"/>
          <w:color w:val="auto"/>
          <w:sz w:val="21"/>
          <w:szCs w:val="21"/>
          <w:u w:val="single"/>
        </w:rPr>
        <w:t xml:space="preserve">                                          </w:t>
      </w:r>
    </w:p>
    <w:p w14:paraId="29D2DE25">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传    真：</w:t>
      </w:r>
      <w:r>
        <w:rPr>
          <w:rFonts w:hint="eastAsia" w:ascii="Times New Roman" w:hAnsi="Times New Roman" w:eastAsia="宋体" w:cs="FangSong_GB2312"/>
          <w:color w:val="auto"/>
          <w:sz w:val="21"/>
          <w:szCs w:val="21"/>
          <w:u w:val="single"/>
        </w:rPr>
        <w:t xml:space="preserve">                                          </w:t>
      </w:r>
    </w:p>
    <w:p w14:paraId="19A0F255">
      <w:pPr>
        <w:shd w:val="clear" w:color="auto" w:fill="FFFFFF"/>
        <w:spacing w:line="440" w:lineRule="exact"/>
        <w:ind w:firstLine="2158" w:firstLineChars="1028"/>
        <w:rPr>
          <w:rFonts w:ascii="Times New Roman" w:hAnsi="Times New Roman" w:eastAsia="宋体" w:cs="FangSong_GB2312"/>
          <w:color w:val="auto"/>
          <w:sz w:val="21"/>
          <w:szCs w:val="21"/>
        </w:rPr>
      </w:pPr>
    </w:p>
    <w:p w14:paraId="4E7D65E5">
      <w:pPr>
        <w:shd w:val="clear" w:color="auto" w:fill="FFFFFF"/>
        <w:spacing w:line="440" w:lineRule="exact"/>
        <w:rPr>
          <w:rFonts w:ascii="Times New Roman" w:hAnsi="Times New Roman" w:eastAsia="宋体" w:cs="宋体"/>
          <w:color w:val="auto"/>
          <w:sz w:val="21"/>
          <w:szCs w:val="21"/>
        </w:rPr>
      </w:pP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年</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月</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日</w:t>
      </w:r>
    </w:p>
    <w:p w14:paraId="3BBAD2D1">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szCs w:val="28"/>
        </w:rPr>
        <w:br w:type="page"/>
      </w:r>
    </w:p>
    <w:p w14:paraId="0936607D">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02" w:name="_Toc13925"/>
      <w:bookmarkStart w:id="803" w:name="_Toc7222"/>
      <w:bookmarkStart w:id="804" w:name="_Toc14929"/>
      <w:bookmarkStart w:id="805" w:name="_Toc13282"/>
      <w:bookmarkStart w:id="806" w:name="_Toc23285"/>
      <w:bookmarkStart w:id="807" w:name="_Toc56792856"/>
      <w:bookmarkStart w:id="808" w:name="_Toc18645"/>
      <w:r>
        <w:rPr>
          <w:rFonts w:hint="eastAsia" w:ascii="Times New Roman" w:hAnsi="Times New Roman" w:cs="宋体"/>
          <w:b w:val="0"/>
          <w:bCs/>
          <w:color w:val="auto"/>
          <w:sz w:val="36"/>
        </w:rPr>
        <w:t>五、商务和技术偏差表</w:t>
      </w:r>
      <w:bookmarkEnd w:id="802"/>
      <w:bookmarkEnd w:id="803"/>
      <w:bookmarkEnd w:id="804"/>
      <w:bookmarkEnd w:id="805"/>
      <w:bookmarkEnd w:id="806"/>
      <w:bookmarkEnd w:id="807"/>
      <w:bookmarkEnd w:id="808"/>
      <w:r>
        <w:rPr>
          <w:rFonts w:hint="eastAsia" w:ascii="Times New Roman" w:hAnsi="Times New Roman" w:cs="宋体"/>
          <w:b w:val="0"/>
          <w:bCs/>
          <w:color w:val="auto"/>
          <w:sz w:val="36"/>
        </w:rPr>
        <w:t xml:space="preserve"> </w:t>
      </w:r>
    </w:p>
    <w:p w14:paraId="0620569B">
      <w:pPr>
        <w:widowControl w:val="0"/>
        <w:rPr>
          <w:rFonts w:ascii="Times New Roman" w:hAnsi="Times New Roman" w:eastAsia="宋体" w:cs="宋体"/>
          <w:color w:val="auto"/>
        </w:rPr>
      </w:pPr>
    </w:p>
    <w:tbl>
      <w:tblPr>
        <w:tblStyle w:val="17"/>
        <w:tblW w:w="5000" w:type="pct"/>
        <w:jc w:val="center"/>
        <w:tblLayout w:type="autofit"/>
        <w:tblCellMar>
          <w:top w:w="0" w:type="dxa"/>
          <w:left w:w="250" w:type="dxa"/>
          <w:bottom w:w="10" w:type="dxa"/>
          <w:right w:w="115" w:type="dxa"/>
        </w:tblCellMar>
      </w:tblPr>
      <w:tblGrid>
        <w:gridCol w:w="1396"/>
        <w:gridCol w:w="2544"/>
        <w:gridCol w:w="2629"/>
        <w:gridCol w:w="2102"/>
      </w:tblGrid>
      <w:tr w14:paraId="25A29C86">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21A73ED1">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序号</w:t>
            </w:r>
          </w:p>
        </w:tc>
        <w:tc>
          <w:tcPr>
            <w:tcW w:w="1467" w:type="pct"/>
            <w:tcBorders>
              <w:top w:val="single" w:color="000000" w:sz="4" w:space="0"/>
              <w:left w:val="single" w:color="000000" w:sz="4" w:space="0"/>
              <w:bottom w:val="single" w:color="000000" w:sz="4" w:space="0"/>
              <w:right w:val="single" w:color="000000" w:sz="4" w:space="0"/>
            </w:tcBorders>
            <w:vAlign w:val="center"/>
          </w:tcPr>
          <w:p w14:paraId="2821AED8">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招标文件章节及条款号</w:t>
            </w:r>
          </w:p>
        </w:tc>
        <w:tc>
          <w:tcPr>
            <w:tcW w:w="1516" w:type="pct"/>
            <w:tcBorders>
              <w:top w:val="single" w:color="000000" w:sz="4" w:space="0"/>
              <w:left w:val="single" w:color="000000" w:sz="4" w:space="0"/>
              <w:bottom w:val="single" w:color="000000" w:sz="4" w:space="0"/>
              <w:right w:val="single" w:color="000000" w:sz="4" w:space="0"/>
            </w:tcBorders>
            <w:vAlign w:val="center"/>
          </w:tcPr>
          <w:p w14:paraId="2F3D62EC">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投标文件章节及条款号</w:t>
            </w:r>
          </w:p>
        </w:tc>
        <w:tc>
          <w:tcPr>
            <w:tcW w:w="1212" w:type="pct"/>
            <w:tcBorders>
              <w:top w:val="single" w:color="000000" w:sz="4" w:space="0"/>
              <w:left w:val="single" w:color="000000" w:sz="4" w:space="0"/>
              <w:bottom w:val="single" w:color="000000" w:sz="4" w:space="0"/>
              <w:right w:val="single" w:color="000000" w:sz="4" w:space="0"/>
            </w:tcBorders>
            <w:vAlign w:val="center"/>
          </w:tcPr>
          <w:p w14:paraId="6108B207">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偏差说明</w:t>
            </w:r>
          </w:p>
        </w:tc>
      </w:tr>
      <w:tr w14:paraId="6C35EE92">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6A5B7C52">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p>
        </w:tc>
        <w:tc>
          <w:tcPr>
            <w:tcW w:w="1467" w:type="pct"/>
            <w:tcBorders>
              <w:top w:val="single" w:color="000000" w:sz="4" w:space="0"/>
              <w:left w:val="single" w:color="000000" w:sz="4" w:space="0"/>
              <w:bottom w:val="single" w:color="000000" w:sz="4" w:space="0"/>
              <w:right w:val="single" w:color="000000" w:sz="4" w:space="0"/>
            </w:tcBorders>
            <w:vAlign w:val="center"/>
          </w:tcPr>
          <w:p w14:paraId="52BD461B">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42375E5D">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612BE67B">
            <w:pPr>
              <w:widowControl w:val="0"/>
              <w:adjustRightInd w:val="0"/>
              <w:snapToGrid w:val="0"/>
              <w:spacing w:after="0" w:line="240" w:lineRule="auto"/>
              <w:jc w:val="center"/>
              <w:rPr>
                <w:rFonts w:ascii="Times New Roman" w:hAnsi="Times New Roman" w:eastAsia="宋体" w:cs="宋体"/>
                <w:color w:val="auto"/>
                <w:sz w:val="24"/>
                <w:szCs w:val="24"/>
              </w:rPr>
            </w:pPr>
          </w:p>
        </w:tc>
      </w:tr>
      <w:tr w14:paraId="23A175FE">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6C0E5AD6">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p>
        </w:tc>
        <w:tc>
          <w:tcPr>
            <w:tcW w:w="1467" w:type="pct"/>
            <w:tcBorders>
              <w:top w:val="single" w:color="000000" w:sz="4" w:space="0"/>
              <w:left w:val="single" w:color="000000" w:sz="4" w:space="0"/>
              <w:bottom w:val="single" w:color="000000" w:sz="4" w:space="0"/>
              <w:right w:val="single" w:color="000000" w:sz="4" w:space="0"/>
            </w:tcBorders>
            <w:vAlign w:val="center"/>
          </w:tcPr>
          <w:p w14:paraId="7DBFB10F">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3DF88D40">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034FB362">
            <w:pPr>
              <w:widowControl w:val="0"/>
              <w:adjustRightInd w:val="0"/>
              <w:snapToGrid w:val="0"/>
              <w:spacing w:after="0" w:line="240" w:lineRule="auto"/>
              <w:jc w:val="center"/>
              <w:rPr>
                <w:rFonts w:ascii="Times New Roman" w:hAnsi="Times New Roman" w:eastAsia="宋体" w:cs="宋体"/>
                <w:color w:val="auto"/>
                <w:sz w:val="24"/>
                <w:szCs w:val="24"/>
              </w:rPr>
            </w:pPr>
          </w:p>
        </w:tc>
      </w:tr>
      <w:tr w14:paraId="7D51A164">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04385E62">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w:t>
            </w:r>
          </w:p>
        </w:tc>
        <w:tc>
          <w:tcPr>
            <w:tcW w:w="1467" w:type="pct"/>
            <w:tcBorders>
              <w:top w:val="single" w:color="000000" w:sz="4" w:space="0"/>
              <w:left w:val="single" w:color="000000" w:sz="4" w:space="0"/>
              <w:bottom w:val="single" w:color="000000" w:sz="4" w:space="0"/>
              <w:right w:val="single" w:color="000000" w:sz="4" w:space="0"/>
            </w:tcBorders>
            <w:vAlign w:val="center"/>
          </w:tcPr>
          <w:p w14:paraId="01897633">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11883688">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31A0B522">
            <w:pPr>
              <w:widowControl w:val="0"/>
              <w:adjustRightInd w:val="0"/>
              <w:snapToGrid w:val="0"/>
              <w:spacing w:after="0" w:line="240" w:lineRule="auto"/>
              <w:jc w:val="center"/>
              <w:rPr>
                <w:rFonts w:ascii="Times New Roman" w:hAnsi="Times New Roman" w:eastAsia="宋体" w:cs="宋体"/>
                <w:color w:val="auto"/>
                <w:sz w:val="24"/>
                <w:szCs w:val="24"/>
              </w:rPr>
            </w:pPr>
          </w:p>
        </w:tc>
      </w:tr>
      <w:tr w14:paraId="37F83B65">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3FA97F30">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w:t>
            </w:r>
          </w:p>
        </w:tc>
        <w:tc>
          <w:tcPr>
            <w:tcW w:w="1467" w:type="pct"/>
            <w:tcBorders>
              <w:top w:val="single" w:color="000000" w:sz="4" w:space="0"/>
              <w:left w:val="single" w:color="000000" w:sz="4" w:space="0"/>
              <w:bottom w:val="single" w:color="000000" w:sz="4" w:space="0"/>
              <w:right w:val="single" w:color="000000" w:sz="4" w:space="0"/>
            </w:tcBorders>
            <w:vAlign w:val="center"/>
          </w:tcPr>
          <w:p w14:paraId="64812E6D">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4ADEEB35">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64F22166">
            <w:pPr>
              <w:widowControl w:val="0"/>
              <w:adjustRightInd w:val="0"/>
              <w:snapToGrid w:val="0"/>
              <w:spacing w:after="0" w:line="240" w:lineRule="auto"/>
              <w:jc w:val="center"/>
              <w:rPr>
                <w:rFonts w:ascii="Times New Roman" w:hAnsi="Times New Roman" w:eastAsia="宋体" w:cs="宋体"/>
                <w:color w:val="auto"/>
                <w:sz w:val="24"/>
                <w:szCs w:val="24"/>
              </w:rPr>
            </w:pPr>
          </w:p>
        </w:tc>
      </w:tr>
      <w:tr w14:paraId="02BD92AD">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490B5667">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w:t>
            </w:r>
          </w:p>
        </w:tc>
        <w:tc>
          <w:tcPr>
            <w:tcW w:w="1467" w:type="pct"/>
            <w:tcBorders>
              <w:top w:val="single" w:color="000000" w:sz="4" w:space="0"/>
              <w:left w:val="single" w:color="000000" w:sz="4" w:space="0"/>
              <w:bottom w:val="single" w:color="000000" w:sz="4" w:space="0"/>
              <w:right w:val="single" w:color="000000" w:sz="4" w:space="0"/>
            </w:tcBorders>
            <w:vAlign w:val="center"/>
          </w:tcPr>
          <w:p w14:paraId="52FE768C">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0716BD7E">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0E703C14">
            <w:pPr>
              <w:widowControl w:val="0"/>
              <w:adjustRightInd w:val="0"/>
              <w:snapToGrid w:val="0"/>
              <w:spacing w:after="0" w:line="240" w:lineRule="auto"/>
              <w:jc w:val="center"/>
              <w:rPr>
                <w:rFonts w:ascii="Times New Roman" w:hAnsi="Times New Roman" w:eastAsia="宋体" w:cs="宋体"/>
                <w:color w:val="auto"/>
                <w:sz w:val="24"/>
                <w:szCs w:val="24"/>
              </w:rPr>
            </w:pPr>
          </w:p>
        </w:tc>
      </w:tr>
      <w:tr w14:paraId="6BB45473">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3DB0AE4C">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tc>
        <w:tc>
          <w:tcPr>
            <w:tcW w:w="1467" w:type="pct"/>
            <w:tcBorders>
              <w:top w:val="single" w:color="000000" w:sz="4" w:space="0"/>
              <w:left w:val="single" w:color="000000" w:sz="4" w:space="0"/>
              <w:bottom w:val="single" w:color="000000" w:sz="4" w:space="0"/>
              <w:right w:val="single" w:color="000000" w:sz="4" w:space="0"/>
            </w:tcBorders>
            <w:vAlign w:val="center"/>
          </w:tcPr>
          <w:p w14:paraId="3E1B5CF9">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3ACA9240">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08597A45">
            <w:pPr>
              <w:widowControl w:val="0"/>
              <w:adjustRightInd w:val="0"/>
              <w:snapToGrid w:val="0"/>
              <w:spacing w:after="0" w:line="240" w:lineRule="auto"/>
              <w:jc w:val="center"/>
              <w:rPr>
                <w:rFonts w:ascii="Times New Roman" w:hAnsi="Times New Roman" w:eastAsia="宋体" w:cs="宋体"/>
                <w:color w:val="auto"/>
                <w:sz w:val="24"/>
                <w:szCs w:val="24"/>
              </w:rPr>
            </w:pPr>
          </w:p>
        </w:tc>
      </w:tr>
    </w:tbl>
    <w:p w14:paraId="0018A024">
      <w:pPr>
        <w:widowControl w:val="0"/>
        <w:adjustRightInd w:val="0"/>
        <w:snapToGrid w:val="0"/>
        <w:spacing w:after="0" w:line="265" w:lineRule="auto"/>
        <w:ind w:hanging="10"/>
        <w:rPr>
          <w:rFonts w:ascii="Times New Roman" w:hAnsi="Times New Roman" w:eastAsia="宋体" w:cs="宋体"/>
          <w:color w:val="auto"/>
          <w:sz w:val="24"/>
          <w:szCs w:val="24"/>
        </w:rPr>
      </w:pPr>
    </w:p>
    <w:p w14:paraId="4BC428F8">
      <w:pPr>
        <w:widowControl w:val="0"/>
        <w:adjustRightInd w:val="0"/>
        <w:snapToGrid w:val="0"/>
        <w:spacing w:after="0" w:line="265" w:lineRule="auto"/>
        <w:ind w:hanging="1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投标人保证：除商务和技术偏差表列出的偏差外，投标人响应招标文件的全部要求。</w:t>
      </w:r>
    </w:p>
    <w:p w14:paraId="3F648C29">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0F61CEC0">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364544A9">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1A67E7FB">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1F3B40D5">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3F32EB25">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投 标 人：</w:t>
      </w:r>
      <w:r>
        <w:rPr>
          <w:rFonts w:hint="eastAsia" w:ascii="Times New Roman" w:hAnsi="Times New Roman" w:eastAsia="宋体" w:cs="宋体"/>
          <w:color w:val="auto"/>
          <w:sz w:val="24"/>
          <w:szCs w:val="24"/>
          <w:u w:val="single"/>
        </w:rPr>
        <w:t xml:space="preserve">       （单位CA数字证书章）</w:t>
      </w:r>
    </w:p>
    <w:p w14:paraId="1F73B406">
      <w:pPr>
        <w:widowControl w:val="0"/>
        <w:adjustRightInd w:val="0"/>
        <w:snapToGrid w:val="0"/>
        <w:spacing w:after="0" w:line="360" w:lineRule="auto"/>
        <w:rPr>
          <w:rFonts w:ascii="Times New Roman" w:hAnsi="Times New Roman" w:eastAsia="宋体" w:cs="宋体"/>
          <w:color w:val="auto"/>
          <w:sz w:val="24"/>
          <w:szCs w:val="24"/>
        </w:rPr>
      </w:pPr>
    </w:p>
    <w:p w14:paraId="34CE0BE5">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法定代表人或其委托代理人：</w:t>
      </w:r>
      <w:r>
        <w:rPr>
          <w:rFonts w:hint="eastAsia" w:ascii="Times New Roman" w:hAnsi="Times New Roman" w:eastAsia="宋体" w:cs="宋体"/>
          <w:color w:val="auto"/>
          <w:sz w:val="24"/>
          <w:szCs w:val="24"/>
          <w:u w:val="single"/>
        </w:rPr>
        <w:t xml:space="preserve">      （CA数字证书章）</w:t>
      </w:r>
      <w:r>
        <w:rPr>
          <w:rFonts w:hint="eastAsia" w:ascii="Times New Roman" w:hAnsi="Times New Roman" w:eastAsia="宋体" w:cs="宋体"/>
          <w:color w:val="auto"/>
          <w:sz w:val="24"/>
          <w:szCs w:val="24"/>
        </w:rPr>
        <w:t xml:space="preserve">         </w:t>
      </w:r>
    </w:p>
    <w:p w14:paraId="5FAB0F21">
      <w:pPr>
        <w:widowControl w:val="0"/>
        <w:jc w:val="both"/>
        <w:rPr>
          <w:rFonts w:ascii="Times New Roman" w:hAnsi="Times New Roman" w:eastAsia="宋体" w:cs="宋体"/>
          <w:color w:val="auto"/>
          <w:sz w:val="24"/>
          <w:szCs w:val="24"/>
          <w:u w:val="single"/>
        </w:rPr>
      </w:pPr>
    </w:p>
    <w:p w14:paraId="40705502">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3079F669">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rPr>
        <w:br w:type="page"/>
      </w:r>
    </w:p>
    <w:p w14:paraId="51EED4F6">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09" w:name="_Toc2651"/>
      <w:bookmarkStart w:id="810" w:name="_Toc4251"/>
      <w:bookmarkStart w:id="811" w:name="_Toc15813"/>
      <w:bookmarkStart w:id="812" w:name="_Toc18439"/>
      <w:bookmarkStart w:id="813" w:name="_Toc56792857"/>
      <w:bookmarkStart w:id="814" w:name="_Toc26934"/>
      <w:bookmarkStart w:id="815" w:name="_Toc8882"/>
      <w:r>
        <w:rPr>
          <w:rFonts w:hint="eastAsia" w:ascii="Times New Roman" w:hAnsi="Times New Roman" w:cs="宋体"/>
          <w:b w:val="0"/>
          <w:bCs/>
          <w:color w:val="auto"/>
          <w:sz w:val="36"/>
        </w:rPr>
        <w:t>六、分项报价表</w:t>
      </w:r>
      <w:bookmarkEnd w:id="809"/>
      <w:bookmarkEnd w:id="810"/>
      <w:bookmarkEnd w:id="811"/>
      <w:bookmarkEnd w:id="812"/>
      <w:bookmarkEnd w:id="813"/>
      <w:bookmarkEnd w:id="814"/>
      <w:bookmarkEnd w:id="815"/>
    </w:p>
    <w:p w14:paraId="526CD1C2">
      <w:pPr>
        <w:widowControl w:val="0"/>
        <w:adjustRightInd w:val="0"/>
        <w:snapToGrid w:val="0"/>
        <w:spacing w:after="0" w:line="360" w:lineRule="auto"/>
        <w:rPr>
          <w:rFonts w:ascii="Times New Roman" w:hAnsi="Times New Roman" w:eastAsia="宋体" w:cs="宋体"/>
          <w:color w:val="auto"/>
          <w:sz w:val="21"/>
        </w:rPr>
      </w:pPr>
    </w:p>
    <w:p w14:paraId="33B7EB00">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r>
        <w:rPr>
          <w:rFonts w:hint="eastAsia" w:ascii="Times New Roman" w:hAnsi="Times New Roman" w:eastAsia="宋体" w:cs="宋体"/>
          <w:b/>
          <w:bCs/>
          <w:color w:val="auto"/>
        </w:rPr>
        <w:t xml:space="preserve">（一）分项报价表说明 </w:t>
      </w:r>
    </w:p>
    <w:p w14:paraId="31BF2B94">
      <w:pPr>
        <w:widowControl w:val="0"/>
        <w:rPr>
          <w:rFonts w:ascii="Times New Roman" w:hAnsi="Times New Roman" w:eastAsia="宋体" w:cs="宋体"/>
          <w:color w:val="auto"/>
        </w:rPr>
      </w:pPr>
      <w:r>
        <w:rPr>
          <w:rFonts w:hint="eastAsia" w:ascii="Times New Roman" w:hAnsi="Times New Roman" w:eastAsia="宋体" w:cs="宋体"/>
          <w:color w:val="auto"/>
        </w:rPr>
        <w:t>本项目为总价合同，投标人所填报的工程设备分项报价作为总价的参考，如分项报价表中的投标总价与投标函中的投标总价不一致的，以投标函中的投标总价为准。</w:t>
      </w:r>
    </w:p>
    <w:p w14:paraId="0DF798AC">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r>
        <w:rPr>
          <w:rFonts w:hint="eastAsia" w:ascii="Times New Roman" w:hAnsi="Times New Roman" w:eastAsia="宋体" w:cs="宋体"/>
          <w:b/>
          <w:bCs/>
          <w:color w:val="auto"/>
        </w:rPr>
        <w:br w:type="page"/>
      </w:r>
      <w:r>
        <w:rPr>
          <w:rFonts w:hint="eastAsia" w:ascii="Times New Roman" w:hAnsi="Times New Roman" w:eastAsia="宋体" w:cs="宋体"/>
          <w:b/>
          <w:bCs/>
          <w:color w:val="auto"/>
        </w:rPr>
        <w:t xml:space="preserve">（二）分项报价表 </w:t>
      </w:r>
    </w:p>
    <w:p w14:paraId="6EA8B208">
      <w:pPr>
        <w:widowControl w:val="0"/>
        <w:adjustRightInd w:val="0"/>
        <w:snapToGrid w:val="0"/>
        <w:spacing w:after="0" w:line="360" w:lineRule="auto"/>
        <w:jc w:val="righ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单位：人民币元 </w:t>
      </w:r>
    </w:p>
    <w:tbl>
      <w:tblPr>
        <w:tblStyle w:val="17"/>
        <w:tblW w:w="4741" w:type="pct"/>
        <w:jc w:val="center"/>
        <w:tblLayout w:type="fixed"/>
        <w:tblCellMar>
          <w:top w:w="0" w:type="dxa"/>
          <w:left w:w="108" w:type="dxa"/>
          <w:bottom w:w="0" w:type="dxa"/>
          <w:right w:w="108" w:type="dxa"/>
        </w:tblCellMar>
      </w:tblPr>
      <w:tblGrid>
        <w:gridCol w:w="609"/>
        <w:gridCol w:w="1263"/>
        <w:gridCol w:w="798"/>
        <w:gridCol w:w="731"/>
        <w:gridCol w:w="583"/>
        <w:gridCol w:w="480"/>
        <w:gridCol w:w="520"/>
        <w:gridCol w:w="507"/>
        <w:gridCol w:w="810"/>
        <w:gridCol w:w="836"/>
        <w:gridCol w:w="944"/>
      </w:tblGrid>
      <w:tr w14:paraId="3C76B3EC">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58C2DBE9">
            <w:pPr>
              <w:pStyle w:val="26"/>
              <w:spacing w:line="331" w:lineRule="exact"/>
              <w:jc w:val="center"/>
              <w:rPr>
                <w:rFonts w:ascii="宋体" w:hAnsi="宋体" w:cs="Microsoft JhengHei"/>
                <w:sz w:val="21"/>
                <w:szCs w:val="21"/>
              </w:rPr>
            </w:pPr>
            <w:r>
              <w:rPr>
                <w:rFonts w:ascii="宋体" w:hAnsi="宋体" w:cs="Microsoft JhengHei"/>
                <w:sz w:val="21"/>
                <w:szCs w:val="21"/>
              </w:rPr>
              <w:t>序号</w:t>
            </w:r>
          </w:p>
        </w:tc>
        <w:tc>
          <w:tcPr>
            <w:tcW w:w="781" w:type="pct"/>
            <w:tcBorders>
              <w:top w:val="single" w:color="000000" w:sz="4" w:space="0"/>
              <w:left w:val="single" w:color="000000" w:sz="4" w:space="0"/>
              <w:bottom w:val="single" w:color="000000" w:sz="4" w:space="0"/>
              <w:right w:val="single" w:color="auto" w:sz="4" w:space="0"/>
            </w:tcBorders>
            <w:vAlign w:val="center"/>
          </w:tcPr>
          <w:p w14:paraId="467B4EFD">
            <w:pPr>
              <w:pStyle w:val="26"/>
              <w:spacing w:line="331" w:lineRule="exact"/>
              <w:jc w:val="center"/>
              <w:rPr>
                <w:rFonts w:ascii="宋体" w:hAnsi="宋体" w:cs="Microsoft JhengHei"/>
                <w:sz w:val="21"/>
                <w:szCs w:val="21"/>
              </w:rPr>
            </w:pPr>
            <w:r>
              <w:rPr>
                <w:rFonts w:hint="eastAsia" w:ascii="宋体" w:hAnsi="宋体" w:cs="Microsoft JhengHei"/>
                <w:sz w:val="21"/>
                <w:szCs w:val="21"/>
              </w:rPr>
              <w:t>设备</w:t>
            </w:r>
            <w:r>
              <w:rPr>
                <w:rFonts w:ascii="宋体" w:hAnsi="宋体" w:cs="Microsoft JhengHei"/>
                <w:sz w:val="21"/>
                <w:szCs w:val="21"/>
              </w:rPr>
              <w:t>名称</w:t>
            </w:r>
          </w:p>
        </w:tc>
        <w:tc>
          <w:tcPr>
            <w:tcW w:w="494" w:type="pct"/>
            <w:tcBorders>
              <w:top w:val="single" w:color="000000" w:sz="4" w:space="0"/>
              <w:left w:val="single" w:color="auto" w:sz="4" w:space="0"/>
              <w:bottom w:val="single" w:color="000000" w:sz="4" w:space="0"/>
              <w:right w:val="single" w:color="auto" w:sz="4" w:space="0"/>
            </w:tcBorders>
            <w:vAlign w:val="center"/>
          </w:tcPr>
          <w:p w14:paraId="0392157B">
            <w:pPr>
              <w:pStyle w:val="26"/>
              <w:spacing w:line="331" w:lineRule="exact"/>
              <w:jc w:val="center"/>
              <w:rPr>
                <w:rFonts w:ascii="宋体" w:hAnsi="宋体" w:cs="Microsoft JhengHei"/>
                <w:sz w:val="21"/>
                <w:szCs w:val="21"/>
              </w:rPr>
            </w:pPr>
            <w:r>
              <w:rPr>
                <w:rFonts w:hint="eastAsia" w:ascii="宋体" w:hAnsi="宋体" w:cs="Microsoft JhengHei"/>
                <w:sz w:val="21"/>
                <w:szCs w:val="21"/>
              </w:rPr>
              <w:t>品牌</w:t>
            </w:r>
          </w:p>
        </w:tc>
        <w:tc>
          <w:tcPr>
            <w:tcW w:w="452" w:type="pct"/>
            <w:tcBorders>
              <w:top w:val="single" w:color="000000" w:sz="4" w:space="0"/>
              <w:left w:val="single" w:color="auto" w:sz="4" w:space="0"/>
              <w:bottom w:val="single" w:color="000000" w:sz="4" w:space="0"/>
              <w:right w:val="single" w:color="000000" w:sz="4" w:space="0"/>
            </w:tcBorders>
            <w:vAlign w:val="center"/>
          </w:tcPr>
          <w:p w14:paraId="164ED3CC">
            <w:pPr>
              <w:adjustRightInd w:val="0"/>
              <w:snapToGrid w:val="0"/>
              <w:ind w:left="-101" w:leftChars="-46" w:right="-66" w:rightChars="-30"/>
              <w:jc w:val="center"/>
              <w:rPr>
                <w:rFonts w:ascii="仿宋" w:hAnsi="仿宋" w:cs="FangSong_GB2312"/>
                <w:szCs w:val="21"/>
              </w:rPr>
            </w:pPr>
            <w:r>
              <w:rPr>
                <w:rFonts w:hint="eastAsia" w:ascii="仿宋" w:hAnsi="仿宋" w:cs="FangSong_GB2312"/>
                <w:szCs w:val="21"/>
              </w:rPr>
              <w:t>型号</w:t>
            </w:r>
          </w:p>
          <w:p w14:paraId="691FF0DB">
            <w:pPr>
              <w:pStyle w:val="26"/>
              <w:spacing w:line="331" w:lineRule="exact"/>
              <w:jc w:val="center"/>
              <w:rPr>
                <w:rFonts w:ascii="宋体" w:hAnsi="宋体" w:cs="Microsoft JhengHei"/>
                <w:sz w:val="21"/>
                <w:szCs w:val="21"/>
              </w:rPr>
            </w:pPr>
            <w:r>
              <w:rPr>
                <w:rFonts w:hint="eastAsia" w:ascii="仿宋" w:hAnsi="仿宋" w:cs="FangSong_GB2312"/>
                <w:szCs w:val="21"/>
              </w:rPr>
              <w:t>规格</w:t>
            </w:r>
          </w:p>
        </w:tc>
        <w:tc>
          <w:tcPr>
            <w:tcW w:w="361" w:type="pct"/>
            <w:tcBorders>
              <w:top w:val="single" w:color="000000" w:sz="4" w:space="0"/>
              <w:left w:val="single" w:color="000000" w:sz="4" w:space="0"/>
              <w:bottom w:val="single" w:color="000000" w:sz="4" w:space="0"/>
              <w:right w:val="single" w:color="000000" w:sz="4" w:space="0"/>
            </w:tcBorders>
            <w:vAlign w:val="center"/>
          </w:tcPr>
          <w:p w14:paraId="0967E0CC">
            <w:pPr>
              <w:pStyle w:val="26"/>
              <w:spacing w:line="331" w:lineRule="exact"/>
              <w:jc w:val="center"/>
              <w:rPr>
                <w:rFonts w:ascii="宋体" w:hAnsi="宋体" w:cs="Microsoft JhengHei"/>
                <w:sz w:val="21"/>
                <w:szCs w:val="21"/>
              </w:rPr>
            </w:pPr>
            <w:r>
              <w:rPr>
                <w:rFonts w:hint="eastAsia" w:ascii="宋体" w:hAnsi="宋体" w:cs="Microsoft JhengHei"/>
                <w:sz w:val="21"/>
                <w:szCs w:val="21"/>
              </w:rPr>
              <w:t>原产地</w:t>
            </w:r>
          </w:p>
        </w:tc>
        <w:tc>
          <w:tcPr>
            <w:tcW w:w="297" w:type="pct"/>
            <w:tcBorders>
              <w:top w:val="single" w:color="000000" w:sz="4" w:space="0"/>
              <w:left w:val="single" w:color="000000" w:sz="4" w:space="0"/>
              <w:bottom w:val="single" w:color="000000" w:sz="4" w:space="0"/>
              <w:right w:val="single" w:color="000000" w:sz="4" w:space="0"/>
            </w:tcBorders>
            <w:vAlign w:val="center"/>
          </w:tcPr>
          <w:p w14:paraId="7127A06A">
            <w:pPr>
              <w:pStyle w:val="26"/>
              <w:spacing w:line="331" w:lineRule="exact"/>
              <w:jc w:val="center"/>
              <w:rPr>
                <w:rFonts w:ascii="宋体" w:hAnsi="宋体" w:cs="Microsoft JhengHei"/>
                <w:sz w:val="21"/>
                <w:szCs w:val="21"/>
              </w:rPr>
            </w:pPr>
            <w:r>
              <w:rPr>
                <w:rFonts w:hint="eastAsia" w:ascii="宋体" w:hAnsi="宋体" w:cs="Microsoft JhengHei"/>
                <w:sz w:val="21"/>
                <w:szCs w:val="21"/>
              </w:rPr>
              <w:t>制造商名称</w:t>
            </w:r>
          </w:p>
        </w:tc>
        <w:tc>
          <w:tcPr>
            <w:tcW w:w="322" w:type="pct"/>
            <w:tcBorders>
              <w:top w:val="single" w:color="000000" w:sz="4" w:space="0"/>
              <w:left w:val="single" w:color="000000" w:sz="4" w:space="0"/>
              <w:bottom w:val="single" w:color="000000" w:sz="4" w:space="0"/>
              <w:right w:val="single" w:color="auto" w:sz="4" w:space="0"/>
            </w:tcBorders>
            <w:vAlign w:val="center"/>
          </w:tcPr>
          <w:p w14:paraId="1841E617">
            <w:pPr>
              <w:pStyle w:val="26"/>
              <w:spacing w:line="331" w:lineRule="exact"/>
              <w:jc w:val="center"/>
              <w:rPr>
                <w:rFonts w:ascii="宋体" w:hAnsi="宋体" w:cs="Microsoft JhengHei"/>
                <w:sz w:val="21"/>
                <w:szCs w:val="21"/>
              </w:rPr>
            </w:pPr>
            <w:r>
              <w:rPr>
                <w:rFonts w:ascii="宋体" w:hAnsi="宋体" w:cs="Microsoft JhengHei"/>
                <w:sz w:val="21"/>
                <w:szCs w:val="21"/>
              </w:rPr>
              <w:t>单位</w:t>
            </w:r>
          </w:p>
        </w:tc>
        <w:tc>
          <w:tcPr>
            <w:tcW w:w="314" w:type="pct"/>
            <w:tcBorders>
              <w:top w:val="single" w:color="000000" w:sz="4" w:space="0"/>
              <w:left w:val="single" w:color="auto" w:sz="4" w:space="0"/>
              <w:bottom w:val="single" w:color="000000" w:sz="4" w:space="0"/>
              <w:right w:val="single" w:color="auto" w:sz="4" w:space="0"/>
            </w:tcBorders>
            <w:vAlign w:val="center"/>
          </w:tcPr>
          <w:p w14:paraId="3324C344">
            <w:pPr>
              <w:pStyle w:val="26"/>
              <w:spacing w:line="331" w:lineRule="exact"/>
              <w:jc w:val="center"/>
              <w:rPr>
                <w:rFonts w:ascii="宋体" w:hAnsi="宋体" w:cs="Microsoft JhengHei"/>
                <w:sz w:val="21"/>
                <w:szCs w:val="21"/>
              </w:rPr>
            </w:pPr>
            <w:r>
              <w:rPr>
                <w:rFonts w:ascii="宋体" w:hAnsi="宋体" w:cs="Microsoft JhengHei"/>
                <w:sz w:val="21"/>
                <w:szCs w:val="21"/>
              </w:rPr>
              <w:t>数量</w:t>
            </w:r>
          </w:p>
        </w:tc>
        <w:tc>
          <w:tcPr>
            <w:tcW w:w="494" w:type="pct"/>
            <w:tcBorders>
              <w:top w:val="single" w:color="000000" w:sz="4" w:space="0"/>
              <w:left w:val="single" w:color="auto" w:sz="4" w:space="0"/>
              <w:bottom w:val="single" w:color="000000" w:sz="4" w:space="0"/>
              <w:right w:val="single" w:color="000000" w:sz="4" w:space="0"/>
            </w:tcBorders>
            <w:vAlign w:val="center"/>
          </w:tcPr>
          <w:p w14:paraId="2463E969">
            <w:pPr>
              <w:pStyle w:val="26"/>
              <w:spacing w:line="331" w:lineRule="exact"/>
              <w:jc w:val="center"/>
              <w:rPr>
                <w:rFonts w:ascii="宋体" w:hAnsi="宋体" w:cs="Microsoft JhengHei"/>
                <w:sz w:val="21"/>
                <w:szCs w:val="21"/>
              </w:rPr>
            </w:pPr>
            <w:r>
              <w:rPr>
                <w:rFonts w:ascii="宋体" w:hAnsi="宋体" w:cs="Microsoft JhengHei"/>
                <w:sz w:val="21"/>
                <w:szCs w:val="21"/>
              </w:rPr>
              <w:t>单价（元）</w:t>
            </w:r>
          </w:p>
        </w:tc>
        <w:tc>
          <w:tcPr>
            <w:tcW w:w="517" w:type="pct"/>
            <w:tcBorders>
              <w:top w:val="single" w:color="000000" w:sz="4" w:space="0"/>
              <w:left w:val="single" w:color="000000" w:sz="4" w:space="0"/>
              <w:bottom w:val="single" w:color="000000" w:sz="4" w:space="0"/>
              <w:right w:val="single" w:color="000000" w:sz="4" w:space="0"/>
            </w:tcBorders>
            <w:vAlign w:val="center"/>
          </w:tcPr>
          <w:p w14:paraId="27FE3597">
            <w:pPr>
              <w:pStyle w:val="26"/>
              <w:spacing w:line="331" w:lineRule="exact"/>
              <w:jc w:val="center"/>
              <w:rPr>
                <w:rFonts w:ascii="宋体" w:hAnsi="宋体" w:cs="Microsoft JhengHei"/>
                <w:sz w:val="21"/>
                <w:szCs w:val="21"/>
              </w:rPr>
            </w:pPr>
            <w:r>
              <w:rPr>
                <w:rFonts w:ascii="宋体" w:hAnsi="宋体" w:cs="Microsoft JhengHei"/>
                <w:sz w:val="21"/>
                <w:szCs w:val="21"/>
              </w:rPr>
              <w:t>总价（元）</w:t>
            </w:r>
          </w:p>
        </w:tc>
        <w:tc>
          <w:tcPr>
            <w:tcW w:w="584" w:type="pct"/>
            <w:tcBorders>
              <w:top w:val="single" w:color="000000" w:sz="4" w:space="0"/>
              <w:left w:val="single" w:color="000000" w:sz="4" w:space="0"/>
              <w:bottom w:val="single" w:color="000000" w:sz="4" w:space="0"/>
              <w:right w:val="single" w:color="000000" w:sz="4" w:space="0"/>
            </w:tcBorders>
            <w:vAlign w:val="center"/>
          </w:tcPr>
          <w:p w14:paraId="5E5AB087">
            <w:pPr>
              <w:pStyle w:val="26"/>
              <w:spacing w:line="331" w:lineRule="exact"/>
              <w:jc w:val="center"/>
              <w:rPr>
                <w:rFonts w:ascii="宋体" w:hAnsi="宋体" w:cs="Microsoft JhengHei"/>
                <w:sz w:val="21"/>
                <w:szCs w:val="21"/>
              </w:rPr>
            </w:pPr>
            <w:r>
              <w:rPr>
                <w:rFonts w:ascii="宋体" w:hAnsi="宋体" w:cs="Microsoft JhengHei"/>
                <w:sz w:val="21"/>
                <w:szCs w:val="21"/>
              </w:rPr>
              <w:t>备注</w:t>
            </w:r>
          </w:p>
          <w:p w14:paraId="5833209B">
            <w:pPr>
              <w:pStyle w:val="26"/>
              <w:spacing w:line="331" w:lineRule="exact"/>
              <w:jc w:val="center"/>
              <w:rPr>
                <w:rFonts w:ascii="宋体" w:hAnsi="宋体" w:cs="Microsoft JhengHei"/>
                <w:sz w:val="18"/>
                <w:szCs w:val="18"/>
              </w:rPr>
            </w:pPr>
            <w:r>
              <w:rPr>
                <w:rFonts w:hint="eastAsia" w:ascii="宋体" w:hAnsi="宋体" w:cs="Microsoft JhengHei"/>
                <w:sz w:val="18"/>
                <w:szCs w:val="18"/>
              </w:rPr>
              <w:t>（选用电机品牌）</w:t>
            </w:r>
          </w:p>
        </w:tc>
      </w:tr>
      <w:tr w14:paraId="49EDD275">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30E147DE">
            <w:pPr>
              <w:pStyle w:val="26"/>
              <w:spacing w:before="74"/>
              <w:ind w:left="275" w:right="277"/>
              <w:jc w:val="center"/>
              <w:rPr>
                <w:rFonts w:ascii="宋体" w:hAnsi="宋体"/>
                <w:sz w:val="21"/>
                <w:szCs w:val="21"/>
              </w:rPr>
            </w:pPr>
            <w:r>
              <w:rPr>
                <w:rFonts w:ascii="宋体" w:hAnsi="宋体"/>
                <w:sz w:val="21"/>
                <w:szCs w:val="21"/>
              </w:rPr>
              <w:t>1</w:t>
            </w:r>
          </w:p>
        </w:tc>
        <w:tc>
          <w:tcPr>
            <w:tcW w:w="781" w:type="pct"/>
            <w:tcBorders>
              <w:top w:val="single" w:color="000000" w:sz="4" w:space="0"/>
              <w:left w:val="single" w:color="000000" w:sz="4" w:space="0"/>
              <w:bottom w:val="single" w:color="000000" w:sz="4" w:space="0"/>
              <w:right w:val="single" w:color="auto" w:sz="4" w:space="0"/>
            </w:tcBorders>
            <w:vAlign w:val="center"/>
          </w:tcPr>
          <w:p w14:paraId="4D8ECF0A">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7AA97FBB">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5396259D">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422DDB77">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74493F7E">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3915A7C1">
            <w:pPr>
              <w:pStyle w:val="26"/>
              <w:spacing w:line="331" w:lineRule="exact"/>
              <w:jc w:val="center"/>
              <w:rPr>
                <w:rFonts w:ascii="宋体" w:hAnsi="宋体" w:cs="Microsoft JhengHei"/>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0ED16F02">
            <w:pPr>
              <w:pStyle w:val="26"/>
              <w:spacing w:line="331" w:lineRule="exact"/>
              <w:jc w:val="center"/>
              <w:rPr>
                <w:rFonts w:ascii="宋体" w:hAnsi="宋体" w:cs="Microsoft JhengHei"/>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139C55AE">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6F8F9F4B">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73DEEB17">
            <w:pPr>
              <w:jc w:val="center"/>
              <w:rPr>
                <w:rFonts w:ascii="宋体" w:hAnsi="宋体"/>
                <w:sz w:val="21"/>
                <w:szCs w:val="21"/>
              </w:rPr>
            </w:pPr>
          </w:p>
        </w:tc>
      </w:tr>
      <w:tr w14:paraId="7827D6A3">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43AFAB25">
            <w:pPr>
              <w:pStyle w:val="26"/>
              <w:spacing w:before="74"/>
              <w:ind w:left="275" w:right="277"/>
              <w:jc w:val="center"/>
              <w:rPr>
                <w:rFonts w:ascii="宋体" w:hAnsi="宋体"/>
                <w:sz w:val="21"/>
                <w:szCs w:val="21"/>
              </w:rPr>
            </w:pPr>
            <w:r>
              <w:rPr>
                <w:rFonts w:ascii="宋体" w:hAnsi="宋体"/>
                <w:sz w:val="21"/>
                <w:szCs w:val="21"/>
              </w:rPr>
              <w:t>2</w:t>
            </w:r>
          </w:p>
        </w:tc>
        <w:tc>
          <w:tcPr>
            <w:tcW w:w="781" w:type="pct"/>
            <w:tcBorders>
              <w:top w:val="single" w:color="000000" w:sz="4" w:space="0"/>
              <w:left w:val="single" w:color="000000" w:sz="4" w:space="0"/>
              <w:bottom w:val="single" w:color="000000" w:sz="4" w:space="0"/>
              <w:right w:val="single" w:color="auto" w:sz="4" w:space="0"/>
            </w:tcBorders>
            <w:vAlign w:val="center"/>
          </w:tcPr>
          <w:p w14:paraId="45457FB6">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164137B8">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5F035613">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1E09F4A4">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7EFAF3F8">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7C6E5A5D">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308DA9EE">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45BCEAF3">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7B8E3DCC">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1AE5ACEE">
            <w:pPr>
              <w:jc w:val="center"/>
              <w:rPr>
                <w:rFonts w:ascii="宋体" w:hAnsi="宋体"/>
                <w:sz w:val="21"/>
                <w:szCs w:val="21"/>
              </w:rPr>
            </w:pPr>
          </w:p>
        </w:tc>
      </w:tr>
      <w:tr w14:paraId="25D33E1D">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2B62238D">
            <w:pPr>
              <w:pStyle w:val="26"/>
              <w:spacing w:before="74"/>
              <w:ind w:left="275" w:right="277"/>
              <w:jc w:val="center"/>
              <w:rPr>
                <w:rFonts w:ascii="宋体" w:hAnsi="宋体"/>
                <w:sz w:val="21"/>
                <w:szCs w:val="21"/>
              </w:rPr>
            </w:pPr>
            <w:r>
              <w:rPr>
                <w:rFonts w:ascii="宋体" w:hAnsi="宋体"/>
                <w:sz w:val="21"/>
                <w:szCs w:val="21"/>
              </w:rPr>
              <w:t>3</w:t>
            </w:r>
          </w:p>
        </w:tc>
        <w:tc>
          <w:tcPr>
            <w:tcW w:w="781" w:type="pct"/>
            <w:tcBorders>
              <w:top w:val="single" w:color="000000" w:sz="4" w:space="0"/>
              <w:left w:val="single" w:color="000000" w:sz="4" w:space="0"/>
              <w:bottom w:val="single" w:color="000000" w:sz="4" w:space="0"/>
              <w:right w:val="single" w:color="auto" w:sz="4" w:space="0"/>
            </w:tcBorders>
            <w:vAlign w:val="center"/>
          </w:tcPr>
          <w:p w14:paraId="6EFAA745">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20EFF41C">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30749B55">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0477D876">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04B7CC69">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1A298BB3">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46E1044E">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416EF99B">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596A7DE8">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656D1BE0">
            <w:pPr>
              <w:jc w:val="center"/>
              <w:rPr>
                <w:rFonts w:ascii="宋体" w:hAnsi="宋体"/>
                <w:sz w:val="21"/>
                <w:szCs w:val="21"/>
              </w:rPr>
            </w:pPr>
          </w:p>
        </w:tc>
      </w:tr>
      <w:tr w14:paraId="6EA48389">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34029AEE">
            <w:pPr>
              <w:pStyle w:val="26"/>
              <w:spacing w:before="74"/>
              <w:ind w:left="275" w:right="277"/>
              <w:jc w:val="center"/>
              <w:rPr>
                <w:rFonts w:ascii="宋体" w:hAnsi="宋体"/>
                <w:sz w:val="21"/>
                <w:szCs w:val="21"/>
              </w:rPr>
            </w:pPr>
            <w:r>
              <w:rPr>
                <w:rFonts w:ascii="宋体" w:hAnsi="宋体"/>
                <w:sz w:val="21"/>
                <w:szCs w:val="21"/>
              </w:rPr>
              <w:t>4</w:t>
            </w:r>
          </w:p>
        </w:tc>
        <w:tc>
          <w:tcPr>
            <w:tcW w:w="781" w:type="pct"/>
            <w:tcBorders>
              <w:top w:val="single" w:color="000000" w:sz="4" w:space="0"/>
              <w:left w:val="single" w:color="000000" w:sz="4" w:space="0"/>
              <w:bottom w:val="single" w:color="000000" w:sz="4" w:space="0"/>
              <w:right w:val="single" w:color="auto" w:sz="4" w:space="0"/>
            </w:tcBorders>
            <w:vAlign w:val="center"/>
          </w:tcPr>
          <w:p w14:paraId="62FE5F5F">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539DA138">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613EB5C9">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3DD0D50F">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0F8A6FA7">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4CEA0CEB">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49FE7680">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4214F241">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389E74B7">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31F066CD">
            <w:pPr>
              <w:jc w:val="center"/>
              <w:rPr>
                <w:rFonts w:ascii="宋体" w:hAnsi="宋体"/>
                <w:sz w:val="21"/>
                <w:szCs w:val="21"/>
              </w:rPr>
            </w:pPr>
          </w:p>
        </w:tc>
      </w:tr>
      <w:tr w14:paraId="1FC58300">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38572065">
            <w:pPr>
              <w:pStyle w:val="26"/>
              <w:spacing w:before="74"/>
              <w:ind w:left="275" w:right="277"/>
              <w:jc w:val="center"/>
              <w:rPr>
                <w:rFonts w:ascii="宋体" w:hAnsi="宋体"/>
                <w:sz w:val="21"/>
                <w:szCs w:val="21"/>
              </w:rPr>
            </w:pPr>
            <w:r>
              <w:rPr>
                <w:rFonts w:ascii="宋体" w:hAnsi="宋体"/>
                <w:sz w:val="21"/>
                <w:szCs w:val="21"/>
              </w:rPr>
              <w:t>5</w:t>
            </w:r>
          </w:p>
        </w:tc>
        <w:tc>
          <w:tcPr>
            <w:tcW w:w="781" w:type="pct"/>
            <w:tcBorders>
              <w:top w:val="single" w:color="000000" w:sz="4" w:space="0"/>
              <w:left w:val="single" w:color="000000" w:sz="4" w:space="0"/>
              <w:bottom w:val="single" w:color="000000" w:sz="4" w:space="0"/>
              <w:right w:val="single" w:color="auto" w:sz="4" w:space="0"/>
            </w:tcBorders>
            <w:vAlign w:val="center"/>
          </w:tcPr>
          <w:p w14:paraId="0182A5D3">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0C204F0C">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4E852619">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65136EE6">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35925F99">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4B6A3597">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4496C6DC">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6757BA10">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2B89F758">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66E2A449">
            <w:pPr>
              <w:jc w:val="center"/>
              <w:rPr>
                <w:rFonts w:ascii="宋体" w:hAnsi="宋体"/>
                <w:sz w:val="21"/>
                <w:szCs w:val="21"/>
              </w:rPr>
            </w:pPr>
          </w:p>
        </w:tc>
      </w:tr>
      <w:tr w14:paraId="425B22D0">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773F61DA">
            <w:pPr>
              <w:pStyle w:val="26"/>
              <w:spacing w:before="74"/>
              <w:ind w:left="138"/>
              <w:jc w:val="center"/>
              <w:rPr>
                <w:rFonts w:ascii="宋体" w:hAnsi="宋体"/>
                <w:sz w:val="21"/>
                <w:szCs w:val="21"/>
              </w:rPr>
            </w:pPr>
            <w:r>
              <w:rPr>
                <w:rFonts w:ascii="宋体" w:hAnsi="宋体"/>
                <w:sz w:val="21"/>
                <w:szCs w:val="21"/>
              </w:rPr>
              <w:t>……</w:t>
            </w:r>
          </w:p>
        </w:tc>
        <w:tc>
          <w:tcPr>
            <w:tcW w:w="781" w:type="pct"/>
            <w:tcBorders>
              <w:top w:val="single" w:color="000000" w:sz="4" w:space="0"/>
              <w:left w:val="single" w:color="000000" w:sz="4" w:space="0"/>
              <w:bottom w:val="single" w:color="000000" w:sz="4" w:space="0"/>
              <w:right w:val="single" w:color="auto" w:sz="4" w:space="0"/>
            </w:tcBorders>
            <w:vAlign w:val="center"/>
          </w:tcPr>
          <w:p w14:paraId="5599D3A4">
            <w:pPr>
              <w:pStyle w:val="26"/>
              <w:spacing w:before="74"/>
              <w:jc w:val="center"/>
              <w:rPr>
                <w:rFonts w:ascii="宋体" w:hAnsi="宋体"/>
                <w:sz w:val="21"/>
                <w:szCs w:val="21"/>
              </w:rPr>
            </w:pPr>
            <w:r>
              <w:rPr>
                <w:rFonts w:ascii="宋体" w:hAnsi="宋体"/>
                <w:sz w:val="21"/>
                <w:szCs w:val="21"/>
              </w:rPr>
              <w:t>……</w:t>
            </w:r>
          </w:p>
        </w:tc>
        <w:tc>
          <w:tcPr>
            <w:tcW w:w="494" w:type="pct"/>
            <w:tcBorders>
              <w:top w:val="single" w:color="000000" w:sz="4" w:space="0"/>
              <w:left w:val="single" w:color="auto" w:sz="4" w:space="0"/>
              <w:bottom w:val="single" w:color="000000" w:sz="4" w:space="0"/>
              <w:right w:val="single" w:color="auto" w:sz="4" w:space="0"/>
            </w:tcBorders>
            <w:vAlign w:val="center"/>
          </w:tcPr>
          <w:p w14:paraId="095926B4">
            <w:pPr>
              <w:pStyle w:val="26"/>
              <w:spacing w:before="74"/>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3C2E7EFD">
            <w:pPr>
              <w:pStyle w:val="26"/>
              <w:spacing w:before="74"/>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5ECA8135">
            <w:pPr>
              <w:pStyle w:val="26"/>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19CBAB2B">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35724D17">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7D04353B">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257B1C62">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7EFCB07E">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3F0BCA42">
            <w:pPr>
              <w:jc w:val="center"/>
              <w:rPr>
                <w:rFonts w:ascii="宋体" w:hAnsi="宋体"/>
                <w:sz w:val="21"/>
                <w:szCs w:val="21"/>
              </w:rPr>
            </w:pPr>
          </w:p>
        </w:tc>
      </w:tr>
      <w:tr w14:paraId="7A480615">
        <w:tblPrEx>
          <w:tblCellMar>
            <w:top w:w="0" w:type="dxa"/>
            <w:left w:w="108" w:type="dxa"/>
            <w:bottom w:w="0" w:type="dxa"/>
            <w:right w:w="108" w:type="dxa"/>
          </w:tblCellMar>
        </w:tblPrEx>
        <w:trPr>
          <w:cantSplit/>
          <w:trHeight w:val="567" w:hRule="atLeast"/>
          <w:jc w:val="center"/>
        </w:trPr>
        <w:tc>
          <w:tcPr>
            <w:tcW w:w="3898" w:type="pct"/>
            <w:gridSpan w:val="9"/>
            <w:tcBorders>
              <w:top w:val="single" w:color="000000" w:sz="4" w:space="0"/>
              <w:left w:val="single" w:color="000000" w:sz="4" w:space="0"/>
              <w:bottom w:val="single" w:color="000000" w:sz="4" w:space="0"/>
              <w:right w:val="single" w:color="000000" w:sz="4" w:space="0"/>
            </w:tcBorders>
            <w:vAlign w:val="center"/>
          </w:tcPr>
          <w:p w14:paraId="3D53616D">
            <w:pPr>
              <w:pStyle w:val="26"/>
              <w:spacing w:line="328" w:lineRule="exact"/>
              <w:jc w:val="center"/>
              <w:rPr>
                <w:rFonts w:ascii="宋体" w:hAnsi="宋体" w:cs="Microsoft JhengHei"/>
                <w:sz w:val="21"/>
                <w:szCs w:val="21"/>
              </w:rPr>
            </w:pPr>
            <w:r>
              <w:rPr>
                <w:rFonts w:ascii="宋体" w:hAnsi="宋体" w:cs="Microsoft JhengHei"/>
                <w:sz w:val="21"/>
                <w:szCs w:val="21"/>
              </w:rPr>
              <w:t>合计报价</w:t>
            </w:r>
          </w:p>
        </w:tc>
        <w:tc>
          <w:tcPr>
            <w:tcW w:w="517" w:type="pct"/>
            <w:tcBorders>
              <w:top w:val="single" w:color="000000" w:sz="4" w:space="0"/>
              <w:left w:val="single" w:color="000000" w:sz="4" w:space="0"/>
              <w:bottom w:val="single" w:color="000000" w:sz="4" w:space="0"/>
              <w:right w:val="single" w:color="000000" w:sz="4" w:space="0"/>
            </w:tcBorders>
            <w:vAlign w:val="center"/>
          </w:tcPr>
          <w:p w14:paraId="42CD6099">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5BFFAACB">
            <w:pPr>
              <w:jc w:val="center"/>
              <w:rPr>
                <w:rFonts w:ascii="宋体" w:hAnsi="宋体"/>
                <w:sz w:val="21"/>
                <w:szCs w:val="21"/>
              </w:rPr>
            </w:pPr>
          </w:p>
        </w:tc>
      </w:tr>
    </w:tbl>
    <w:p w14:paraId="381E59C0">
      <w:pPr>
        <w:widowControl w:val="0"/>
        <w:adjustRightInd w:val="0"/>
        <w:snapToGrid w:val="0"/>
        <w:spacing w:after="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p>
    <w:p w14:paraId="7F65F9FB">
      <w:pPr>
        <w:widowControl w:val="0"/>
        <w:adjustRightInd w:val="0"/>
        <w:snapToGrid w:val="0"/>
        <w:spacing w:after="0"/>
        <w:rPr>
          <w:rFonts w:ascii="Times New Roman" w:hAnsi="Times New Roman" w:eastAsia="宋体" w:cs="宋体"/>
          <w:color w:val="auto"/>
          <w:sz w:val="21"/>
          <w:szCs w:val="21"/>
        </w:rPr>
      </w:pPr>
    </w:p>
    <w:p w14:paraId="06340D38">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投 标 人：</w:t>
      </w:r>
      <w:r>
        <w:rPr>
          <w:rFonts w:hint="eastAsia" w:ascii="Times New Roman" w:hAnsi="Times New Roman" w:eastAsia="宋体" w:cs="宋体"/>
          <w:color w:val="auto"/>
          <w:sz w:val="24"/>
          <w:szCs w:val="24"/>
          <w:u w:val="single"/>
        </w:rPr>
        <w:t xml:space="preserve">       （单位CA数字证书章）</w:t>
      </w:r>
    </w:p>
    <w:p w14:paraId="15EBDAB7">
      <w:pPr>
        <w:widowControl w:val="0"/>
        <w:adjustRightInd w:val="0"/>
        <w:snapToGrid w:val="0"/>
        <w:spacing w:after="0" w:line="360" w:lineRule="auto"/>
        <w:rPr>
          <w:rFonts w:ascii="Times New Roman" w:hAnsi="Times New Roman" w:eastAsia="宋体" w:cs="宋体"/>
          <w:color w:val="auto"/>
          <w:sz w:val="24"/>
          <w:szCs w:val="24"/>
        </w:rPr>
      </w:pPr>
    </w:p>
    <w:p w14:paraId="143248E5">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法定代表人或其委托代理人：</w:t>
      </w:r>
      <w:r>
        <w:rPr>
          <w:rFonts w:hint="eastAsia" w:ascii="Times New Roman" w:hAnsi="Times New Roman" w:eastAsia="宋体" w:cs="宋体"/>
          <w:color w:val="auto"/>
          <w:sz w:val="24"/>
          <w:szCs w:val="24"/>
          <w:u w:val="single"/>
        </w:rPr>
        <w:t xml:space="preserve">      （CA数字证书章）</w:t>
      </w:r>
      <w:r>
        <w:rPr>
          <w:rFonts w:hint="eastAsia" w:ascii="Times New Roman" w:hAnsi="Times New Roman" w:eastAsia="宋体" w:cs="宋体"/>
          <w:color w:val="auto"/>
          <w:sz w:val="24"/>
          <w:szCs w:val="24"/>
        </w:rPr>
        <w:t xml:space="preserve">         </w:t>
      </w:r>
    </w:p>
    <w:p w14:paraId="68232552">
      <w:pPr>
        <w:widowControl w:val="0"/>
        <w:jc w:val="both"/>
        <w:rPr>
          <w:rFonts w:ascii="Times New Roman" w:hAnsi="Times New Roman" w:eastAsia="宋体" w:cs="宋体"/>
          <w:color w:val="auto"/>
          <w:sz w:val="24"/>
          <w:szCs w:val="24"/>
          <w:u w:val="single"/>
        </w:rPr>
      </w:pPr>
    </w:p>
    <w:p w14:paraId="275BBA78">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050D54DB">
      <w:pPr>
        <w:widowControl w:val="0"/>
        <w:adjustRightInd w:val="0"/>
        <w:snapToGrid w:val="0"/>
        <w:spacing w:after="0" w:line="360" w:lineRule="auto"/>
        <w:rPr>
          <w:rFonts w:ascii="Times New Roman" w:hAnsi="Times New Roman" w:eastAsia="宋体" w:cs="宋体"/>
          <w:color w:val="auto"/>
          <w:sz w:val="21"/>
          <w:szCs w:val="21"/>
        </w:rPr>
      </w:pPr>
    </w:p>
    <w:p w14:paraId="6B7CFF11">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1"/>
          <w:szCs w:val="21"/>
        </w:rPr>
        <w:t>注：投标人可根据具体采购项目情况编制分项报价表格式及内容，本表仅供参考。</w:t>
      </w:r>
    </w:p>
    <w:p w14:paraId="35522125">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r>
        <w:rPr>
          <w:rFonts w:hint="eastAsia" w:ascii="Times New Roman" w:hAnsi="Times New Roman" w:cs="宋体"/>
          <w:color w:val="auto"/>
          <w:sz w:val="24"/>
          <w:szCs w:val="24"/>
        </w:rPr>
        <w:br w:type="page"/>
      </w:r>
      <w:bookmarkStart w:id="816" w:name="_Toc56792858"/>
      <w:bookmarkStart w:id="817" w:name="_Toc8136"/>
      <w:bookmarkStart w:id="818" w:name="_Toc3589"/>
      <w:bookmarkStart w:id="819" w:name="_Toc22660"/>
      <w:bookmarkStart w:id="820" w:name="_Toc5790"/>
      <w:bookmarkStart w:id="821" w:name="_Toc9353"/>
      <w:bookmarkStart w:id="822" w:name="_Toc30928"/>
      <w:r>
        <w:rPr>
          <w:rFonts w:hint="eastAsia" w:ascii="Times New Roman" w:hAnsi="Times New Roman" w:cs="宋体"/>
          <w:b w:val="0"/>
          <w:bCs/>
          <w:color w:val="auto"/>
          <w:sz w:val="36"/>
        </w:rPr>
        <w:t>七、资格审查资料</w:t>
      </w:r>
      <w:bookmarkEnd w:id="816"/>
      <w:bookmarkEnd w:id="817"/>
      <w:bookmarkEnd w:id="818"/>
      <w:bookmarkEnd w:id="819"/>
      <w:bookmarkEnd w:id="820"/>
      <w:bookmarkEnd w:id="821"/>
      <w:bookmarkEnd w:id="822"/>
      <w:r>
        <w:rPr>
          <w:rFonts w:hint="eastAsia" w:ascii="Times New Roman" w:hAnsi="Times New Roman" w:cs="宋体"/>
          <w:b w:val="0"/>
          <w:bCs/>
          <w:color w:val="auto"/>
          <w:sz w:val="36"/>
        </w:rPr>
        <w:t xml:space="preserve"> </w:t>
      </w:r>
    </w:p>
    <w:p w14:paraId="2ACE468F">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23" w:name="_Toc14227"/>
      <w:r>
        <w:rPr>
          <w:rFonts w:hint="eastAsia" w:ascii="Times New Roman" w:hAnsi="Times New Roman" w:eastAsia="宋体" w:cs="宋体"/>
          <w:b/>
          <w:bCs/>
          <w:color w:val="auto"/>
        </w:rPr>
        <w:t>（一）基本情况表</w:t>
      </w:r>
      <w:bookmarkEnd w:id="823"/>
    </w:p>
    <w:tbl>
      <w:tblPr>
        <w:tblStyle w:val="17"/>
        <w:tblW w:w="5260" w:type="pct"/>
        <w:jc w:val="center"/>
        <w:tblLayout w:type="autofit"/>
        <w:tblCellMar>
          <w:top w:w="0" w:type="dxa"/>
          <w:left w:w="89" w:type="dxa"/>
          <w:bottom w:w="46" w:type="dxa"/>
          <w:right w:w="89" w:type="dxa"/>
        </w:tblCellMar>
      </w:tblPr>
      <w:tblGrid>
        <w:gridCol w:w="2492"/>
        <w:gridCol w:w="762"/>
        <w:gridCol w:w="1997"/>
        <w:gridCol w:w="1076"/>
        <w:gridCol w:w="2598"/>
      </w:tblGrid>
      <w:tr w14:paraId="06097BFD">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4675A5AE">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投标人名称</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2A61D3DD">
            <w:pPr>
              <w:widowControl w:val="0"/>
              <w:adjustRightInd w:val="0"/>
              <w:snapToGrid w:val="0"/>
              <w:spacing w:after="0" w:line="240" w:lineRule="auto"/>
              <w:rPr>
                <w:rFonts w:ascii="Times New Roman" w:hAnsi="Times New Roman" w:eastAsia="宋体" w:cs="宋体"/>
                <w:color w:val="auto"/>
                <w:sz w:val="21"/>
                <w:szCs w:val="21"/>
              </w:rPr>
            </w:pPr>
          </w:p>
        </w:tc>
      </w:tr>
      <w:tr w14:paraId="298A1262">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4E63CF4">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注册资金</w:t>
            </w:r>
          </w:p>
        </w:tc>
        <w:tc>
          <w:tcPr>
            <w:tcW w:w="1546" w:type="pct"/>
            <w:gridSpan w:val="2"/>
            <w:tcBorders>
              <w:top w:val="single" w:color="000000" w:sz="4" w:space="0"/>
              <w:left w:val="single" w:color="000000" w:sz="4" w:space="0"/>
              <w:bottom w:val="single" w:color="000000" w:sz="4" w:space="0"/>
              <w:right w:val="single" w:color="000000" w:sz="4" w:space="0"/>
            </w:tcBorders>
            <w:vAlign w:val="center"/>
          </w:tcPr>
          <w:p w14:paraId="7FBD1E46">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153F6821">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成立时间</w:t>
            </w:r>
          </w:p>
        </w:tc>
        <w:tc>
          <w:tcPr>
            <w:tcW w:w="1455" w:type="pct"/>
            <w:tcBorders>
              <w:top w:val="single" w:color="000000" w:sz="4" w:space="0"/>
              <w:left w:val="single" w:color="000000" w:sz="4" w:space="0"/>
              <w:bottom w:val="single" w:color="000000" w:sz="4" w:space="0"/>
              <w:right w:val="single" w:color="000000" w:sz="4" w:space="0"/>
            </w:tcBorders>
            <w:vAlign w:val="center"/>
          </w:tcPr>
          <w:p w14:paraId="3C8A87D7">
            <w:pPr>
              <w:widowControl w:val="0"/>
              <w:adjustRightInd w:val="0"/>
              <w:snapToGrid w:val="0"/>
              <w:spacing w:after="0" w:line="240" w:lineRule="auto"/>
              <w:rPr>
                <w:rFonts w:ascii="Times New Roman" w:hAnsi="Times New Roman" w:eastAsia="宋体" w:cs="宋体"/>
                <w:color w:val="auto"/>
                <w:sz w:val="21"/>
                <w:szCs w:val="21"/>
              </w:rPr>
            </w:pPr>
          </w:p>
        </w:tc>
      </w:tr>
      <w:tr w14:paraId="6EEAAFBC">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0EFF3D2">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注册地址</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00699E4D">
            <w:pPr>
              <w:widowControl w:val="0"/>
              <w:adjustRightInd w:val="0"/>
              <w:snapToGrid w:val="0"/>
              <w:spacing w:after="0" w:line="240" w:lineRule="auto"/>
              <w:rPr>
                <w:rFonts w:ascii="Times New Roman" w:hAnsi="Times New Roman" w:eastAsia="宋体" w:cs="宋体"/>
                <w:color w:val="auto"/>
                <w:sz w:val="21"/>
                <w:szCs w:val="21"/>
              </w:rPr>
            </w:pPr>
          </w:p>
        </w:tc>
      </w:tr>
      <w:tr w14:paraId="0286BE10">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C64AF3E">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邮政编码</w:t>
            </w:r>
          </w:p>
        </w:tc>
        <w:tc>
          <w:tcPr>
            <w:tcW w:w="1546" w:type="pct"/>
            <w:gridSpan w:val="2"/>
            <w:tcBorders>
              <w:top w:val="single" w:color="000000" w:sz="4" w:space="0"/>
              <w:left w:val="single" w:color="000000" w:sz="4" w:space="0"/>
              <w:bottom w:val="single" w:color="000000" w:sz="4" w:space="0"/>
              <w:right w:val="single" w:color="000000" w:sz="4" w:space="0"/>
            </w:tcBorders>
            <w:vAlign w:val="center"/>
          </w:tcPr>
          <w:p w14:paraId="7DA3AD9E">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0B488D46">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员工总数</w:t>
            </w:r>
          </w:p>
        </w:tc>
        <w:tc>
          <w:tcPr>
            <w:tcW w:w="1455" w:type="pct"/>
            <w:tcBorders>
              <w:top w:val="single" w:color="000000" w:sz="4" w:space="0"/>
              <w:left w:val="single" w:color="000000" w:sz="4" w:space="0"/>
              <w:bottom w:val="single" w:color="000000" w:sz="4" w:space="0"/>
              <w:right w:val="single" w:color="000000" w:sz="4" w:space="0"/>
            </w:tcBorders>
            <w:vAlign w:val="center"/>
          </w:tcPr>
          <w:p w14:paraId="7960681B">
            <w:pPr>
              <w:widowControl w:val="0"/>
              <w:adjustRightInd w:val="0"/>
              <w:snapToGrid w:val="0"/>
              <w:spacing w:after="0" w:line="240" w:lineRule="auto"/>
              <w:rPr>
                <w:rFonts w:ascii="Times New Roman" w:hAnsi="Times New Roman" w:eastAsia="宋体" w:cs="宋体"/>
                <w:color w:val="auto"/>
                <w:sz w:val="21"/>
                <w:szCs w:val="21"/>
              </w:rPr>
            </w:pPr>
          </w:p>
        </w:tc>
      </w:tr>
      <w:tr w14:paraId="2D9C019D">
        <w:tblPrEx>
          <w:tblCellMar>
            <w:top w:w="0" w:type="dxa"/>
            <w:left w:w="89" w:type="dxa"/>
            <w:bottom w:w="46" w:type="dxa"/>
            <w:right w:w="89" w:type="dxa"/>
          </w:tblCellMar>
        </w:tblPrEx>
        <w:trPr>
          <w:trHeight w:val="454" w:hRule="atLeast"/>
          <w:jc w:val="center"/>
        </w:trPr>
        <w:tc>
          <w:tcPr>
            <w:tcW w:w="1396" w:type="pct"/>
            <w:vMerge w:val="restart"/>
            <w:tcBorders>
              <w:top w:val="single" w:color="000000" w:sz="4" w:space="0"/>
              <w:left w:val="single" w:color="000000" w:sz="4" w:space="0"/>
              <w:bottom w:val="single" w:color="000000" w:sz="4" w:space="0"/>
              <w:right w:val="single" w:color="000000" w:sz="4" w:space="0"/>
            </w:tcBorders>
            <w:vAlign w:val="center"/>
          </w:tcPr>
          <w:p w14:paraId="06360ECF">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联系方式</w:t>
            </w:r>
          </w:p>
        </w:tc>
        <w:tc>
          <w:tcPr>
            <w:tcW w:w="427" w:type="pct"/>
            <w:tcBorders>
              <w:top w:val="single" w:color="000000" w:sz="4" w:space="0"/>
              <w:left w:val="single" w:color="000000" w:sz="4" w:space="0"/>
              <w:bottom w:val="single" w:color="000000" w:sz="4" w:space="0"/>
              <w:right w:val="single" w:color="000000" w:sz="4" w:space="0"/>
            </w:tcBorders>
            <w:vAlign w:val="center"/>
          </w:tcPr>
          <w:p w14:paraId="62E2C802">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联系人</w:t>
            </w:r>
          </w:p>
        </w:tc>
        <w:tc>
          <w:tcPr>
            <w:tcW w:w="1119" w:type="pct"/>
            <w:tcBorders>
              <w:top w:val="single" w:color="000000" w:sz="4" w:space="0"/>
              <w:left w:val="single" w:color="000000" w:sz="4" w:space="0"/>
              <w:bottom w:val="single" w:color="000000" w:sz="4" w:space="0"/>
              <w:right w:val="single" w:color="000000" w:sz="4" w:space="0"/>
            </w:tcBorders>
            <w:vAlign w:val="center"/>
          </w:tcPr>
          <w:p w14:paraId="311FD706">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2D88D7B9">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电话</w:t>
            </w:r>
          </w:p>
        </w:tc>
        <w:tc>
          <w:tcPr>
            <w:tcW w:w="1455" w:type="pct"/>
            <w:tcBorders>
              <w:top w:val="single" w:color="000000" w:sz="4" w:space="0"/>
              <w:left w:val="single" w:color="000000" w:sz="4" w:space="0"/>
              <w:bottom w:val="single" w:color="000000" w:sz="4" w:space="0"/>
              <w:right w:val="single" w:color="000000" w:sz="4" w:space="0"/>
            </w:tcBorders>
            <w:vAlign w:val="center"/>
          </w:tcPr>
          <w:p w14:paraId="75C8A62D">
            <w:pPr>
              <w:widowControl w:val="0"/>
              <w:adjustRightInd w:val="0"/>
              <w:snapToGrid w:val="0"/>
              <w:spacing w:after="0" w:line="240" w:lineRule="auto"/>
              <w:rPr>
                <w:rFonts w:ascii="Times New Roman" w:hAnsi="Times New Roman" w:eastAsia="宋体" w:cs="宋体"/>
                <w:color w:val="auto"/>
                <w:sz w:val="21"/>
                <w:szCs w:val="21"/>
              </w:rPr>
            </w:pPr>
          </w:p>
        </w:tc>
      </w:tr>
      <w:tr w14:paraId="62147E72">
        <w:tblPrEx>
          <w:tblCellMar>
            <w:top w:w="0" w:type="dxa"/>
            <w:left w:w="89" w:type="dxa"/>
            <w:bottom w:w="46" w:type="dxa"/>
            <w:right w:w="89" w:type="dxa"/>
          </w:tblCellMar>
        </w:tblPrEx>
        <w:trPr>
          <w:trHeight w:val="454" w:hRule="atLeast"/>
          <w:jc w:val="center"/>
        </w:trPr>
        <w:tc>
          <w:tcPr>
            <w:tcW w:w="1396" w:type="pct"/>
            <w:vMerge w:val="continue"/>
            <w:tcBorders>
              <w:top w:val="nil"/>
              <w:left w:val="single" w:color="000000" w:sz="4" w:space="0"/>
              <w:bottom w:val="single" w:color="000000" w:sz="4" w:space="0"/>
              <w:right w:val="single" w:color="000000" w:sz="4" w:space="0"/>
            </w:tcBorders>
            <w:vAlign w:val="center"/>
          </w:tcPr>
          <w:p w14:paraId="54F6A1DA">
            <w:pPr>
              <w:widowControl w:val="0"/>
              <w:adjustRightInd w:val="0"/>
              <w:snapToGrid w:val="0"/>
              <w:spacing w:after="0" w:line="240" w:lineRule="auto"/>
              <w:jc w:val="center"/>
              <w:rPr>
                <w:rFonts w:ascii="Times New Roman" w:hAnsi="Times New Roman" w:eastAsia="宋体" w:cs="宋体"/>
                <w:color w:val="auto"/>
                <w:sz w:val="21"/>
                <w:szCs w:val="21"/>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14ABFC6B">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网址</w:t>
            </w:r>
          </w:p>
        </w:tc>
        <w:tc>
          <w:tcPr>
            <w:tcW w:w="1119" w:type="pct"/>
            <w:tcBorders>
              <w:top w:val="single" w:color="000000" w:sz="4" w:space="0"/>
              <w:left w:val="single" w:color="000000" w:sz="4" w:space="0"/>
              <w:bottom w:val="single" w:color="000000" w:sz="4" w:space="0"/>
              <w:right w:val="single" w:color="000000" w:sz="4" w:space="0"/>
            </w:tcBorders>
            <w:vAlign w:val="center"/>
          </w:tcPr>
          <w:p w14:paraId="24FF4EA5">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7178C523">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传真</w:t>
            </w:r>
          </w:p>
        </w:tc>
        <w:tc>
          <w:tcPr>
            <w:tcW w:w="1455" w:type="pct"/>
            <w:tcBorders>
              <w:top w:val="single" w:color="000000" w:sz="4" w:space="0"/>
              <w:left w:val="single" w:color="000000" w:sz="4" w:space="0"/>
              <w:bottom w:val="single" w:color="000000" w:sz="4" w:space="0"/>
              <w:right w:val="single" w:color="000000" w:sz="4" w:space="0"/>
            </w:tcBorders>
            <w:vAlign w:val="center"/>
          </w:tcPr>
          <w:p w14:paraId="412FCE92">
            <w:pPr>
              <w:widowControl w:val="0"/>
              <w:adjustRightInd w:val="0"/>
              <w:snapToGrid w:val="0"/>
              <w:spacing w:after="0" w:line="240" w:lineRule="auto"/>
              <w:rPr>
                <w:rFonts w:ascii="Times New Roman" w:hAnsi="Times New Roman" w:eastAsia="宋体" w:cs="宋体"/>
                <w:color w:val="auto"/>
                <w:sz w:val="21"/>
                <w:szCs w:val="21"/>
              </w:rPr>
            </w:pPr>
          </w:p>
        </w:tc>
      </w:tr>
      <w:tr w14:paraId="16C553C8">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4743B939">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w:t>
            </w:r>
          </w:p>
          <w:p w14:paraId="0C25A96F">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（单位负责人）</w:t>
            </w:r>
          </w:p>
        </w:tc>
        <w:tc>
          <w:tcPr>
            <w:tcW w:w="427" w:type="pct"/>
            <w:tcBorders>
              <w:top w:val="single" w:color="000000" w:sz="4" w:space="0"/>
              <w:left w:val="single" w:color="000000" w:sz="4" w:space="0"/>
              <w:bottom w:val="single" w:color="000000" w:sz="4" w:space="0"/>
              <w:right w:val="single" w:color="000000" w:sz="4" w:space="0"/>
            </w:tcBorders>
            <w:vAlign w:val="center"/>
          </w:tcPr>
          <w:p w14:paraId="1BE1C61E">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姓名</w:t>
            </w:r>
          </w:p>
        </w:tc>
        <w:tc>
          <w:tcPr>
            <w:tcW w:w="1119" w:type="pct"/>
            <w:tcBorders>
              <w:top w:val="single" w:color="000000" w:sz="4" w:space="0"/>
              <w:left w:val="single" w:color="000000" w:sz="4" w:space="0"/>
              <w:bottom w:val="single" w:color="000000" w:sz="4" w:space="0"/>
              <w:right w:val="single" w:color="000000" w:sz="4" w:space="0"/>
            </w:tcBorders>
            <w:vAlign w:val="center"/>
          </w:tcPr>
          <w:p w14:paraId="3F7A289E">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4C750652">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电话</w:t>
            </w:r>
          </w:p>
        </w:tc>
        <w:tc>
          <w:tcPr>
            <w:tcW w:w="1455" w:type="pct"/>
            <w:tcBorders>
              <w:top w:val="single" w:color="000000" w:sz="4" w:space="0"/>
              <w:left w:val="single" w:color="000000" w:sz="4" w:space="0"/>
              <w:bottom w:val="single" w:color="000000" w:sz="4" w:space="0"/>
              <w:right w:val="single" w:color="000000" w:sz="4" w:space="0"/>
            </w:tcBorders>
            <w:vAlign w:val="center"/>
          </w:tcPr>
          <w:p w14:paraId="40805839">
            <w:pPr>
              <w:widowControl w:val="0"/>
              <w:adjustRightInd w:val="0"/>
              <w:snapToGrid w:val="0"/>
              <w:spacing w:after="0" w:line="240" w:lineRule="auto"/>
              <w:rPr>
                <w:rFonts w:ascii="Times New Roman" w:hAnsi="Times New Roman" w:eastAsia="宋体" w:cs="宋体"/>
                <w:color w:val="auto"/>
                <w:sz w:val="21"/>
                <w:szCs w:val="21"/>
              </w:rPr>
            </w:pPr>
          </w:p>
        </w:tc>
      </w:tr>
      <w:tr w14:paraId="4DD8C29C">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B2BE7AA">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投标人须知要求投标人需具有的各类资质证书</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4E632D96">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类 型：            等 级：              证 书 号：</w:t>
            </w:r>
          </w:p>
        </w:tc>
      </w:tr>
      <w:tr w14:paraId="248AFFD9">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0FAEC2D3">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基本账户开户银行</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3E74DE90">
            <w:pPr>
              <w:widowControl w:val="0"/>
              <w:adjustRightInd w:val="0"/>
              <w:snapToGrid w:val="0"/>
              <w:spacing w:after="0" w:line="240" w:lineRule="auto"/>
              <w:rPr>
                <w:rFonts w:ascii="Times New Roman" w:hAnsi="Times New Roman" w:eastAsia="宋体" w:cs="宋体"/>
                <w:color w:val="auto"/>
                <w:sz w:val="21"/>
                <w:szCs w:val="21"/>
              </w:rPr>
            </w:pPr>
          </w:p>
        </w:tc>
      </w:tr>
      <w:tr w14:paraId="26FF316A">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0385F0E4">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基本账户银行账号</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44771220">
            <w:pPr>
              <w:widowControl w:val="0"/>
              <w:adjustRightInd w:val="0"/>
              <w:snapToGrid w:val="0"/>
              <w:spacing w:after="0" w:line="240" w:lineRule="auto"/>
              <w:rPr>
                <w:rFonts w:ascii="Times New Roman" w:hAnsi="Times New Roman" w:eastAsia="宋体" w:cs="宋体"/>
                <w:color w:val="auto"/>
                <w:sz w:val="21"/>
                <w:szCs w:val="21"/>
              </w:rPr>
            </w:pPr>
          </w:p>
        </w:tc>
      </w:tr>
      <w:tr w14:paraId="7F134631">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717768B">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近三年营业额</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4A2B6D77">
            <w:pPr>
              <w:widowControl w:val="0"/>
              <w:adjustRightInd w:val="0"/>
              <w:snapToGrid w:val="0"/>
              <w:spacing w:after="0" w:line="240" w:lineRule="auto"/>
              <w:rPr>
                <w:rFonts w:ascii="Times New Roman" w:hAnsi="Times New Roman" w:eastAsia="宋体" w:cs="宋体"/>
                <w:color w:val="auto"/>
                <w:sz w:val="21"/>
                <w:szCs w:val="21"/>
              </w:rPr>
            </w:pPr>
          </w:p>
        </w:tc>
      </w:tr>
      <w:tr w14:paraId="4E40BEC1">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178CF72">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投标人关联企业情况（包括但不限于与投标人法定代表人（单位负责人）为同一人或者存在控股、管理关系的不同单位）</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32BB15D1">
            <w:pPr>
              <w:widowControl w:val="0"/>
              <w:adjustRightInd w:val="0"/>
              <w:snapToGrid w:val="0"/>
              <w:spacing w:after="0" w:line="240" w:lineRule="auto"/>
              <w:rPr>
                <w:rFonts w:ascii="Times New Roman" w:hAnsi="Times New Roman" w:eastAsia="宋体" w:cs="宋体"/>
                <w:color w:val="auto"/>
                <w:sz w:val="21"/>
                <w:szCs w:val="21"/>
              </w:rPr>
            </w:pPr>
          </w:p>
        </w:tc>
      </w:tr>
      <w:tr w14:paraId="0A37C584">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4E2C510">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投标设备制造商名称</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2AAEAD36">
            <w:pPr>
              <w:widowControl w:val="0"/>
              <w:adjustRightInd w:val="0"/>
              <w:snapToGrid w:val="0"/>
              <w:spacing w:after="0" w:line="240" w:lineRule="auto"/>
              <w:rPr>
                <w:rFonts w:ascii="Times New Roman" w:hAnsi="Times New Roman" w:eastAsia="宋体" w:cs="宋体"/>
                <w:color w:val="auto"/>
                <w:sz w:val="21"/>
                <w:szCs w:val="21"/>
              </w:rPr>
            </w:pPr>
          </w:p>
        </w:tc>
      </w:tr>
      <w:tr w14:paraId="2031EA81">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18A104B7">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投标人须知要求投标设备制造商需具有的资质证书</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743E96F3">
            <w:pPr>
              <w:widowControl w:val="0"/>
              <w:adjustRightInd w:val="0"/>
              <w:snapToGrid w:val="0"/>
              <w:spacing w:after="0" w:line="240" w:lineRule="auto"/>
              <w:rPr>
                <w:rFonts w:ascii="Times New Roman" w:hAnsi="Times New Roman" w:eastAsia="宋体" w:cs="宋体"/>
                <w:color w:val="auto"/>
                <w:sz w:val="21"/>
                <w:szCs w:val="21"/>
              </w:rPr>
            </w:pPr>
          </w:p>
        </w:tc>
      </w:tr>
      <w:tr w14:paraId="0BC12743">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5FE2504">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备注</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71DECF3C">
            <w:pPr>
              <w:widowControl w:val="0"/>
              <w:adjustRightInd w:val="0"/>
              <w:snapToGrid w:val="0"/>
              <w:spacing w:after="0" w:line="240" w:lineRule="auto"/>
              <w:rPr>
                <w:rFonts w:ascii="Times New Roman" w:hAnsi="Times New Roman" w:eastAsia="宋体" w:cs="宋体"/>
                <w:color w:val="auto"/>
                <w:sz w:val="21"/>
                <w:szCs w:val="21"/>
              </w:rPr>
            </w:pPr>
          </w:p>
        </w:tc>
      </w:tr>
    </w:tbl>
    <w:p w14:paraId="0C0BEF90">
      <w:pPr>
        <w:widowControl w:val="0"/>
        <w:adjustRightInd w:val="0"/>
        <w:snapToGrid w:val="0"/>
        <w:spacing w:after="0" w:line="374" w:lineRule="auto"/>
        <w:ind w:hanging="10"/>
        <w:rPr>
          <w:rFonts w:ascii="Times New Roman" w:hAnsi="Times New Roman" w:eastAsia="宋体" w:cs="宋体"/>
          <w:color w:val="auto"/>
        </w:rPr>
      </w:pPr>
      <w:r>
        <w:rPr>
          <w:rFonts w:hint="eastAsia" w:ascii="Times New Roman" w:hAnsi="Times New Roman" w:eastAsia="宋体" w:cs="宋体"/>
          <w:color w:val="auto"/>
          <w:sz w:val="21"/>
        </w:rPr>
        <w:t>注：1. 投标人应根据投标人须知第 3.5.1 项的要求在本表后附相关证明材料扫描件。</w:t>
      </w:r>
    </w:p>
    <w:p w14:paraId="40F21FF5">
      <w:pPr>
        <w:widowControl w:val="0"/>
        <w:adjustRightInd w:val="0"/>
        <w:snapToGrid w:val="0"/>
        <w:spacing w:after="0" w:line="373" w:lineRule="auto"/>
        <w:ind w:firstLine="420"/>
        <w:rPr>
          <w:rFonts w:ascii="Times New Roman" w:hAnsi="Times New Roman" w:eastAsia="宋体" w:cs="宋体"/>
          <w:color w:val="auto"/>
          <w:sz w:val="21"/>
        </w:rPr>
      </w:pPr>
      <w:r>
        <w:rPr>
          <w:rFonts w:hint="eastAsia" w:ascii="Times New Roman" w:hAnsi="Times New Roman" w:eastAsia="宋体" w:cs="宋体"/>
          <w:color w:val="auto"/>
          <w:sz w:val="21"/>
        </w:rPr>
        <w:t>2. 如果投标人须知第 1.4.1 项对投标设备制造商的资质提出了要求，投标人应根据投标人须知第 3.5.1 项的要求在本表后附相关资质证书扫描件。</w:t>
      </w:r>
    </w:p>
    <w:p w14:paraId="23C0E022">
      <w:pPr>
        <w:widowControl w:val="0"/>
        <w:adjustRightInd w:val="0"/>
        <w:snapToGrid w:val="0"/>
        <w:spacing w:after="0" w:line="373" w:lineRule="auto"/>
        <w:ind w:firstLine="420"/>
        <w:rPr>
          <w:rFonts w:ascii="Times New Roman" w:hAnsi="Times New Roman" w:eastAsia="宋体" w:cs="宋体"/>
          <w:color w:val="auto"/>
          <w:sz w:val="21"/>
          <w:szCs w:val="21"/>
        </w:rPr>
      </w:pPr>
      <w:bookmarkStart w:id="824" w:name="_Hlk39765445"/>
      <w:r>
        <w:rPr>
          <w:rFonts w:hint="eastAsia" w:ascii="Times New Roman" w:hAnsi="Times New Roman" w:eastAsia="宋体" w:cs="宋体"/>
          <w:color w:val="auto"/>
          <w:sz w:val="21"/>
        </w:rPr>
        <w:t xml:space="preserve">3. </w:t>
      </w:r>
      <w:r>
        <w:rPr>
          <w:rFonts w:hint="eastAsia" w:ascii="Times New Roman" w:hAnsi="Times New Roman" w:eastAsia="宋体" w:cs="宋体"/>
          <w:color w:val="auto"/>
          <w:sz w:val="21"/>
          <w:szCs w:val="21"/>
        </w:rPr>
        <w:t>如为联合体投标，联合体各成员单位均应填写本表，并注明联合体牵头单位或成员单位。</w:t>
      </w:r>
      <w:bookmarkEnd w:id="824"/>
    </w:p>
    <w:p w14:paraId="396341EF">
      <w:pPr>
        <w:widowControl w:val="0"/>
        <w:adjustRightInd w:val="0"/>
        <w:snapToGrid w:val="0"/>
        <w:spacing w:after="0"/>
        <w:rPr>
          <w:rFonts w:ascii="Times New Roman" w:hAnsi="Times New Roman" w:eastAsia="宋体" w:cs="宋体"/>
          <w:color w:val="auto"/>
          <w:sz w:val="20"/>
        </w:rPr>
      </w:pPr>
      <w:r>
        <w:rPr>
          <w:rFonts w:hint="eastAsia" w:ascii="Times New Roman" w:hAnsi="Times New Roman" w:eastAsia="宋体" w:cs="宋体"/>
          <w:color w:val="auto"/>
          <w:sz w:val="20"/>
        </w:rPr>
        <w:t xml:space="preserve"> </w:t>
      </w:r>
    </w:p>
    <w:p w14:paraId="2FE52F8A">
      <w:pPr>
        <w:pStyle w:val="16"/>
        <w:ind w:left="440" w:firstLine="400"/>
        <w:rPr>
          <w:rFonts w:cs="宋体"/>
          <w:sz w:val="20"/>
        </w:rPr>
      </w:pPr>
    </w:p>
    <w:p w14:paraId="065D8014">
      <w:pPr>
        <w:pStyle w:val="16"/>
        <w:ind w:left="440" w:firstLine="400"/>
        <w:rPr>
          <w:rFonts w:cs="宋体"/>
          <w:sz w:val="20"/>
        </w:rPr>
      </w:pPr>
    </w:p>
    <w:p w14:paraId="4C07228E">
      <w:pPr>
        <w:pStyle w:val="16"/>
        <w:ind w:left="440" w:firstLine="400"/>
        <w:rPr>
          <w:rFonts w:cs="宋体"/>
          <w:sz w:val="20"/>
        </w:rPr>
      </w:pPr>
    </w:p>
    <w:p w14:paraId="48C590A1">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25" w:name="_Toc7915"/>
      <w:r>
        <w:rPr>
          <w:rFonts w:hint="eastAsia" w:ascii="Times New Roman" w:hAnsi="Times New Roman" w:eastAsia="宋体" w:cs="宋体"/>
          <w:b/>
          <w:bCs/>
          <w:color w:val="auto"/>
        </w:rPr>
        <w:t>（二）近年财务状况表</w:t>
      </w:r>
      <w:bookmarkEnd w:id="825"/>
      <w:r>
        <w:rPr>
          <w:rFonts w:hint="eastAsia" w:ascii="Times New Roman" w:hAnsi="Times New Roman" w:eastAsia="宋体" w:cs="宋体"/>
          <w:b/>
          <w:bCs/>
          <w:color w:val="auto"/>
        </w:rPr>
        <w:t xml:space="preserve"> </w:t>
      </w:r>
    </w:p>
    <w:p w14:paraId="5E4A51AB">
      <w:pPr>
        <w:widowControl w:val="0"/>
        <w:jc w:val="right"/>
        <w:rPr>
          <w:rFonts w:ascii="Times New Roman" w:hAnsi="Times New Roman" w:eastAsia="宋体" w:cs="宋体"/>
          <w:color w:val="auto"/>
          <w:sz w:val="21"/>
          <w:szCs w:val="21"/>
        </w:rPr>
      </w:pPr>
      <w:bookmarkStart w:id="826" w:name="_Hlk39765482"/>
      <w:r>
        <w:rPr>
          <w:rFonts w:hint="eastAsia" w:ascii="Times New Roman" w:hAnsi="Times New Roman" w:eastAsia="宋体" w:cs="宋体"/>
          <w:color w:val="auto"/>
          <w:sz w:val="21"/>
          <w:szCs w:val="21"/>
        </w:rPr>
        <w:t>单位：元</w:t>
      </w:r>
    </w:p>
    <w:tbl>
      <w:tblPr>
        <w:tblStyle w:val="17"/>
        <w:tblW w:w="49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557"/>
        <w:gridCol w:w="1713"/>
        <w:gridCol w:w="1713"/>
        <w:gridCol w:w="1709"/>
      </w:tblGrid>
      <w:tr w14:paraId="690E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642BFD83">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rPr>
              <w:t>名称</w:t>
            </w:r>
          </w:p>
        </w:tc>
        <w:tc>
          <w:tcPr>
            <w:tcW w:w="927" w:type="pct"/>
            <w:vAlign w:val="center"/>
          </w:tcPr>
          <w:p w14:paraId="06A9761E">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u w:val="single"/>
              </w:rPr>
              <w:t>______</w:t>
            </w:r>
            <w:r>
              <w:rPr>
                <w:rFonts w:hint="eastAsia" w:ascii="Times New Roman" w:hAnsi="Times New Roman" w:eastAsia="宋体" w:cs="宋体"/>
                <w:color w:val="auto"/>
                <w:kern w:val="0"/>
                <w:sz w:val="21"/>
                <w:szCs w:val="21"/>
              </w:rPr>
              <w:t>年</w:t>
            </w:r>
          </w:p>
        </w:tc>
        <w:tc>
          <w:tcPr>
            <w:tcW w:w="1020" w:type="pct"/>
            <w:vAlign w:val="center"/>
          </w:tcPr>
          <w:p w14:paraId="2E25031D">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u w:val="single"/>
              </w:rPr>
              <w:t>______</w:t>
            </w:r>
            <w:r>
              <w:rPr>
                <w:rFonts w:hint="eastAsia" w:ascii="Times New Roman" w:hAnsi="Times New Roman" w:eastAsia="宋体" w:cs="宋体"/>
                <w:color w:val="auto"/>
                <w:kern w:val="0"/>
                <w:sz w:val="21"/>
                <w:szCs w:val="21"/>
              </w:rPr>
              <w:t>年</w:t>
            </w:r>
          </w:p>
        </w:tc>
        <w:tc>
          <w:tcPr>
            <w:tcW w:w="1020" w:type="pct"/>
            <w:vAlign w:val="center"/>
          </w:tcPr>
          <w:p w14:paraId="5CF53B70">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u w:val="single"/>
              </w:rPr>
              <w:t>______</w:t>
            </w:r>
            <w:r>
              <w:rPr>
                <w:rFonts w:hint="eastAsia" w:ascii="Times New Roman" w:hAnsi="Times New Roman" w:eastAsia="宋体" w:cs="宋体"/>
                <w:color w:val="auto"/>
                <w:kern w:val="0"/>
                <w:sz w:val="21"/>
                <w:szCs w:val="21"/>
              </w:rPr>
              <w:t>年</w:t>
            </w:r>
          </w:p>
        </w:tc>
        <w:tc>
          <w:tcPr>
            <w:tcW w:w="1018" w:type="pct"/>
            <w:vAlign w:val="center"/>
          </w:tcPr>
          <w:p w14:paraId="46F6119A">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w:t>
            </w:r>
          </w:p>
        </w:tc>
      </w:tr>
      <w:tr w14:paraId="4917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5CF864C2">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一、注册资金</w:t>
            </w:r>
          </w:p>
        </w:tc>
        <w:tc>
          <w:tcPr>
            <w:tcW w:w="927" w:type="pct"/>
            <w:vAlign w:val="center"/>
          </w:tcPr>
          <w:p w14:paraId="403E5B71">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346C64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D3195E4">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32502E96">
            <w:pPr>
              <w:widowControl w:val="0"/>
              <w:adjustRightInd w:val="0"/>
              <w:snapToGrid w:val="0"/>
              <w:spacing w:after="0" w:line="240" w:lineRule="auto"/>
              <w:jc w:val="center"/>
              <w:rPr>
                <w:rFonts w:ascii="Times New Roman" w:hAnsi="Times New Roman" w:eastAsia="宋体" w:cs="宋体"/>
                <w:color w:val="auto"/>
                <w:sz w:val="21"/>
                <w:szCs w:val="21"/>
              </w:rPr>
            </w:pPr>
          </w:p>
        </w:tc>
      </w:tr>
      <w:tr w14:paraId="52EC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36E19820">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二、净资产</w:t>
            </w:r>
          </w:p>
        </w:tc>
        <w:tc>
          <w:tcPr>
            <w:tcW w:w="927" w:type="pct"/>
            <w:vAlign w:val="center"/>
          </w:tcPr>
          <w:p w14:paraId="0795D813">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1A8EF93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9FB822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40BDF853">
            <w:pPr>
              <w:widowControl w:val="0"/>
              <w:adjustRightInd w:val="0"/>
              <w:snapToGrid w:val="0"/>
              <w:spacing w:after="0" w:line="240" w:lineRule="auto"/>
              <w:jc w:val="center"/>
              <w:rPr>
                <w:rFonts w:ascii="Times New Roman" w:hAnsi="Times New Roman" w:eastAsia="宋体" w:cs="宋体"/>
                <w:color w:val="auto"/>
                <w:sz w:val="21"/>
                <w:szCs w:val="21"/>
              </w:rPr>
            </w:pPr>
          </w:p>
        </w:tc>
      </w:tr>
      <w:tr w14:paraId="438A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52DC8EE8">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三、总资产</w:t>
            </w:r>
          </w:p>
        </w:tc>
        <w:tc>
          <w:tcPr>
            <w:tcW w:w="927" w:type="pct"/>
            <w:vAlign w:val="center"/>
          </w:tcPr>
          <w:p w14:paraId="72634DBE">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66AA6EB4">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365D2D2">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64559D8D">
            <w:pPr>
              <w:widowControl w:val="0"/>
              <w:adjustRightInd w:val="0"/>
              <w:snapToGrid w:val="0"/>
              <w:spacing w:after="0" w:line="240" w:lineRule="auto"/>
              <w:jc w:val="center"/>
              <w:rPr>
                <w:rFonts w:ascii="Times New Roman" w:hAnsi="Times New Roman" w:eastAsia="宋体" w:cs="宋体"/>
                <w:color w:val="auto"/>
                <w:sz w:val="21"/>
                <w:szCs w:val="21"/>
              </w:rPr>
            </w:pPr>
          </w:p>
        </w:tc>
      </w:tr>
      <w:tr w14:paraId="6BCE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22295BB5">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四、固定资产</w:t>
            </w:r>
          </w:p>
        </w:tc>
        <w:tc>
          <w:tcPr>
            <w:tcW w:w="927" w:type="pct"/>
            <w:vAlign w:val="center"/>
          </w:tcPr>
          <w:p w14:paraId="27B00419">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269A08A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E4AB2C6">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12B95A68">
            <w:pPr>
              <w:widowControl w:val="0"/>
              <w:adjustRightInd w:val="0"/>
              <w:snapToGrid w:val="0"/>
              <w:spacing w:after="0" w:line="240" w:lineRule="auto"/>
              <w:jc w:val="center"/>
              <w:rPr>
                <w:rFonts w:ascii="Times New Roman" w:hAnsi="Times New Roman" w:eastAsia="宋体" w:cs="宋体"/>
                <w:color w:val="auto"/>
                <w:sz w:val="21"/>
                <w:szCs w:val="21"/>
              </w:rPr>
            </w:pPr>
          </w:p>
        </w:tc>
      </w:tr>
      <w:tr w14:paraId="5B7A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58FBDB56">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五、流动资产</w:t>
            </w:r>
          </w:p>
        </w:tc>
        <w:tc>
          <w:tcPr>
            <w:tcW w:w="927" w:type="pct"/>
            <w:vAlign w:val="center"/>
          </w:tcPr>
          <w:p w14:paraId="511A55F9">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A61023A">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69F63E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5BC97AD9">
            <w:pPr>
              <w:widowControl w:val="0"/>
              <w:adjustRightInd w:val="0"/>
              <w:snapToGrid w:val="0"/>
              <w:spacing w:after="0" w:line="240" w:lineRule="auto"/>
              <w:jc w:val="center"/>
              <w:rPr>
                <w:rFonts w:ascii="Times New Roman" w:hAnsi="Times New Roman" w:eastAsia="宋体" w:cs="宋体"/>
                <w:color w:val="auto"/>
                <w:sz w:val="21"/>
                <w:szCs w:val="21"/>
              </w:rPr>
            </w:pPr>
          </w:p>
        </w:tc>
      </w:tr>
      <w:tr w14:paraId="42BA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10DD99DC">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六、流动负债</w:t>
            </w:r>
          </w:p>
        </w:tc>
        <w:tc>
          <w:tcPr>
            <w:tcW w:w="927" w:type="pct"/>
            <w:vAlign w:val="center"/>
          </w:tcPr>
          <w:p w14:paraId="206454C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4415378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D00ED3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79964BF">
            <w:pPr>
              <w:widowControl w:val="0"/>
              <w:adjustRightInd w:val="0"/>
              <w:snapToGrid w:val="0"/>
              <w:spacing w:after="0" w:line="240" w:lineRule="auto"/>
              <w:jc w:val="center"/>
              <w:rPr>
                <w:rFonts w:ascii="Times New Roman" w:hAnsi="Times New Roman" w:eastAsia="宋体" w:cs="宋体"/>
                <w:color w:val="auto"/>
                <w:sz w:val="21"/>
                <w:szCs w:val="21"/>
              </w:rPr>
            </w:pPr>
          </w:p>
        </w:tc>
      </w:tr>
      <w:tr w14:paraId="1C01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117191FD">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七、负债合计</w:t>
            </w:r>
          </w:p>
        </w:tc>
        <w:tc>
          <w:tcPr>
            <w:tcW w:w="927" w:type="pct"/>
            <w:vAlign w:val="center"/>
          </w:tcPr>
          <w:p w14:paraId="4CFA5C3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BB0AADC">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03977D96">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65B997CA">
            <w:pPr>
              <w:widowControl w:val="0"/>
              <w:adjustRightInd w:val="0"/>
              <w:snapToGrid w:val="0"/>
              <w:spacing w:after="0" w:line="240" w:lineRule="auto"/>
              <w:jc w:val="center"/>
              <w:rPr>
                <w:rFonts w:ascii="Times New Roman" w:hAnsi="Times New Roman" w:eastAsia="宋体" w:cs="宋体"/>
                <w:color w:val="auto"/>
                <w:sz w:val="21"/>
                <w:szCs w:val="21"/>
              </w:rPr>
            </w:pPr>
          </w:p>
        </w:tc>
      </w:tr>
      <w:tr w14:paraId="68B8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710FBA63">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八、营业收入</w:t>
            </w:r>
          </w:p>
        </w:tc>
        <w:tc>
          <w:tcPr>
            <w:tcW w:w="927" w:type="pct"/>
            <w:vAlign w:val="center"/>
          </w:tcPr>
          <w:p w14:paraId="036E60AE">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C7F984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06029872">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C9EF20E">
            <w:pPr>
              <w:widowControl w:val="0"/>
              <w:adjustRightInd w:val="0"/>
              <w:snapToGrid w:val="0"/>
              <w:spacing w:after="0" w:line="240" w:lineRule="auto"/>
              <w:jc w:val="center"/>
              <w:rPr>
                <w:rFonts w:ascii="Times New Roman" w:hAnsi="Times New Roman" w:eastAsia="宋体" w:cs="宋体"/>
                <w:color w:val="auto"/>
                <w:sz w:val="21"/>
                <w:szCs w:val="21"/>
              </w:rPr>
            </w:pPr>
          </w:p>
        </w:tc>
      </w:tr>
      <w:tr w14:paraId="7C21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15FAAD8B">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九、净利润</w:t>
            </w:r>
          </w:p>
        </w:tc>
        <w:tc>
          <w:tcPr>
            <w:tcW w:w="927" w:type="pct"/>
            <w:vAlign w:val="center"/>
          </w:tcPr>
          <w:p w14:paraId="4CE057E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559931C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117789B">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C7ABFEE">
            <w:pPr>
              <w:widowControl w:val="0"/>
              <w:adjustRightInd w:val="0"/>
              <w:snapToGrid w:val="0"/>
              <w:spacing w:after="0" w:line="240" w:lineRule="auto"/>
              <w:jc w:val="center"/>
              <w:rPr>
                <w:rFonts w:ascii="Times New Roman" w:hAnsi="Times New Roman" w:eastAsia="宋体" w:cs="宋体"/>
                <w:color w:val="auto"/>
                <w:sz w:val="21"/>
                <w:szCs w:val="21"/>
              </w:rPr>
            </w:pPr>
          </w:p>
        </w:tc>
      </w:tr>
      <w:tr w14:paraId="74A0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3A37D7B7">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rPr>
              <w:t>……</w:t>
            </w:r>
          </w:p>
        </w:tc>
        <w:tc>
          <w:tcPr>
            <w:tcW w:w="927" w:type="pct"/>
            <w:vAlign w:val="center"/>
          </w:tcPr>
          <w:p w14:paraId="0B5B67EB">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4CAE4D14">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55CFE6A2">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3CFC40C">
            <w:pPr>
              <w:widowControl w:val="0"/>
              <w:adjustRightInd w:val="0"/>
              <w:snapToGrid w:val="0"/>
              <w:spacing w:after="0" w:line="240" w:lineRule="auto"/>
              <w:jc w:val="center"/>
              <w:rPr>
                <w:rFonts w:ascii="Times New Roman" w:hAnsi="Times New Roman" w:eastAsia="宋体" w:cs="宋体"/>
                <w:color w:val="auto"/>
                <w:sz w:val="21"/>
                <w:szCs w:val="21"/>
              </w:rPr>
            </w:pPr>
          </w:p>
        </w:tc>
      </w:tr>
    </w:tbl>
    <w:p w14:paraId="575045AF">
      <w:pPr>
        <w:widowControl w:val="0"/>
        <w:adjustRightInd w:val="0"/>
        <w:snapToGrid w:val="0"/>
        <w:spacing w:after="0" w:line="360" w:lineRule="auto"/>
        <w:ind w:firstLine="420" w:firstLineChars="200"/>
        <w:rPr>
          <w:rFonts w:ascii="Times New Roman" w:hAnsi="Times New Roman" w:eastAsia="宋体" w:cs="宋体"/>
          <w:color w:val="auto"/>
          <w:sz w:val="21"/>
        </w:rPr>
      </w:pPr>
    </w:p>
    <w:p w14:paraId="3D8E36FF">
      <w:pPr>
        <w:widowControl w:val="0"/>
        <w:adjustRightInd w:val="0"/>
        <w:snapToGrid w:val="0"/>
        <w:spacing w:after="0" w:line="360" w:lineRule="auto"/>
        <w:ind w:firstLine="420" w:firstLineChars="200"/>
        <w:rPr>
          <w:rFonts w:ascii="Times New Roman" w:hAnsi="Times New Roman" w:eastAsia="宋体" w:cs="宋体"/>
          <w:color w:val="auto"/>
          <w:sz w:val="21"/>
        </w:rPr>
      </w:pPr>
      <w:r>
        <w:rPr>
          <w:rFonts w:hint="eastAsia" w:ascii="Times New Roman" w:hAnsi="Times New Roman" w:eastAsia="宋体" w:cs="宋体"/>
          <w:color w:val="auto"/>
          <w:sz w:val="21"/>
        </w:rPr>
        <w:t>注：</w:t>
      </w:r>
      <w:r>
        <w:rPr>
          <w:rFonts w:hint="eastAsia" w:ascii="Times New Roman" w:hAnsi="Times New Roman" w:eastAsia="宋体" w:cs="Times New Roman"/>
          <w:color w:val="auto"/>
        </w:rPr>
        <w:t>按第二章投标人须知第3.5.2条款要求，提供相关资料。</w:t>
      </w:r>
    </w:p>
    <w:bookmarkEnd w:id="826"/>
    <w:p w14:paraId="13E0A81C">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rPr>
        <w:br w:type="page"/>
      </w:r>
    </w:p>
    <w:p w14:paraId="2C9DFAFD">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27" w:name="_Toc30990"/>
      <w:r>
        <w:rPr>
          <w:rFonts w:hint="eastAsia" w:ascii="Times New Roman" w:hAnsi="Times New Roman" w:eastAsia="宋体" w:cs="宋体"/>
          <w:b/>
          <w:bCs/>
          <w:color w:val="auto"/>
        </w:rPr>
        <w:t>（三）近年完成的类似项目情况汇总表</w:t>
      </w:r>
      <w:bookmarkEnd w:id="827"/>
      <w:r>
        <w:rPr>
          <w:rFonts w:hint="eastAsia" w:ascii="Times New Roman" w:hAnsi="Times New Roman" w:eastAsia="宋体" w:cs="宋体"/>
          <w:b/>
          <w:bCs/>
          <w:color w:val="auto"/>
        </w:rPr>
        <w:t xml:space="preserve"> </w:t>
      </w:r>
    </w:p>
    <w:p w14:paraId="43B273F5">
      <w:pPr>
        <w:widowControl w:val="0"/>
        <w:rPr>
          <w:rFonts w:ascii="Times New Roman" w:hAnsi="Times New Roman" w:eastAsia="宋体" w:cs="宋体"/>
          <w:color w:val="auto"/>
        </w:rPr>
      </w:pPr>
    </w:p>
    <w:p w14:paraId="301752C0">
      <w:pPr>
        <w:widowControl w:val="0"/>
        <w:jc w:val="center"/>
        <w:rPr>
          <w:rFonts w:ascii="Times New Roman" w:hAnsi="Times New Roman" w:eastAsia="宋体" w:cs="宋体"/>
          <w:b/>
          <w:color w:val="auto"/>
          <w:sz w:val="28"/>
          <w:szCs w:val="28"/>
        </w:rPr>
      </w:pPr>
      <w:r>
        <w:rPr>
          <w:rFonts w:hint="eastAsia" w:ascii="Times New Roman" w:hAnsi="Times New Roman" w:eastAsia="宋体" w:cs="宋体"/>
          <w:b/>
          <w:color w:val="auto"/>
          <w:sz w:val="28"/>
          <w:szCs w:val="28"/>
        </w:rPr>
        <w:t xml:space="preserve">3.1 </w:t>
      </w:r>
      <w:bookmarkStart w:id="828" w:name="_Hlk38288313"/>
      <w:r>
        <w:rPr>
          <w:rFonts w:hint="eastAsia" w:ascii="Times New Roman" w:hAnsi="Times New Roman" w:eastAsia="宋体" w:cs="宋体"/>
          <w:b/>
          <w:color w:val="auto"/>
          <w:sz w:val="28"/>
          <w:szCs w:val="28"/>
        </w:rPr>
        <w:t>投标设备业绩汇总表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874"/>
        <w:gridCol w:w="1264"/>
        <w:gridCol w:w="829"/>
        <w:gridCol w:w="829"/>
        <w:gridCol w:w="829"/>
        <w:gridCol w:w="829"/>
        <w:gridCol w:w="829"/>
        <w:gridCol w:w="1028"/>
        <w:gridCol w:w="624"/>
      </w:tblGrid>
      <w:tr w14:paraId="32377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45" w:type="pct"/>
            <w:vAlign w:val="center"/>
          </w:tcPr>
          <w:p w14:paraId="09CE53F0">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序号</w:t>
            </w:r>
          </w:p>
        </w:tc>
        <w:tc>
          <w:tcPr>
            <w:tcW w:w="513" w:type="pct"/>
            <w:vAlign w:val="center"/>
          </w:tcPr>
          <w:p w14:paraId="4B76DCE7">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设备名称</w:t>
            </w:r>
          </w:p>
        </w:tc>
        <w:tc>
          <w:tcPr>
            <w:tcW w:w="742" w:type="pct"/>
            <w:vAlign w:val="center"/>
          </w:tcPr>
          <w:p w14:paraId="2A056508">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规格和型号</w:t>
            </w:r>
          </w:p>
        </w:tc>
        <w:tc>
          <w:tcPr>
            <w:tcW w:w="486" w:type="pct"/>
            <w:vAlign w:val="center"/>
          </w:tcPr>
          <w:p w14:paraId="2C01B8F4">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项目名称</w:t>
            </w:r>
          </w:p>
        </w:tc>
        <w:tc>
          <w:tcPr>
            <w:tcW w:w="486" w:type="pct"/>
            <w:vAlign w:val="center"/>
          </w:tcPr>
          <w:p w14:paraId="59212256">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合同价格</w:t>
            </w:r>
          </w:p>
        </w:tc>
        <w:tc>
          <w:tcPr>
            <w:tcW w:w="486" w:type="pct"/>
            <w:vAlign w:val="center"/>
          </w:tcPr>
          <w:p w14:paraId="672F11D6">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买方名称</w:t>
            </w:r>
          </w:p>
        </w:tc>
        <w:tc>
          <w:tcPr>
            <w:tcW w:w="486" w:type="pct"/>
            <w:vAlign w:val="center"/>
          </w:tcPr>
          <w:p w14:paraId="13CC1B5B">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买方联系人及电话</w:t>
            </w:r>
          </w:p>
        </w:tc>
        <w:tc>
          <w:tcPr>
            <w:tcW w:w="486" w:type="pct"/>
            <w:vAlign w:val="center"/>
          </w:tcPr>
          <w:p w14:paraId="18423905">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制造商名称</w:t>
            </w:r>
          </w:p>
        </w:tc>
        <w:tc>
          <w:tcPr>
            <w:tcW w:w="603" w:type="pct"/>
            <w:vAlign w:val="center"/>
          </w:tcPr>
          <w:p w14:paraId="3F9228D1">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项目概况及设备使用情况</w:t>
            </w:r>
          </w:p>
        </w:tc>
        <w:tc>
          <w:tcPr>
            <w:tcW w:w="366" w:type="pct"/>
            <w:vAlign w:val="center"/>
          </w:tcPr>
          <w:p w14:paraId="6534B603">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备注</w:t>
            </w:r>
          </w:p>
        </w:tc>
      </w:tr>
      <w:tr w14:paraId="7D40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1469CE7D">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3A234483">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76082AC8">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25E28A7">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14A5B0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C92AC2C">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1E420A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47C471B7">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564B6048">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24B98C17">
            <w:pPr>
              <w:widowControl w:val="0"/>
              <w:spacing w:after="0" w:line="240" w:lineRule="auto"/>
              <w:jc w:val="center"/>
              <w:rPr>
                <w:rFonts w:ascii="Times New Roman" w:hAnsi="Times New Roman" w:eastAsia="宋体" w:cs="宋体"/>
                <w:color w:val="auto"/>
                <w:sz w:val="21"/>
                <w:szCs w:val="21"/>
              </w:rPr>
            </w:pPr>
          </w:p>
        </w:tc>
      </w:tr>
      <w:tr w14:paraId="33F3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1DE61F48">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204ADD8E">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7322669A">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09C70FDE">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4B87D1C">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4A45D43">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09A8EC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46383E3">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08C78C63">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6A615B2C">
            <w:pPr>
              <w:widowControl w:val="0"/>
              <w:spacing w:after="0" w:line="240" w:lineRule="auto"/>
              <w:jc w:val="center"/>
              <w:rPr>
                <w:rFonts w:ascii="Times New Roman" w:hAnsi="Times New Roman" w:eastAsia="宋体" w:cs="宋体"/>
                <w:color w:val="auto"/>
                <w:sz w:val="21"/>
                <w:szCs w:val="21"/>
              </w:rPr>
            </w:pPr>
          </w:p>
        </w:tc>
      </w:tr>
      <w:tr w14:paraId="0707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24D1F494">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25A09308">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1C355567">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451A0C7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135BEB2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4857D436">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C74EE3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CE287B8">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797D876A">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5FC0EB16">
            <w:pPr>
              <w:widowControl w:val="0"/>
              <w:spacing w:after="0" w:line="240" w:lineRule="auto"/>
              <w:jc w:val="center"/>
              <w:rPr>
                <w:rFonts w:ascii="Times New Roman" w:hAnsi="Times New Roman" w:eastAsia="宋体" w:cs="宋体"/>
                <w:color w:val="auto"/>
                <w:sz w:val="21"/>
                <w:szCs w:val="21"/>
              </w:rPr>
            </w:pPr>
          </w:p>
        </w:tc>
      </w:tr>
    </w:tbl>
    <w:p w14:paraId="48F81499">
      <w:pPr>
        <w:widowControl w:val="0"/>
        <w:adjustRightInd w:val="0"/>
        <w:snapToGrid w:val="0"/>
        <w:spacing w:after="0" w:line="360" w:lineRule="auto"/>
        <w:rPr>
          <w:rFonts w:ascii="Times New Roman" w:hAnsi="Times New Roman" w:eastAsia="宋体" w:cs="宋体"/>
          <w:color w:val="auto"/>
          <w:sz w:val="21"/>
        </w:rPr>
      </w:pPr>
      <w:r>
        <w:rPr>
          <w:rFonts w:hint="eastAsia" w:ascii="Times New Roman" w:hAnsi="Times New Roman" w:eastAsia="宋体" w:cs="宋体"/>
          <w:color w:val="auto"/>
          <w:sz w:val="21"/>
        </w:rPr>
        <w:t>注：1.投标人为代理经销商的，投标人须知第 1.4.1项要求投标人提供投标设备业绩的，投标人应按照上表的格式提供投标设备业绩情况并根据投标人须知第 3.5.2 项的要求在本表后附相关证明材料扫描件。</w:t>
      </w:r>
    </w:p>
    <w:p w14:paraId="703B190E">
      <w:pPr>
        <w:widowControl w:val="0"/>
        <w:adjustRightInd w:val="0"/>
        <w:snapToGrid w:val="0"/>
        <w:spacing w:after="0" w:line="360" w:lineRule="auto"/>
        <w:rPr>
          <w:rFonts w:ascii="Times New Roman" w:hAnsi="Times New Roman" w:eastAsia="宋体" w:cs="宋体"/>
          <w:color w:val="auto"/>
          <w:sz w:val="21"/>
        </w:rPr>
      </w:pPr>
    </w:p>
    <w:p w14:paraId="263D285F">
      <w:pPr>
        <w:widowControl w:val="0"/>
        <w:adjustRightInd w:val="0"/>
        <w:snapToGrid w:val="0"/>
        <w:spacing w:after="0" w:line="360" w:lineRule="auto"/>
        <w:rPr>
          <w:rFonts w:ascii="Times New Roman" w:hAnsi="Times New Roman" w:eastAsia="宋体" w:cs="宋体"/>
          <w:color w:val="auto"/>
          <w:sz w:val="21"/>
        </w:rPr>
      </w:pPr>
    </w:p>
    <w:bookmarkEnd w:id="828"/>
    <w:p w14:paraId="134288C6">
      <w:pPr>
        <w:widowControl w:val="0"/>
        <w:adjustRightInd w:val="0"/>
        <w:snapToGrid w:val="0"/>
        <w:spacing w:after="0" w:line="360" w:lineRule="auto"/>
        <w:jc w:val="both"/>
        <w:rPr>
          <w:rFonts w:ascii="Times New Roman" w:hAnsi="Times New Roman" w:eastAsia="宋体" w:cs="宋体"/>
          <w:color w:val="auto"/>
          <w:sz w:val="21"/>
          <w:szCs w:val="21"/>
        </w:rPr>
      </w:pPr>
    </w:p>
    <w:p w14:paraId="7A85D99C">
      <w:pPr>
        <w:widowControl w:val="0"/>
        <w:adjustRightInd w:val="0"/>
        <w:snapToGrid w:val="0"/>
        <w:spacing w:after="0" w:line="360" w:lineRule="auto"/>
        <w:ind w:firstLine="420" w:firstLineChars="200"/>
        <w:rPr>
          <w:rFonts w:ascii="Times New Roman" w:hAnsi="Times New Roman" w:eastAsia="宋体" w:cs="宋体"/>
          <w:color w:val="auto"/>
          <w:sz w:val="21"/>
        </w:rPr>
      </w:pPr>
    </w:p>
    <w:p w14:paraId="7BFA3306">
      <w:pPr>
        <w:widowControl w:val="0"/>
        <w:adjustRightInd w:val="0"/>
        <w:snapToGrid w:val="0"/>
        <w:spacing w:after="0"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sz w:val="21"/>
        </w:rPr>
        <w:br w:type="page"/>
      </w:r>
    </w:p>
    <w:p w14:paraId="48846909">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29" w:name="_Toc17810"/>
      <w:r>
        <w:rPr>
          <w:rFonts w:hint="eastAsia" w:ascii="Times New Roman" w:hAnsi="Times New Roman" w:eastAsia="宋体" w:cs="宋体"/>
          <w:b/>
          <w:bCs/>
          <w:color w:val="auto"/>
        </w:rPr>
        <w:t>（四）正在供货和新承接的项目情况表</w:t>
      </w:r>
      <w:bookmarkEnd w:id="829"/>
      <w:r>
        <w:rPr>
          <w:rFonts w:hint="eastAsia" w:ascii="Times New Roman" w:hAnsi="Times New Roman" w:eastAsia="宋体" w:cs="宋体"/>
          <w:b/>
          <w:bCs/>
          <w:color w:val="auto"/>
        </w:rPr>
        <w:t xml:space="preserve"> </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874"/>
        <w:gridCol w:w="1264"/>
        <w:gridCol w:w="829"/>
        <w:gridCol w:w="829"/>
        <w:gridCol w:w="829"/>
        <w:gridCol w:w="829"/>
        <w:gridCol w:w="829"/>
        <w:gridCol w:w="1028"/>
        <w:gridCol w:w="624"/>
      </w:tblGrid>
      <w:tr w14:paraId="3F0E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45" w:type="pct"/>
            <w:vAlign w:val="center"/>
          </w:tcPr>
          <w:p w14:paraId="1ABE61DA">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序号</w:t>
            </w:r>
          </w:p>
        </w:tc>
        <w:tc>
          <w:tcPr>
            <w:tcW w:w="513" w:type="pct"/>
            <w:vAlign w:val="center"/>
          </w:tcPr>
          <w:p w14:paraId="14BCAB09">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设备名称</w:t>
            </w:r>
          </w:p>
        </w:tc>
        <w:tc>
          <w:tcPr>
            <w:tcW w:w="742" w:type="pct"/>
            <w:vAlign w:val="center"/>
          </w:tcPr>
          <w:p w14:paraId="24FA2CA5">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规格和型号</w:t>
            </w:r>
          </w:p>
        </w:tc>
        <w:tc>
          <w:tcPr>
            <w:tcW w:w="486" w:type="pct"/>
            <w:vAlign w:val="center"/>
          </w:tcPr>
          <w:p w14:paraId="2C8F8E82">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项目名称</w:t>
            </w:r>
          </w:p>
        </w:tc>
        <w:tc>
          <w:tcPr>
            <w:tcW w:w="486" w:type="pct"/>
            <w:vAlign w:val="center"/>
          </w:tcPr>
          <w:p w14:paraId="1A5ADF87">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合同价格</w:t>
            </w:r>
          </w:p>
        </w:tc>
        <w:tc>
          <w:tcPr>
            <w:tcW w:w="486" w:type="pct"/>
            <w:vAlign w:val="center"/>
          </w:tcPr>
          <w:p w14:paraId="2B3E10C4">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买方名称</w:t>
            </w:r>
          </w:p>
        </w:tc>
        <w:tc>
          <w:tcPr>
            <w:tcW w:w="486" w:type="pct"/>
            <w:vAlign w:val="center"/>
          </w:tcPr>
          <w:p w14:paraId="0715F710">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买方联系人及电话</w:t>
            </w:r>
          </w:p>
        </w:tc>
        <w:tc>
          <w:tcPr>
            <w:tcW w:w="486" w:type="pct"/>
            <w:vAlign w:val="center"/>
          </w:tcPr>
          <w:p w14:paraId="70B3DBB4">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制造商名称</w:t>
            </w:r>
          </w:p>
        </w:tc>
        <w:tc>
          <w:tcPr>
            <w:tcW w:w="603" w:type="pct"/>
            <w:vAlign w:val="center"/>
          </w:tcPr>
          <w:p w14:paraId="3F007FC0">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项目概况及设备使用情况</w:t>
            </w:r>
          </w:p>
        </w:tc>
        <w:tc>
          <w:tcPr>
            <w:tcW w:w="366" w:type="pct"/>
            <w:vAlign w:val="center"/>
          </w:tcPr>
          <w:p w14:paraId="1131D03B">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备注</w:t>
            </w:r>
          </w:p>
        </w:tc>
      </w:tr>
      <w:tr w14:paraId="1C0A5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1A481889">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5AE20574">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2BF80A2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5A98FC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4FD551B">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5B6ACCB">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C0FEC97">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09F45F02">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7EED96D4">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7BC051AD">
            <w:pPr>
              <w:widowControl w:val="0"/>
              <w:spacing w:after="0" w:line="240" w:lineRule="auto"/>
              <w:jc w:val="center"/>
              <w:rPr>
                <w:rFonts w:ascii="Times New Roman" w:hAnsi="Times New Roman" w:eastAsia="宋体" w:cs="宋体"/>
                <w:color w:val="auto"/>
                <w:sz w:val="21"/>
                <w:szCs w:val="21"/>
              </w:rPr>
            </w:pPr>
          </w:p>
        </w:tc>
      </w:tr>
      <w:tr w14:paraId="525E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534780D1">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7925A2B2">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33DF7F86">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02C111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597ADC3">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6F203F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D8E99FA">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2B61310">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7E0647C4">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51FC2D2D">
            <w:pPr>
              <w:widowControl w:val="0"/>
              <w:spacing w:after="0" w:line="240" w:lineRule="auto"/>
              <w:jc w:val="center"/>
              <w:rPr>
                <w:rFonts w:ascii="Times New Roman" w:hAnsi="Times New Roman" w:eastAsia="宋体" w:cs="宋体"/>
                <w:color w:val="auto"/>
                <w:sz w:val="21"/>
                <w:szCs w:val="21"/>
              </w:rPr>
            </w:pPr>
          </w:p>
        </w:tc>
      </w:tr>
      <w:tr w14:paraId="3DA6B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7BE5EE7B">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3EFAE722">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3A81E65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46E22B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035DC0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1D460E4C">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39F3DB9">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F0F99F4">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049204E1">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70D1DA0B">
            <w:pPr>
              <w:widowControl w:val="0"/>
              <w:spacing w:after="0" w:line="240" w:lineRule="auto"/>
              <w:jc w:val="center"/>
              <w:rPr>
                <w:rFonts w:ascii="Times New Roman" w:hAnsi="Times New Roman" w:eastAsia="宋体" w:cs="宋体"/>
                <w:color w:val="auto"/>
                <w:sz w:val="21"/>
                <w:szCs w:val="21"/>
              </w:rPr>
            </w:pPr>
          </w:p>
        </w:tc>
      </w:tr>
    </w:tbl>
    <w:p w14:paraId="4076DFAD">
      <w:pPr>
        <w:widowControl w:val="0"/>
        <w:adjustRightInd w:val="0"/>
        <w:snapToGrid w:val="0"/>
        <w:spacing w:after="0" w:line="265" w:lineRule="auto"/>
        <w:ind w:hanging="10"/>
        <w:rPr>
          <w:rFonts w:ascii="Times New Roman" w:hAnsi="Times New Roman" w:eastAsia="宋体" w:cs="宋体"/>
          <w:color w:val="auto"/>
        </w:rPr>
      </w:pPr>
      <w:r>
        <w:rPr>
          <w:rFonts w:hint="eastAsia" w:ascii="Times New Roman" w:hAnsi="Times New Roman" w:eastAsia="宋体" w:cs="宋体"/>
          <w:color w:val="auto"/>
          <w:sz w:val="21"/>
        </w:rPr>
        <w:t>注：投标人应根据投标人须知第 3.5.3 项的要求在本表后附相关证明材料；除第二章“投标人须知”第1.4.1项和第三章“评标办法”有关要求外，本表可不附证明材料扫描件。</w:t>
      </w:r>
    </w:p>
    <w:p w14:paraId="2B6FD18E">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30" w:name="_Toc27891"/>
      <w:r>
        <w:rPr>
          <w:rFonts w:hint="eastAsia" w:ascii="Times New Roman" w:hAnsi="Times New Roman" w:eastAsia="宋体" w:cs="宋体"/>
          <w:color w:val="auto"/>
          <w:sz w:val="21"/>
        </w:rPr>
        <w:br w:type="page"/>
      </w:r>
      <w:r>
        <w:rPr>
          <w:rFonts w:hint="eastAsia" w:ascii="Times New Roman" w:hAnsi="Times New Roman" w:eastAsia="宋体" w:cs="宋体"/>
          <w:b/>
          <w:bCs/>
          <w:color w:val="auto"/>
        </w:rPr>
        <w:t>（五）近年发生的诉讼及仲裁情况</w:t>
      </w:r>
      <w:bookmarkEnd w:id="830"/>
      <w:r>
        <w:rPr>
          <w:rFonts w:hint="eastAsia" w:ascii="Times New Roman" w:hAnsi="Times New Roman" w:eastAsia="宋体" w:cs="宋体"/>
          <w:b/>
          <w:bCs/>
          <w:color w:val="auto"/>
        </w:rPr>
        <w:t xml:space="preserve"> </w:t>
      </w:r>
    </w:p>
    <w:p w14:paraId="7BC70907">
      <w:pPr>
        <w:widowControl w:val="0"/>
        <w:adjustRightInd w:val="0"/>
        <w:snapToGrid w:val="0"/>
        <w:spacing w:after="0" w:line="264" w:lineRule="auto"/>
        <w:ind w:firstLine="560" w:firstLineChars="200"/>
        <w:rPr>
          <w:rFonts w:ascii="Times New Roman" w:hAnsi="Times New Roman" w:eastAsia="宋体" w:cs="宋体"/>
          <w:color w:val="auto"/>
          <w:sz w:val="28"/>
          <w:szCs w:val="28"/>
        </w:rPr>
      </w:pPr>
    </w:p>
    <w:p w14:paraId="1DB24695">
      <w:pPr>
        <w:widowControl w:val="0"/>
        <w:adjustRightInd w:val="0"/>
        <w:snapToGrid w:val="0"/>
        <w:spacing w:after="0" w:line="264" w:lineRule="auto"/>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注：投标人应根据投标人须知第 3.5.4 项的要求附相关证明材料扫描件。</w:t>
      </w:r>
    </w:p>
    <w:p w14:paraId="5B4A917A">
      <w:pPr>
        <w:widowControl w:val="0"/>
        <w:adjustRightInd w:val="0"/>
        <w:snapToGrid w:val="0"/>
        <w:spacing w:after="0" w:line="264" w:lineRule="auto"/>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br w:type="page"/>
      </w:r>
    </w:p>
    <w:p w14:paraId="56BBDCDF">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31" w:name="_Toc14073"/>
      <w:r>
        <w:rPr>
          <w:rFonts w:hint="eastAsia" w:ascii="Times New Roman" w:hAnsi="Times New Roman" w:eastAsia="宋体" w:cs="宋体"/>
          <w:b/>
          <w:bCs/>
          <w:color w:val="auto"/>
        </w:rPr>
        <w:t>（六）制造商授权书</w:t>
      </w:r>
      <w:bookmarkEnd w:id="831"/>
    </w:p>
    <w:p w14:paraId="001531E7">
      <w:pPr>
        <w:widowControl w:val="0"/>
        <w:rPr>
          <w:rFonts w:ascii="Times New Roman" w:hAnsi="Times New Roman" w:eastAsia="宋体" w:cs="宋体"/>
          <w:color w:val="auto"/>
        </w:rPr>
      </w:pPr>
    </w:p>
    <w:p w14:paraId="48282B0E">
      <w:pPr>
        <w:widowControl w:val="0"/>
        <w:adjustRightInd w:val="0"/>
        <w:snapToGrid w:val="0"/>
        <w:spacing w:after="0" w:line="265" w:lineRule="auto"/>
        <w:ind w:hanging="10"/>
        <w:jc w:val="center"/>
        <w:rPr>
          <w:rFonts w:ascii="Times New Roman" w:hAnsi="Times New Roman" w:eastAsia="宋体" w:cs="宋体"/>
          <w:b/>
          <w:bCs/>
          <w:color w:val="auto"/>
          <w:sz w:val="24"/>
        </w:rPr>
      </w:pPr>
      <w:r>
        <w:rPr>
          <w:rFonts w:hint="eastAsia" w:ascii="Times New Roman" w:hAnsi="Times New Roman" w:eastAsia="宋体" w:cs="宋体"/>
          <w:b/>
          <w:bCs/>
          <w:color w:val="auto"/>
          <w:sz w:val="32"/>
        </w:rPr>
        <w:t xml:space="preserve">制造商授权书 </w:t>
      </w:r>
    </w:p>
    <w:p w14:paraId="4808A482">
      <w:pPr>
        <w:widowControl w:val="0"/>
        <w:adjustRightInd w:val="0"/>
        <w:snapToGrid w:val="0"/>
        <w:spacing w:after="0" w:line="490" w:lineRule="exact"/>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0E9BF056">
      <w:pPr>
        <w:widowControl w:val="0"/>
        <w:adjustRightInd w:val="0"/>
        <w:snapToGrid w:val="0"/>
        <w:spacing w:after="0" w:line="49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（招标人）</w:t>
      </w:r>
    </w:p>
    <w:p w14:paraId="0F5FD64E">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我单位</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（制造商名称）是按</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（国家／地区名称）法律成立的一家制造商，主要营业地点设在</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（制造商地址）。兹授权按</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（国家／地区名称）的法律正式成立的，主要营业地点设在</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（投标人的单位地址）的</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（投标人名称）以我单位制造的</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（设备名称）进行</w:t>
      </w:r>
    </w:p>
    <w:p w14:paraId="6AAD379D">
      <w:pPr>
        <w:widowControl w:val="0"/>
        <w:adjustRightInd w:val="0"/>
        <w:snapToGrid w:val="0"/>
        <w:spacing w:after="0" w:line="490" w:lineRule="exact"/>
        <w:ind w:firstLine="56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（项目名称）投标活动。我单位同意按照中标合同供货，并对产品质量承担责任。</w:t>
      </w:r>
    </w:p>
    <w:p w14:paraId="123B749B">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授权期限：</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p>
    <w:p w14:paraId="0DF5075F">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p>
    <w:p w14:paraId="0C288FAC">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p>
    <w:p w14:paraId="0B1C69E4">
      <w:pPr>
        <w:widowControl w:val="0"/>
        <w:adjustRightInd w:val="0"/>
        <w:snapToGrid w:val="0"/>
        <w:spacing w:after="0" w:line="490" w:lineRule="exact"/>
        <w:ind w:firstLine="48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投标人名称：</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（盖单位公章）制造商名称：</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（盖单位公章）</w:t>
      </w:r>
    </w:p>
    <w:p w14:paraId="5C171057">
      <w:pPr>
        <w:widowControl w:val="0"/>
        <w:adjustRightInd w:val="0"/>
        <w:snapToGrid w:val="0"/>
        <w:spacing w:after="0" w:line="490" w:lineRule="exact"/>
        <w:ind w:firstLine="48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签字人职务：</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u w:val="single"/>
        </w:rPr>
        <w:t xml:space="preserve">  </w:t>
      </w:r>
      <w:r>
        <w:rPr>
          <w:rFonts w:hint="eastAsia" w:ascii="Times New Roman" w:hAnsi="Times New Roman" w:eastAsia="宋体" w:cs="宋体"/>
          <w:color w:val="auto"/>
          <w:sz w:val="21"/>
          <w:szCs w:val="21"/>
        </w:rPr>
        <w:t xml:space="preserve">   签字人职务：</w:t>
      </w:r>
      <w:r>
        <w:rPr>
          <w:rFonts w:hint="eastAsia" w:ascii="Times New Roman" w:hAnsi="Times New Roman" w:eastAsia="宋体" w:cs="宋体"/>
          <w:color w:val="auto"/>
          <w:sz w:val="21"/>
          <w:szCs w:val="21"/>
          <w:u w:val="single" w:color="000000"/>
        </w:rPr>
        <w:t xml:space="preserve">                         </w:t>
      </w:r>
    </w:p>
    <w:p w14:paraId="7BDAC280">
      <w:pPr>
        <w:widowControl w:val="0"/>
        <w:adjustRightInd w:val="0"/>
        <w:snapToGrid w:val="0"/>
        <w:spacing w:after="0" w:line="490" w:lineRule="exact"/>
        <w:ind w:firstLine="48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签字人姓名：</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u w:val="single"/>
        </w:rPr>
        <w:t xml:space="preserve">  </w:t>
      </w:r>
      <w:r>
        <w:rPr>
          <w:rFonts w:hint="eastAsia" w:ascii="Times New Roman" w:hAnsi="Times New Roman" w:eastAsia="宋体" w:cs="宋体"/>
          <w:color w:val="auto"/>
          <w:sz w:val="21"/>
          <w:szCs w:val="21"/>
        </w:rPr>
        <w:t xml:space="preserve">   签字人姓名：</w:t>
      </w:r>
      <w:r>
        <w:rPr>
          <w:rFonts w:hint="eastAsia" w:ascii="Times New Roman" w:hAnsi="Times New Roman" w:eastAsia="宋体" w:cs="宋体"/>
          <w:color w:val="auto"/>
          <w:sz w:val="21"/>
          <w:szCs w:val="21"/>
          <w:u w:val="single" w:color="000000"/>
        </w:rPr>
        <w:t xml:space="preserve">                         </w:t>
      </w:r>
    </w:p>
    <w:p w14:paraId="1264B418">
      <w:pPr>
        <w:widowControl w:val="0"/>
        <w:adjustRightInd w:val="0"/>
        <w:snapToGrid w:val="0"/>
        <w:spacing w:after="0" w:line="490" w:lineRule="exact"/>
        <w:ind w:firstLine="480"/>
        <w:rPr>
          <w:rFonts w:ascii="Times New Roman" w:hAnsi="Times New Roman" w:eastAsia="宋体" w:cs="宋体"/>
          <w:color w:val="auto"/>
          <w:sz w:val="21"/>
          <w:szCs w:val="21"/>
          <w:u w:val="single" w:color="000000"/>
        </w:rPr>
      </w:pPr>
      <w:r>
        <w:rPr>
          <w:rFonts w:hint="eastAsia" w:ascii="Times New Roman" w:hAnsi="Times New Roman" w:eastAsia="宋体" w:cs="宋体"/>
          <w:color w:val="auto"/>
          <w:sz w:val="21"/>
          <w:szCs w:val="21"/>
        </w:rPr>
        <w:t>签字人签名：</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u w:val="single"/>
        </w:rPr>
        <w:t xml:space="preserve">  </w:t>
      </w:r>
      <w:r>
        <w:rPr>
          <w:rFonts w:hint="eastAsia" w:ascii="Times New Roman" w:hAnsi="Times New Roman" w:eastAsia="宋体" w:cs="宋体"/>
          <w:color w:val="auto"/>
          <w:sz w:val="21"/>
          <w:szCs w:val="21"/>
        </w:rPr>
        <w:t xml:space="preserve">   签字人签名：</w:t>
      </w:r>
      <w:r>
        <w:rPr>
          <w:rFonts w:hint="eastAsia" w:ascii="Times New Roman" w:hAnsi="Times New Roman" w:eastAsia="宋体" w:cs="宋体"/>
          <w:color w:val="auto"/>
          <w:sz w:val="21"/>
          <w:szCs w:val="21"/>
          <w:u w:val="single" w:color="000000"/>
        </w:rPr>
        <w:t xml:space="preserve">                         </w:t>
      </w:r>
    </w:p>
    <w:p w14:paraId="3C5DBF7B">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p>
    <w:p w14:paraId="7387A573">
      <w:pPr>
        <w:widowControl w:val="0"/>
        <w:adjustRightInd w:val="0"/>
        <w:snapToGrid w:val="0"/>
        <w:spacing w:after="0" w:line="490" w:lineRule="exact"/>
        <w:ind w:firstLine="560" w:firstLineChars="200"/>
        <w:rPr>
          <w:rFonts w:ascii="Times New Roman" w:hAnsi="Times New Roman" w:eastAsia="宋体" w:cs="宋体"/>
          <w:color w:val="auto"/>
          <w:sz w:val="28"/>
          <w:szCs w:val="28"/>
          <w:u w:val="single" w:color="000000"/>
        </w:rPr>
      </w:pPr>
    </w:p>
    <w:p w14:paraId="35E32FD4">
      <w:pPr>
        <w:widowControl w:val="0"/>
        <w:spacing w:after="0" w:line="490" w:lineRule="exact"/>
        <w:rPr>
          <w:rFonts w:ascii="Times New Roman" w:hAnsi="Times New Roman" w:eastAsia="宋体" w:cs="宋体"/>
          <w:color w:val="auto"/>
          <w:sz w:val="28"/>
          <w:szCs w:val="28"/>
        </w:rPr>
      </w:pPr>
    </w:p>
    <w:p w14:paraId="67AEA604">
      <w:pPr>
        <w:widowControl w:val="0"/>
        <w:rPr>
          <w:rFonts w:ascii="Times New Roman" w:hAnsi="Times New Roman" w:eastAsia="宋体" w:cs="宋体"/>
          <w:color w:val="auto"/>
        </w:rPr>
      </w:pPr>
      <w:r>
        <w:rPr>
          <w:rFonts w:hint="eastAsia" w:ascii="Times New Roman" w:hAnsi="Times New Roman" w:eastAsia="宋体" w:cs="宋体"/>
          <w:color w:val="auto"/>
        </w:rPr>
        <w:br w:type="page"/>
      </w:r>
      <w:bookmarkStart w:id="832" w:name="_Hlk39765624"/>
    </w:p>
    <w:p w14:paraId="3223C4AA">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r>
        <w:rPr>
          <w:rFonts w:hint="eastAsia" w:ascii="Times New Roman" w:hAnsi="Times New Roman" w:eastAsia="宋体" w:cs="宋体"/>
          <w:b/>
          <w:bCs/>
          <w:color w:val="auto"/>
        </w:rPr>
        <w:t>（七）其他要求（如果有）</w:t>
      </w:r>
    </w:p>
    <w:p w14:paraId="213C861A">
      <w:r>
        <w:rPr>
          <w:rFonts w:hint="eastAsia"/>
        </w:rPr>
        <w:br w:type="page"/>
      </w:r>
    </w:p>
    <w:p w14:paraId="29F14CD8">
      <w:pPr>
        <w:rPr>
          <w:rFonts w:ascii="Times New Roman" w:hAnsi="Times New Roman" w:eastAsia="宋体" w:cs="宋体"/>
          <w:b/>
          <w:bCs/>
          <w:color w:val="auto"/>
        </w:rPr>
      </w:pPr>
    </w:p>
    <w:p w14:paraId="291DB331"/>
    <w:p w14:paraId="73702588">
      <w:pPr>
        <w:jc w:val="center"/>
        <w:rPr>
          <w:rFonts w:ascii="Times New Roman" w:hAnsi="Times New Roman" w:eastAsia="宋体"/>
          <w:b/>
          <w:bCs/>
          <w:color w:val="auto"/>
          <w:sz w:val="52"/>
          <w:szCs w:val="52"/>
        </w:rPr>
      </w:pPr>
      <w:r>
        <w:rPr>
          <w:rFonts w:hint="eastAsia" w:ascii="Times New Roman" w:hAnsi="Times New Roman" w:eastAsia="宋体"/>
          <w:b/>
          <w:bCs/>
          <w:color w:val="auto"/>
          <w:sz w:val="52"/>
          <w:szCs w:val="52"/>
        </w:rPr>
        <w:t>技术部分</w:t>
      </w:r>
    </w:p>
    <w:p w14:paraId="305CBE3B">
      <w:pPr>
        <w:widowControl w:val="0"/>
        <w:rPr>
          <w:rFonts w:ascii="Times New Roman" w:hAnsi="Times New Roman" w:eastAsia="宋体" w:cs="宋体"/>
          <w:color w:val="auto"/>
        </w:rPr>
      </w:pPr>
    </w:p>
    <w:p w14:paraId="70FA9F98">
      <w:pPr>
        <w:widowControl w:val="0"/>
        <w:rPr>
          <w:rFonts w:ascii="Times New Roman" w:hAnsi="Times New Roman" w:eastAsia="宋体" w:cs="宋体"/>
          <w:color w:val="auto"/>
        </w:rPr>
      </w:pPr>
    </w:p>
    <w:p w14:paraId="59C972F8">
      <w:pPr>
        <w:widowControl w:val="0"/>
        <w:rPr>
          <w:rFonts w:ascii="Times New Roman" w:hAnsi="Times New Roman" w:eastAsia="宋体" w:cs="宋体"/>
          <w:color w:val="auto"/>
        </w:rPr>
      </w:pPr>
    </w:p>
    <w:p w14:paraId="204C6B8A">
      <w:pPr>
        <w:widowControl w:val="0"/>
        <w:rPr>
          <w:rFonts w:ascii="Times New Roman" w:hAnsi="Times New Roman" w:eastAsia="宋体" w:cs="宋体"/>
          <w:color w:val="auto"/>
        </w:rPr>
      </w:pPr>
    </w:p>
    <w:p w14:paraId="2EC63FA3">
      <w:pPr>
        <w:widowControl w:val="0"/>
        <w:rPr>
          <w:rFonts w:ascii="Times New Roman" w:hAnsi="Times New Roman" w:eastAsia="宋体" w:cs="宋体"/>
          <w:color w:val="auto"/>
        </w:rPr>
      </w:pPr>
    </w:p>
    <w:p w14:paraId="06841407">
      <w:pPr>
        <w:widowControl w:val="0"/>
        <w:rPr>
          <w:rFonts w:ascii="Times New Roman" w:hAnsi="Times New Roman" w:eastAsia="宋体" w:cs="宋体"/>
          <w:color w:val="auto"/>
        </w:rPr>
      </w:pPr>
    </w:p>
    <w:p w14:paraId="140112C8">
      <w:pPr>
        <w:widowControl w:val="0"/>
        <w:rPr>
          <w:rFonts w:ascii="Times New Roman" w:hAnsi="Times New Roman" w:eastAsia="宋体" w:cs="宋体"/>
          <w:color w:val="auto"/>
        </w:rPr>
      </w:pPr>
    </w:p>
    <w:bookmarkEnd w:id="832"/>
    <w:p w14:paraId="083A4C04">
      <w:pPr>
        <w:spacing w:line="490" w:lineRule="exact"/>
        <w:ind w:firstLine="440" w:firstLineChars="200"/>
        <w:rPr>
          <w:rFonts w:ascii="Times New Roman" w:hAnsi="Times New Roman" w:eastAsia="宋体" w:cs="宋体"/>
          <w:color w:val="auto"/>
          <w:sz w:val="24"/>
          <w:szCs w:val="24"/>
        </w:rPr>
      </w:pPr>
      <w:r>
        <w:rPr>
          <w:rFonts w:hint="eastAsia" w:ascii="Times New Roman" w:hAnsi="Times New Roman" w:eastAsia="宋体" w:cs="宋体"/>
          <w:color w:val="auto"/>
        </w:rPr>
        <w:br w:type="page"/>
      </w:r>
      <w:r>
        <w:rPr>
          <w:rFonts w:hint="eastAsia" w:ascii="Times New Roman" w:hAnsi="Times New Roman" w:eastAsia="宋体" w:cs="宋体"/>
          <w:b/>
          <w:bCs/>
          <w:color w:val="auto"/>
          <w:sz w:val="24"/>
          <w:szCs w:val="24"/>
        </w:rPr>
        <w:t>1.技术部分：</w:t>
      </w:r>
    </w:p>
    <w:p w14:paraId="3F82E243">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投标人应针对本招标工程项目的性质、规模、工作内容具体情况编制技术文件，技术文件包括下列章节内容：</w:t>
      </w:r>
    </w:p>
    <w:p w14:paraId="1B2EEFA5">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（1）投标设备技术性能指标的详细描述；</w:t>
      </w:r>
    </w:p>
    <w:p w14:paraId="72AC5578">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（2）技术支持资料；</w:t>
      </w:r>
    </w:p>
    <w:p w14:paraId="5857D634">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（3）技术服务和质保期服务计划 ；</w:t>
      </w:r>
    </w:p>
    <w:p w14:paraId="3CC15B3D">
      <w:pPr>
        <w:pStyle w:val="14"/>
        <w:spacing w:line="490" w:lineRule="exact"/>
        <w:ind w:left="0" w:leftChars="0" w:firstLine="422" w:firstLineChars="200"/>
        <w:rPr>
          <w:rFonts w:cs="宋体"/>
          <w:b/>
          <w:sz w:val="24"/>
        </w:rPr>
      </w:pPr>
      <w:r>
        <w:rPr>
          <w:rFonts w:hint="eastAsia" w:cs="宋体"/>
          <w:b/>
          <w:szCs w:val="21"/>
        </w:rPr>
        <w:br w:type="page"/>
      </w:r>
      <w:r>
        <w:rPr>
          <w:rFonts w:hint="eastAsia" w:cs="宋体"/>
          <w:b/>
          <w:sz w:val="24"/>
        </w:rPr>
        <w:t>2.暗标制作要求（如适用）</w:t>
      </w:r>
    </w:p>
    <w:p w14:paraId="60D5FE89">
      <w:pPr>
        <w:spacing w:line="490" w:lineRule="exact"/>
        <w:ind w:firstLine="480" w:firstLineChars="200"/>
        <w:rPr>
          <w:rFonts w:ascii="Times New Roman" w:hAnsi="Times New Roman" w:eastAsia="宋体" w:cs="宋体"/>
          <w:color w:val="auto"/>
          <w:sz w:val="21"/>
          <w:szCs w:val="21"/>
        </w:rPr>
      </w:pPr>
      <w:r>
        <w:rPr>
          <w:rFonts w:hint="eastAsia" w:ascii="Times New Roman" w:hAnsi="Times New Roman" w:eastAsia="宋体" w:cs="宋体"/>
          <w:color w:val="auto"/>
          <w:sz w:val="24"/>
          <w:szCs w:val="24"/>
        </w:rPr>
        <w:t>技术文件采用暗标评审，构成投标文件的“暗标”的文件中均不得出现投标人的名称和其他可识别投标人身份的字符、徽标、人员名称以及其他特殊标记等。投标人编制文件应当满 足招标文件技术标要求，不得随意编制。</w:t>
      </w:r>
      <w:r>
        <w:rPr>
          <w:rFonts w:hint="eastAsia" w:ascii="Times New Roman" w:hAnsi="Times New Roman" w:eastAsia="宋体" w:cs="宋体"/>
          <w:color w:val="auto"/>
          <w:sz w:val="21"/>
          <w:szCs w:val="21"/>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775"/>
        <w:gridCol w:w="4747"/>
      </w:tblGrid>
      <w:tr w14:paraId="6F0D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0C92C3A3">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序号</w:t>
            </w:r>
          </w:p>
        </w:tc>
        <w:tc>
          <w:tcPr>
            <w:tcW w:w="2775" w:type="dxa"/>
            <w:vAlign w:val="center"/>
          </w:tcPr>
          <w:p w14:paraId="7567ECF9">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项目内容</w:t>
            </w:r>
          </w:p>
        </w:tc>
        <w:tc>
          <w:tcPr>
            <w:tcW w:w="4747" w:type="dxa"/>
            <w:vAlign w:val="center"/>
          </w:tcPr>
          <w:p w14:paraId="2EFB0578">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类别、内容</w:t>
            </w:r>
          </w:p>
        </w:tc>
      </w:tr>
      <w:tr w14:paraId="79C83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75FC6CE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w:t>
            </w:r>
          </w:p>
        </w:tc>
        <w:tc>
          <w:tcPr>
            <w:tcW w:w="2775" w:type="dxa"/>
            <w:vAlign w:val="center"/>
          </w:tcPr>
          <w:p w14:paraId="6FEBD97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字体要求</w:t>
            </w:r>
          </w:p>
        </w:tc>
        <w:tc>
          <w:tcPr>
            <w:tcW w:w="4747" w:type="dxa"/>
            <w:vAlign w:val="center"/>
          </w:tcPr>
          <w:p w14:paraId="4602F044">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宋体</w:t>
            </w:r>
          </w:p>
        </w:tc>
      </w:tr>
      <w:tr w14:paraId="20E8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1EDB300">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w:t>
            </w:r>
          </w:p>
        </w:tc>
        <w:tc>
          <w:tcPr>
            <w:tcW w:w="2775" w:type="dxa"/>
            <w:vAlign w:val="center"/>
          </w:tcPr>
          <w:p w14:paraId="66F8AEC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正文字号要求</w:t>
            </w:r>
          </w:p>
        </w:tc>
        <w:tc>
          <w:tcPr>
            <w:tcW w:w="4747" w:type="dxa"/>
            <w:vAlign w:val="center"/>
          </w:tcPr>
          <w:p w14:paraId="6D56402A">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五号 字体加粗：否</w:t>
            </w:r>
          </w:p>
        </w:tc>
      </w:tr>
      <w:tr w14:paraId="6DA9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2C5506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3</w:t>
            </w:r>
          </w:p>
        </w:tc>
        <w:tc>
          <w:tcPr>
            <w:tcW w:w="2775" w:type="dxa"/>
            <w:vAlign w:val="center"/>
          </w:tcPr>
          <w:p w14:paraId="36AB449C">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段落</w:t>
            </w:r>
          </w:p>
        </w:tc>
        <w:tc>
          <w:tcPr>
            <w:tcW w:w="4747" w:type="dxa"/>
            <w:vAlign w:val="center"/>
          </w:tcPr>
          <w:p w14:paraId="6373D46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行距：单倍行距</w:t>
            </w:r>
          </w:p>
        </w:tc>
      </w:tr>
      <w:tr w14:paraId="76256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DF696C8">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4</w:t>
            </w:r>
          </w:p>
        </w:tc>
        <w:tc>
          <w:tcPr>
            <w:tcW w:w="2775" w:type="dxa"/>
            <w:vAlign w:val="center"/>
          </w:tcPr>
          <w:p w14:paraId="180335AC">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正文纸张方向</w:t>
            </w:r>
          </w:p>
        </w:tc>
        <w:tc>
          <w:tcPr>
            <w:tcW w:w="4747" w:type="dxa"/>
            <w:vAlign w:val="center"/>
          </w:tcPr>
          <w:p w14:paraId="4E2ED81B">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纵向</w:t>
            </w:r>
          </w:p>
        </w:tc>
      </w:tr>
      <w:tr w14:paraId="7910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515DD7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5</w:t>
            </w:r>
          </w:p>
        </w:tc>
        <w:tc>
          <w:tcPr>
            <w:tcW w:w="2775" w:type="dxa"/>
            <w:vAlign w:val="center"/>
          </w:tcPr>
          <w:p w14:paraId="02DEF16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纸张大小</w:t>
            </w:r>
          </w:p>
        </w:tc>
        <w:tc>
          <w:tcPr>
            <w:tcW w:w="4747" w:type="dxa"/>
            <w:vAlign w:val="center"/>
          </w:tcPr>
          <w:p w14:paraId="3DE0EDD1">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A4</w:t>
            </w:r>
          </w:p>
        </w:tc>
      </w:tr>
      <w:tr w14:paraId="056F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7D39DDC2">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6</w:t>
            </w:r>
          </w:p>
        </w:tc>
        <w:tc>
          <w:tcPr>
            <w:tcW w:w="2775" w:type="dxa"/>
            <w:vAlign w:val="center"/>
          </w:tcPr>
          <w:p w14:paraId="2FFD57C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缩进</w:t>
            </w:r>
          </w:p>
        </w:tc>
        <w:tc>
          <w:tcPr>
            <w:tcW w:w="4747" w:type="dxa"/>
            <w:vAlign w:val="center"/>
          </w:tcPr>
          <w:p w14:paraId="251D7AA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左侧缩进：0 字符 </w:t>
            </w:r>
          </w:p>
          <w:p w14:paraId="76F85C0B">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右侧缩进：0 字符 </w:t>
            </w:r>
          </w:p>
          <w:p w14:paraId="30F0155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首行缩进：0 字符</w:t>
            </w:r>
          </w:p>
        </w:tc>
      </w:tr>
      <w:tr w14:paraId="320C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2A5FBD32">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7</w:t>
            </w:r>
          </w:p>
        </w:tc>
        <w:tc>
          <w:tcPr>
            <w:tcW w:w="2775" w:type="dxa"/>
            <w:vAlign w:val="center"/>
          </w:tcPr>
          <w:p w14:paraId="35EA0101">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是否允许涂改或删除痕迹</w:t>
            </w:r>
          </w:p>
        </w:tc>
        <w:tc>
          <w:tcPr>
            <w:tcW w:w="4747" w:type="dxa"/>
            <w:vAlign w:val="center"/>
          </w:tcPr>
          <w:p w14:paraId="6D355508">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654F4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45B08B3">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8</w:t>
            </w:r>
          </w:p>
        </w:tc>
        <w:tc>
          <w:tcPr>
            <w:tcW w:w="2775" w:type="dxa"/>
            <w:vAlign w:val="center"/>
          </w:tcPr>
          <w:p w14:paraId="03696764">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网格设置</w:t>
            </w:r>
          </w:p>
        </w:tc>
        <w:tc>
          <w:tcPr>
            <w:tcW w:w="4747" w:type="dxa"/>
            <w:vAlign w:val="center"/>
          </w:tcPr>
          <w:p w14:paraId="7DB008D1">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39D1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2C926902">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9</w:t>
            </w:r>
          </w:p>
        </w:tc>
        <w:tc>
          <w:tcPr>
            <w:tcW w:w="2775" w:type="dxa"/>
            <w:vAlign w:val="center"/>
          </w:tcPr>
          <w:p w14:paraId="07D340B4">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是否允许字体、图片、表格涂色</w:t>
            </w:r>
          </w:p>
        </w:tc>
        <w:tc>
          <w:tcPr>
            <w:tcW w:w="4747" w:type="dxa"/>
            <w:vAlign w:val="center"/>
          </w:tcPr>
          <w:p w14:paraId="4E65FE1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346F6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46A09008">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10</w:t>
            </w:r>
          </w:p>
        </w:tc>
        <w:tc>
          <w:tcPr>
            <w:tcW w:w="2775" w:type="dxa"/>
            <w:vAlign w:val="center"/>
          </w:tcPr>
          <w:p w14:paraId="18C25A93">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是否允许出现目录</w:t>
            </w:r>
          </w:p>
        </w:tc>
        <w:tc>
          <w:tcPr>
            <w:tcW w:w="4747" w:type="dxa"/>
            <w:vAlign w:val="center"/>
          </w:tcPr>
          <w:p w14:paraId="731980CE">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740A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30362D74">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11</w:t>
            </w:r>
          </w:p>
        </w:tc>
        <w:tc>
          <w:tcPr>
            <w:tcW w:w="2775" w:type="dxa"/>
            <w:vAlign w:val="center"/>
          </w:tcPr>
          <w:p w14:paraId="297A79E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允许设置页眉、页脚、页码</w:t>
            </w:r>
          </w:p>
        </w:tc>
        <w:tc>
          <w:tcPr>
            <w:tcW w:w="4747" w:type="dxa"/>
            <w:vAlign w:val="center"/>
          </w:tcPr>
          <w:p w14:paraId="5AA4818A">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1A41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523A234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12</w:t>
            </w:r>
          </w:p>
        </w:tc>
        <w:tc>
          <w:tcPr>
            <w:tcW w:w="2775" w:type="dxa"/>
            <w:vAlign w:val="center"/>
          </w:tcPr>
          <w:p w14:paraId="1B69387C">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图表格式</w:t>
            </w:r>
          </w:p>
        </w:tc>
        <w:tc>
          <w:tcPr>
            <w:tcW w:w="4747" w:type="dxa"/>
            <w:vAlign w:val="center"/>
          </w:tcPr>
          <w:p w14:paraId="2EA8BC06">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表中的文本格式应与正文格式保持一 致。技术标的“图形”（包括框图、 流程图、结构图等，不包括纯表格） 内容需转换为“图片”格式插入到文 件对应位置上。</w:t>
            </w:r>
          </w:p>
        </w:tc>
      </w:tr>
      <w:tr w14:paraId="510B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6FA951F5">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13</w:t>
            </w:r>
          </w:p>
        </w:tc>
        <w:tc>
          <w:tcPr>
            <w:tcW w:w="2775" w:type="dxa"/>
            <w:vAlign w:val="center"/>
          </w:tcPr>
          <w:p w14:paraId="4DBA08A2">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其他说明（技术标格式属性之外的补 充）</w:t>
            </w:r>
          </w:p>
        </w:tc>
        <w:tc>
          <w:tcPr>
            <w:tcW w:w="4747" w:type="dxa"/>
            <w:vAlign w:val="center"/>
          </w:tcPr>
          <w:p w14:paraId="74EA0697">
            <w:pPr>
              <w:widowControl w:val="0"/>
              <w:spacing w:line="400" w:lineRule="exact"/>
              <w:rPr>
                <w:rFonts w:ascii="Times New Roman" w:hAnsi="Times New Roman" w:eastAsia="宋体" w:cs="宋体"/>
                <w:color w:val="auto"/>
                <w:sz w:val="21"/>
                <w:szCs w:val="21"/>
              </w:rPr>
            </w:pPr>
          </w:p>
        </w:tc>
      </w:tr>
    </w:tbl>
    <w:p w14:paraId="4B5B780F">
      <w:pPr>
        <w:widowControl w:val="0"/>
        <w:adjustRightInd w:val="0"/>
        <w:snapToGrid w:val="0"/>
        <w:spacing w:after="0" w:line="265" w:lineRule="auto"/>
        <w:ind w:hanging="10"/>
        <w:rPr>
          <w:rFonts w:ascii="Times New Roman" w:hAnsi="Times New Roman" w:eastAsia="宋体" w:cs="宋体"/>
          <w:color w:val="auto"/>
        </w:rPr>
      </w:pPr>
      <w:r>
        <w:rPr>
          <w:rFonts w:hint="eastAsia" w:ascii="Times New Roman" w:hAnsi="Times New Roman" w:eastAsia="宋体" w:cs="宋体"/>
          <w:color w:val="auto"/>
        </w:rPr>
        <w:br w:type="page"/>
      </w:r>
    </w:p>
    <w:p w14:paraId="0F19A920">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33" w:name="_Toc11634"/>
      <w:bookmarkStart w:id="834" w:name="_Toc19509"/>
      <w:bookmarkStart w:id="835" w:name="_Toc2315"/>
      <w:bookmarkStart w:id="836" w:name="_Toc5763"/>
      <w:bookmarkStart w:id="837" w:name="_Toc17285"/>
      <w:bookmarkStart w:id="838" w:name="_Toc56792859"/>
      <w:bookmarkStart w:id="839" w:name="_Toc9115"/>
      <w:r>
        <w:rPr>
          <w:rFonts w:hint="eastAsia" w:ascii="Times New Roman" w:hAnsi="Times New Roman" w:cs="宋体"/>
          <w:b w:val="0"/>
          <w:bCs/>
          <w:color w:val="auto"/>
          <w:sz w:val="36"/>
        </w:rPr>
        <w:t>八、投标设备技术性能指标的详细描述</w:t>
      </w:r>
      <w:bookmarkEnd w:id="833"/>
      <w:bookmarkEnd w:id="834"/>
      <w:bookmarkEnd w:id="835"/>
      <w:bookmarkEnd w:id="836"/>
      <w:bookmarkEnd w:id="837"/>
    </w:p>
    <w:bookmarkEnd w:id="838"/>
    <w:p w14:paraId="6679E3A6">
      <w:pPr>
        <w:widowControl w:val="0"/>
        <w:rPr>
          <w:rFonts w:ascii="Times New Roman" w:hAnsi="Times New Roman" w:eastAsia="宋体" w:cs="宋体"/>
          <w:color w:val="auto"/>
          <w:sz w:val="24"/>
        </w:rPr>
      </w:pPr>
    </w:p>
    <w:p w14:paraId="6D1F4BE4">
      <w:pPr>
        <w:widowControl w:val="0"/>
        <w:rPr>
          <w:rFonts w:ascii="Times New Roman" w:hAnsi="Times New Roman" w:eastAsia="宋体" w:cs="宋体"/>
          <w:color w:val="auto"/>
          <w:sz w:val="24"/>
        </w:rPr>
      </w:pPr>
    </w:p>
    <w:p w14:paraId="64AF5BF1">
      <w:pPr>
        <w:widowControl w:val="0"/>
        <w:rPr>
          <w:rFonts w:ascii="Times New Roman" w:hAnsi="Times New Roman" w:eastAsia="宋体" w:cs="宋体"/>
          <w:color w:val="auto"/>
        </w:rPr>
      </w:pPr>
    </w:p>
    <w:p w14:paraId="36671EF8">
      <w:pPr>
        <w:widowControl w:val="0"/>
        <w:rPr>
          <w:rFonts w:ascii="Times New Roman" w:hAnsi="Times New Roman" w:eastAsia="宋体" w:cs="宋体"/>
          <w:color w:val="auto"/>
        </w:rPr>
      </w:pPr>
    </w:p>
    <w:p w14:paraId="2D1BD195">
      <w:pPr>
        <w:widowControl w:val="0"/>
        <w:rPr>
          <w:rFonts w:ascii="Times New Roman" w:hAnsi="Times New Roman" w:eastAsia="宋体" w:cs="宋体"/>
          <w:color w:val="auto"/>
        </w:rPr>
      </w:pPr>
      <w:r>
        <w:rPr>
          <w:rFonts w:hint="eastAsia" w:ascii="Times New Roman" w:hAnsi="Times New Roman" w:eastAsia="宋体" w:cs="宋体"/>
          <w:color w:val="auto"/>
        </w:rPr>
        <w:br w:type="page"/>
      </w:r>
    </w:p>
    <w:bookmarkEnd w:id="839"/>
    <w:p w14:paraId="1F441187">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40" w:name="_Toc25118"/>
      <w:bookmarkStart w:id="841" w:name="_Toc15166"/>
      <w:bookmarkStart w:id="842" w:name="_Toc29325"/>
      <w:bookmarkStart w:id="843" w:name="_Toc1576"/>
      <w:bookmarkStart w:id="844" w:name="_Toc7173"/>
      <w:bookmarkStart w:id="845" w:name="_Toc7876"/>
      <w:bookmarkStart w:id="846" w:name="_Toc56792861"/>
      <w:r>
        <w:rPr>
          <w:rFonts w:hint="eastAsia" w:ascii="Times New Roman" w:hAnsi="Times New Roman" w:cs="宋体"/>
          <w:b w:val="0"/>
          <w:bCs/>
          <w:color w:val="auto"/>
          <w:sz w:val="36"/>
        </w:rPr>
        <w:t>九、技术支持资料</w:t>
      </w:r>
      <w:bookmarkEnd w:id="840"/>
      <w:bookmarkEnd w:id="841"/>
      <w:bookmarkEnd w:id="842"/>
      <w:bookmarkEnd w:id="843"/>
      <w:bookmarkEnd w:id="844"/>
      <w:bookmarkEnd w:id="845"/>
      <w:bookmarkEnd w:id="846"/>
      <w:r>
        <w:rPr>
          <w:rFonts w:hint="eastAsia" w:ascii="Times New Roman" w:hAnsi="Times New Roman" w:cs="宋体"/>
          <w:b w:val="0"/>
          <w:bCs/>
          <w:color w:val="auto"/>
          <w:sz w:val="36"/>
        </w:rPr>
        <w:t xml:space="preserve"> </w:t>
      </w:r>
    </w:p>
    <w:p w14:paraId="11613E10">
      <w:pPr>
        <w:rPr>
          <w:rFonts w:ascii="Times New Roman" w:hAnsi="Times New Roman" w:eastAsia="宋体" w:cs="宋体"/>
          <w:color w:val="auto"/>
        </w:rPr>
      </w:pPr>
      <w:r>
        <w:rPr>
          <w:rFonts w:hint="eastAsia" w:ascii="Times New Roman" w:hAnsi="Times New Roman" w:eastAsia="宋体" w:cs="宋体"/>
          <w:b/>
          <w:color w:val="auto"/>
        </w:rPr>
        <w:br w:type="page"/>
      </w:r>
    </w:p>
    <w:p w14:paraId="5A96B35E">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47" w:name="_Toc23684"/>
      <w:bookmarkStart w:id="848" w:name="_Toc56792862"/>
      <w:bookmarkStart w:id="849" w:name="_Toc20346"/>
      <w:bookmarkStart w:id="850" w:name="_Toc14821"/>
      <w:bookmarkStart w:id="851" w:name="_Toc9474"/>
      <w:bookmarkStart w:id="852" w:name="_Toc4397"/>
      <w:bookmarkStart w:id="853" w:name="_Toc29156"/>
      <w:r>
        <w:rPr>
          <w:rFonts w:hint="eastAsia" w:ascii="Times New Roman" w:hAnsi="Times New Roman" w:cs="宋体"/>
          <w:b w:val="0"/>
          <w:bCs/>
          <w:color w:val="auto"/>
          <w:sz w:val="36"/>
        </w:rPr>
        <w:t>十、</w:t>
      </w:r>
      <w:bookmarkEnd w:id="847"/>
      <w:bookmarkEnd w:id="848"/>
      <w:r>
        <w:rPr>
          <w:rFonts w:hint="eastAsia" w:ascii="Times New Roman" w:hAnsi="Times New Roman" w:cs="宋体"/>
          <w:b w:val="0"/>
          <w:bCs/>
          <w:color w:val="auto"/>
          <w:sz w:val="36"/>
        </w:rPr>
        <w:t>技术</w:t>
      </w:r>
      <w:r>
        <w:rPr>
          <w:rFonts w:hint="eastAsia" w:ascii="Times New Roman" w:hAnsi="Times New Roman" w:cs="宋体"/>
          <w:bCs/>
          <w:color w:val="auto"/>
          <w:sz w:val="36"/>
        </w:rPr>
        <w:t>服务和质保期服务计划</w:t>
      </w:r>
      <w:bookmarkEnd w:id="849"/>
      <w:bookmarkEnd w:id="850"/>
      <w:bookmarkEnd w:id="851"/>
      <w:bookmarkEnd w:id="852"/>
      <w:bookmarkEnd w:id="853"/>
      <w:r>
        <w:rPr>
          <w:rFonts w:hint="eastAsia" w:ascii="Times New Roman" w:hAnsi="Times New Roman" w:cs="宋体"/>
          <w:b w:val="0"/>
          <w:bCs/>
          <w:color w:val="auto"/>
          <w:sz w:val="36"/>
        </w:rPr>
        <w:t xml:space="preserve"> </w:t>
      </w:r>
    </w:p>
    <w:p w14:paraId="626C08E5">
      <w:pPr>
        <w:widowControl w:val="0"/>
        <w:spacing w:after="0" w:line="490" w:lineRule="exact"/>
        <w:ind w:firstLine="440" w:firstLineChars="200"/>
        <w:jc w:val="both"/>
        <w:rPr>
          <w:rFonts w:ascii="Times New Roman" w:hAnsi="Times New Roman" w:eastAsia="宋体" w:cs="宋体"/>
          <w:color w:val="auto"/>
        </w:rPr>
      </w:pPr>
    </w:p>
    <w:p w14:paraId="659E1AAC">
      <w:pPr>
        <w:widowControl w:val="0"/>
        <w:spacing w:after="0" w:line="490" w:lineRule="exact"/>
        <w:ind w:firstLine="440" w:firstLineChars="200"/>
        <w:jc w:val="both"/>
        <w:rPr>
          <w:rFonts w:ascii="Times New Roman" w:hAnsi="Times New Roman" w:eastAsia="宋体" w:cs="宋体"/>
          <w:color w:val="auto"/>
        </w:rPr>
      </w:pPr>
    </w:p>
    <w:p w14:paraId="7D721E62">
      <w:pPr>
        <w:widowControl w:val="0"/>
        <w:spacing w:after="0" w:line="490" w:lineRule="exact"/>
        <w:ind w:firstLine="440" w:firstLineChars="200"/>
        <w:jc w:val="both"/>
        <w:rPr>
          <w:rFonts w:ascii="Times New Roman" w:hAnsi="Times New Roman" w:eastAsia="宋体" w:cs="宋体"/>
          <w:color w:val="auto"/>
        </w:rPr>
      </w:pPr>
    </w:p>
    <w:p w14:paraId="1E049701">
      <w:pPr>
        <w:widowControl w:val="0"/>
        <w:spacing w:after="0" w:line="490" w:lineRule="exact"/>
        <w:ind w:firstLine="440" w:firstLineChars="200"/>
        <w:jc w:val="both"/>
        <w:rPr>
          <w:rFonts w:ascii="Times New Roman" w:hAnsi="Times New Roman" w:eastAsia="宋体" w:cs="宋体"/>
          <w:color w:val="auto"/>
        </w:rPr>
      </w:pPr>
    </w:p>
    <w:p w14:paraId="3121CF84">
      <w:pPr>
        <w:widowControl w:val="0"/>
        <w:adjustRightInd w:val="0"/>
        <w:snapToGrid w:val="0"/>
        <w:spacing w:after="0" w:line="490" w:lineRule="exact"/>
        <w:ind w:firstLine="440" w:firstLineChars="200"/>
        <w:jc w:val="both"/>
        <w:rPr>
          <w:rFonts w:ascii="Times New Roman" w:hAnsi="Times New Roman" w:eastAsia="宋体" w:cs="宋体"/>
          <w:color w:val="auto"/>
        </w:rPr>
      </w:pPr>
    </w:p>
    <w:p w14:paraId="7922BFBC">
      <w:pPr>
        <w:widowControl w:val="0"/>
        <w:adjustRightInd w:val="0"/>
        <w:snapToGrid w:val="0"/>
        <w:spacing w:after="0" w:line="490" w:lineRule="exact"/>
        <w:ind w:firstLine="643" w:firstLineChars="200"/>
        <w:jc w:val="both"/>
        <w:rPr>
          <w:rFonts w:ascii="Times New Roman" w:hAnsi="Times New Roman" w:eastAsia="宋体" w:cs="宋体"/>
          <w:color w:val="auto"/>
          <w:sz w:val="20"/>
          <w:szCs w:val="20"/>
        </w:rPr>
      </w:pPr>
      <w:r>
        <w:rPr>
          <w:rFonts w:hint="eastAsia" w:ascii="Times New Roman" w:hAnsi="Times New Roman" w:eastAsia="宋体" w:cs="宋体"/>
          <w:b/>
          <w:color w:val="auto"/>
          <w:sz w:val="32"/>
        </w:rPr>
        <w:br w:type="page"/>
      </w:r>
    </w:p>
    <w:p w14:paraId="452285C2">
      <w:bookmarkStart w:id="854" w:name="_Toc549"/>
      <w:bookmarkStart w:id="855" w:name="_Toc31875"/>
      <w:bookmarkStart w:id="856" w:name="_Toc12226"/>
      <w:bookmarkStart w:id="857" w:name="_Toc23823"/>
      <w:bookmarkStart w:id="858" w:name="_Toc56792863"/>
      <w:bookmarkStart w:id="859" w:name="_Toc1462"/>
      <w:bookmarkStart w:id="860" w:name="_Toc15700"/>
    </w:p>
    <w:p w14:paraId="5872440F"/>
    <w:p w14:paraId="32A9D276">
      <w:pPr>
        <w:jc w:val="center"/>
        <w:rPr>
          <w:rFonts w:ascii="Times New Roman" w:hAnsi="Times New Roman" w:eastAsia="宋体" w:cs="宋体"/>
          <w:b/>
          <w:bCs/>
          <w:color w:val="auto"/>
          <w:sz w:val="36"/>
        </w:rPr>
      </w:pPr>
      <w:r>
        <w:rPr>
          <w:rFonts w:hint="eastAsia" w:ascii="Times New Roman" w:hAnsi="Times New Roman" w:eastAsia="宋体" w:cs="宋体"/>
          <w:b/>
          <w:bCs/>
          <w:color w:val="auto"/>
          <w:sz w:val="52"/>
          <w:szCs w:val="52"/>
        </w:rPr>
        <w:t>其他部分</w:t>
      </w:r>
      <w:r>
        <w:rPr>
          <w:rFonts w:hint="eastAsia" w:ascii="Times New Roman" w:hAnsi="Times New Roman" w:eastAsia="宋体" w:cs="宋体"/>
          <w:b/>
          <w:bCs/>
          <w:color w:val="auto"/>
          <w:sz w:val="36"/>
        </w:rPr>
        <w:br w:type="page"/>
      </w:r>
    </w:p>
    <w:p w14:paraId="37FBB8A2">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61" w:name="_Toc3052"/>
      <w:r>
        <w:rPr>
          <w:rFonts w:hint="eastAsia" w:ascii="Times New Roman" w:hAnsi="Times New Roman" w:cs="宋体"/>
          <w:b w:val="0"/>
          <w:bCs/>
          <w:color w:val="auto"/>
          <w:sz w:val="36"/>
        </w:rPr>
        <w:t>十一、其他资料</w:t>
      </w:r>
      <w:bookmarkEnd w:id="854"/>
      <w:bookmarkEnd w:id="855"/>
      <w:bookmarkEnd w:id="856"/>
      <w:bookmarkEnd w:id="857"/>
      <w:bookmarkEnd w:id="858"/>
      <w:bookmarkEnd w:id="859"/>
      <w:bookmarkEnd w:id="860"/>
      <w:bookmarkEnd w:id="861"/>
    </w:p>
    <w:p w14:paraId="4EE6E86E">
      <w:pPr>
        <w:rPr>
          <w:color w:val="auto"/>
        </w:rPr>
      </w:pPr>
    </w:p>
    <w:p w14:paraId="0B6FAC0A">
      <w:pPr>
        <w:widowControl w:val="0"/>
        <w:jc w:val="center"/>
        <w:outlineLvl w:val="1"/>
        <w:rPr>
          <w:rFonts w:ascii="Times New Roman" w:hAnsi="Times New Roman" w:eastAsia="宋体" w:cs="宋体"/>
          <w:b/>
          <w:color w:val="auto"/>
          <w:sz w:val="28"/>
        </w:rPr>
      </w:pPr>
      <w:bookmarkStart w:id="862" w:name="_Toc24349"/>
      <w:bookmarkStart w:id="863" w:name="_Toc52810186"/>
      <w:bookmarkStart w:id="864" w:name="_Toc56792864"/>
      <w:bookmarkStart w:id="865" w:name="_Toc3668"/>
      <w:bookmarkStart w:id="866" w:name="_Toc25694"/>
      <w:bookmarkStart w:id="867" w:name="_Toc21945"/>
      <w:bookmarkStart w:id="868" w:name="_Toc15003"/>
      <w:r>
        <w:rPr>
          <w:rFonts w:hint="eastAsia" w:ascii="Times New Roman" w:hAnsi="Times New Roman" w:eastAsia="宋体" w:cs="宋体"/>
          <w:b/>
          <w:color w:val="auto"/>
          <w:sz w:val="28"/>
        </w:rPr>
        <w:t>（一）</w:t>
      </w:r>
      <w:bookmarkEnd w:id="862"/>
      <w:bookmarkEnd w:id="863"/>
      <w:bookmarkEnd w:id="864"/>
      <w:r>
        <w:rPr>
          <w:rFonts w:hint="eastAsia" w:ascii="Times New Roman" w:hAnsi="Times New Roman" w:eastAsia="宋体" w:cs="宋体"/>
          <w:b/>
          <w:color w:val="auto"/>
          <w:sz w:val="28"/>
        </w:rPr>
        <w:t>投标人告知承诺函</w:t>
      </w:r>
      <w:bookmarkEnd w:id="865"/>
      <w:bookmarkEnd w:id="866"/>
      <w:bookmarkEnd w:id="867"/>
      <w:bookmarkEnd w:id="868"/>
    </w:p>
    <w:p w14:paraId="5627BA92">
      <w:pPr>
        <w:adjustRightInd w:val="0"/>
        <w:snapToGrid w:val="0"/>
        <w:spacing w:line="288" w:lineRule="auto"/>
        <w:rPr>
          <w:rFonts w:ascii="Times New Roman" w:hAnsi="Times New Roman" w:eastAsia="宋体" w:cs="FangSong_GB2312"/>
          <w:color w:val="auto"/>
          <w:szCs w:val="21"/>
          <w:u w:val="single"/>
        </w:rPr>
      </w:pPr>
    </w:p>
    <w:p w14:paraId="4D2D630E">
      <w:pPr>
        <w:adjustRightInd w:val="0"/>
        <w:snapToGrid w:val="0"/>
        <w:spacing w:line="288" w:lineRule="auto"/>
        <w:rPr>
          <w:rFonts w:ascii="Times New Roman" w:hAnsi="Times New Roman" w:eastAsia="宋体" w:cs="FangSong_GB2312"/>
          <w:color w:val="auto"/>
          <w:szCs w:val="21"/>
          <w:u w:val="single"/>
        </w:rPr>
      </w:pPr>
      <w:r>
        <w:rPr>
          <w:rFonts w:hint="eastAsia" w:ascii="Times New Roman" w:hAnsi="Times New Roman" w:eastAsia="宋体" w:cs="FangSong_GB2312"/>
          <w:color w:val="auto"/>
          <w:szCs w:val="21"/>
          <w:u w:val="single"/>
        </w:rPr>
        <w:t>招标人名称、行政监管部门：</w:t>
      </w:r>
    </w:p>
    <w:p w14:paraId="613DFF21">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我单位参与</w:t>
      </w:r>
      <w:r>
        <w:rPr>
          <w:rFonts w:hint="eastAsia" w:ascii="Times New Roman" w:hAnsi="Times New Roman" w:eastAsia="宋体" w:cs="FangSong_GB2312"/>
          <w:color w:val="auto"/>
          <w:szCs w:val="21"/>
          <w:u w:val="single"/>
        </w:rPr>
        <w:t>（招标项目名称）</w:t>
      </w:r>
      <w:r>
        <w:rPr>
          <w:rFonts w:hint="eastAsia" w:ascii="Times New Roman" w:hAnsi="Times New Roman" w:eastAsia="宋体" w:cs="FangSong_GB2312"/>
          <w:color w:val="auto"/>
          <w:szCs w:val="21"/>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14:paraId="2271762C">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一、我单位和我本人遵循公开、公平、公正、诚实守信的原则，依法依规参与本项目投标。</w:t>
      </w:r>
    </w:p>
    <w:p w14:paraId="75CF4003">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二、我单位具有参与本次投标的资质和能力，公司运营状况良好，不存在挂靠投标、不受让、租借、出租、出借资格或资质证书，无处罚期内的不良行为。</w:t>
      </w:r>
    </w:p>
    <w:p w14:paraId="2AD79E9D">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三、我单位在本项目投标过程中从招标公告/投标邀请书列明的渠道获取招标文件，没有通过其他不正当渠道获取招标文件。</w:t>
      </w:r>
    </w:p>
    <w:p w14:paraId="2CECB9B0">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四、我单位承诺投标文件由本单位员工独立编制，严格遵守保密义务。所提供的一切投标相关材料都是真实、有效、合法的。</w:t>
      </w:r>
    </w:p>
    <w:p w14:paraId="109C67D0">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五、我单位不与其他投标人相互串通投标报价，不恶意压低或抬高投标报价，不排挤其他投标人的公平竞争，不损害招标人或其他投标人的合法权益。</w:t>
      </w:r>
    </w:p>
    <w:p w14:paraId="5B4745FE">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六、我单位不与招标人或招标代理机构串通投标，损害国家利益、社会公共利益或者他人的合法权益;</w:t>
      </w:r>
    </w:p>
    <w:p w14:paraId="5854FA49">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七、我单位不向招标人或者评标委员会成员行贿以牟取中标，不在开标后进行虚假恶意投诉。</w:t>
      </w:r>
    </w:p>
    <w:p w14:paraId="4F12BAA1">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14:paraId="1C8E92D9">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九、我单位如在本项目招标投标活动评标工作中存在串通投标、弄虚作假等行为的，本单位及本人自愿承担法律责任，接受相应刑事、纪律和行政处罚以及失信惩戒。</w:t>
      </w:r>
    </w:p>
    <w:p w14:paraId="24A458F0">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十、本承诺函由我单位盖章及法定代表人（授权委托人）本人亲自签字确认。</w:t>
      </w:r>
    </w:p>
    <w:p w14:paraId="4FF4BB50">
      <w:pPr>
        <w:adjustRightInd w:val="0"/>
        <w:snapToGrid w:val="0"/>
        <w:spacing w:line="288" w:lineRule="auto"/>
        <w:ind w:firstLine="440" w:firstLineChars="200"/>
        <w:rPr>
          <w:rFonts w:ascii="Times New Roman" w:hAnsi="Times New Roman" w:eastAsia="宋体" w:cs="FangSong_GB2312"/>
          <w:color w:val="auto"/>
          <w:szCs w:val="21"/>
        </w:rPr>
      </w:pPr>
    </w:p>
    <w:p w14:paraId="7AC2DAE1">
      <w:pPr>
        <w:widowControl w:val="0"/>
        <w:adjustRightInd w:val="0"/>
        <w:snapToGrid w:val="0"/>
        <w:spacing w:line="360" w:lineRule="auto"/>
        <w:ind w:firstLine="440" w:firstLineChars="200"/>
        <w:rPr>
          <w:rFonts w:ascii="Times New Roman" w:hAnsi="Times New Roman" w:eastAsia="宋体" w:cs="FangSong_GB2312"/>
          <w:color w:val="auto"/>
          <w:szCs w:val="21"/>
        </w:rPr>
      </w:pPr>
      <w:bookmarkStart w:id="869" w:name="_Toc56792866"/>
      <w:bookmarkStart w:id="870" w:name="_Toc52810188"/>
      <w:r>
        <w:rPr>
          <w:rFonts w:hint="eastAsia" w:ascii="Times New Roman" w:hAnsi="Times New Roman" w:eastAsia="宋体" w:cs="FangSong_GB2312"/>
          <w:color w:val="auto"/>
          <w:szCs w:val="21"/>
        </w:rPr>
        <w:t>承诺单位：</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w:t>
      </w:r>
      <w:bookmarkStart w:id="871" w:name="_Toc123730276"/>
      <w:bookmarkStart w:id="872" w:name="_Toc9473"/>
      <w:bookmarkStart w:id="873" w:name="_Toc2702"/>
      <w:bookmarkStart w:id="874" w:name="_Toc32592"/>
      <w:bookmarkStart w:id="875" w:name="_Toc14448"/>
      <w:bookmarkStart w:id="876" w:name="_Toc10235"/>
      <w:bookmarkStart w:id="877" w:name="_Toc30770"/>
      <w:bookmarkStart w:id="878" w:name="_Toc20038"/>
      <w:r>
        <w:rPr>
          <w:rFonts w:hint="eastAsia" w:ascii="Times New Roman" w:hAnsi="Times New Roman" w:eastAsia="宋体" w:cs="FangSong_GB2312"/>
          <w:color w:val="auto"/>
          <w:szCs w:val="21"/>
        </w:rPr>
        <w:t>单位CA数字证书章</w:t>
      </w:r>
    </w:p>
    <w:p w14:paraId="2053DC61">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法定代表人（或授权委托人）：</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（CA数字证书章）</w:t>
      </w:r>
      <w:bookmarkEnd w:id="871"/>
      <w:bookmarkEnd w:id="872"/>
      <w:bookmarkEnd w:id="873"/>
      <w:bookmarkEnd w:id="874"/>
      <w:bookmarkEnd w:id="875"/>
      <w:bookmarkEnd w:id="876"/>
      <w:bookmarkEnd w:id="877"/>
      <w:bookmarkEnd w:id="878"/>
    </w:p>
    <w:p w14:paraId="4C3A4BC8">
      <w:pPr>
        <w:widowControl w:val="0"/>
        <w:adjustRightInd w:val="0"/>
        <w:snapToGrid w:val="0"/>
        <w:spacing w:line="360" w:lineRule="auto"/>
        <w:ind w:firstLine="440" w:firstLineChars="200"/>
        <w:rPr>
          <w:rFonts w:ascii="Times New Roman" w:hAnsi="Times New Roman" w:eastAsia="宋体" w:cs="FangSong_GB2312"/>
          <w:color w:val="auto"/>
          <w:szCs w:val="21"/>
        </w:rPr>
        <w:sectPr>
          <w:pgSz w:w="11906" w:h="16838"/>
          <w:pgMar w:top="1440" w:right="1800" w:bottom="1440" w:left="1800" w:header="737" w:footer="850" w:gutter="0"/>
          <w:cols w:space="720" w:num="1"/>
          <w:docGrid w:type="lines" w:linePitch="312" w:charSpace="0"/>
        </w:sectPr>
      </w:pPr>
      <w:bookmarkStart w:id="879" w:name="_Toc22874"/>
      <w:bookmarkStart w:id="880" w:name="_Toc26060"/>
      <w:bookmarkStart w:id="881" w:name="_Toc19794"/>
      <w:bookmarkStart w:id="882" w:name="_Toc118023013"/>
      <w:bookmarkStart w:id="883" w:name="_Toc17951"/>
      <w:bookmarkStart w:id="884" w:name="_Toc123730277"/>
      <w:bookmarkStart w:id="885" w:name="_Toc3564"/>
      <w:bookmarkStart w:id="886" w:name="_Toc19976"/>
      <w:bookmarkStart w:id="887" w:name="_Toc15294"/>
      <w:bookmarkStart w:id="888" w:name="_Toc17042"/>
      <w:bookmarkStart w:id="889" w:name="_Toc25384"/>
      <w:bookmarkStart w:id="890" w:name="_Toc7837"/>
      <w:bookmarkStart w:id="891" w:name="_Toc15498"/>
      <w:bookmarkStart w:id="892" w:name="_Toc21136"/>
      <w:bookmarkStart w:id="893" w:name="_Toc8363"/>
      <w:r>
        <w:rPr>
          <w:rFonts w:hint="eastAsia" w:ascii="Times New Roman" w:hAnsi="Times New Roman" w:eastAsia="宋体" w:cs="FangSong_GB2312"/>
          <w:color w:val="auto"/>
          <w:szCs w:val="21"/>
        </w:rPr>
        <w:t>承诺时间：</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年</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月</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日</w:t>
      </w:r>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14:paraId="737A09A0"/>
    <w:p w14:paraId="2BD03464">
      <w:pPr>
        <w:widowControl w:val="0"/>
        <w:jc w:val="center"/>
        <w:outlineLvl w:val="1"/>
        <w:rPr>
          <w:rFonts w:ascii="Times New Roman" w:hAnsi="Times New Roman" w:eastAsia="宋体" w:cs="宋体"/>
          <w:b/>
          <w:color w:val="auto"/>
          <w:sz w:val="28"/>
        </w:rPr>
      </w:pPr>
      <w:bookmarkStart w:id="894" w:name="_Toc8924"/>
      <w:bookmarkStart w:id="895" w:name="_Toc4699"/>
      <w:bookmarkStart w:id="896" w:name="_Toc6792"/>
      <w:bookmarkStart w:id="897" w:name="_Toc15716"/>
      <w:bookmarkStart w:id="898" w:name="_Toc6997"/>
      <w:bookmarkStart w:id="899" w:name="_Toc15613"/>
      <w:r>
        <w:rPr>
          <w:rFonts w:hint="eastAsia" w:ascii="Times New Roman" w:hAnsi="Times New Roman" w:eastAsia="宋体" w:cs="宋体"/>
          <w:b/>
          <w:color w:val="auto"/>
          <w:sz w:val="28"/>
        </w:rPr>
        <w:t>（二）其它</w:t>
      </w:r>
      <w:bookmarkEnd w:id="869"/>
      <w:bookmarkEnd w:id="870"/>
      <w:bookmarkEnd w:id="894"/>
      <w:bookmarkEnd w:id="895"/>
      <w:bookmarkEnd w:id="896"/>
      <w:bookmarkEnd w:id="897"/>
      <w:bookmarkEnd w:id="898"/>
      <w:bookmarkEnd w:id="899"/>
    </w:p>
    <w:p w14:paraId="6D769E24">
      <w:pPr>
        <w:widowControl w:val="0"/>
        <w:spacing w:line="600" w:lineRule="exact"/>
        <w:rPr>
          <w:rFonts w:ascii="Times New Roman" w:hAnsi="Times New Roman" w:eastAsia="宋体" w:cs="宋体"/>
          <w:color w:val="auto"/>
        </w:rPr>
      </w:pPr>
    </w:p>
    <w:p w14:paraId="7A9DC5A8"/>
    <w:sectPr>
      <w:footerReference r:id="rId10" w:type="first"/>
      <w:footerReference r:id="rId8" w:type="default"/>
      <w:footerReference r:id="rId9" w:type="even"/>
      <w:pgSz w:w="11906" w:h="16838"/>
      <w:pgMar w:top="1701" w:right="1418" w:bottom="1701" w:left="1418" w:header="737" w:footer="85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53A35">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EEFB3">
    <w:pPr>
      <w:pStyle w:val="9"/>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A0AAC3">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55A0AAC3">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2FD31">
    <w:pPr>
      <w:pStyle w:val="9"/>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5ABF7F">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122</w:t>
                          </w:r>
                          <w:r>
                            <w:rPr>
                              <w:rFonts w:ascii="Times New Roman" w:hAnsi="Times New Roman" w:cs="Times New Roma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6A5ABF7F">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122</w:t>
                    </w:r>
                    <w:r>
                      <w:rPr>
                        <w:rFonts w:ascii="Times New Roman" w:hAnsi="Times New Roman" w:cs="Times New Roma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CE135">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53589CEC">
    <w:pPr>
      <w:spacing w:after="0"/>
      <w:ind w:left="360"/>
    </w:pPr>
    <w:r>
      <w:rPr>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34313">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484112BC">
    <w:pPr>
      <w:spacing w:after="0"/>
      <w:ind w:left="360"/>
    </w:pPr>
    <w:r>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CFF61">
    <w:pPr>
      <w:pStyle w:val="10"/>
      <w:pBdr>
        <w:bottom w:val="double" w:color="auto" w:sz="8" w:space="1"/>
      </w:pBdr>
    </w:pPr>
    <w:r>
      <w:rPr>
        <w:rFonts w:hint="eastAsia"/>
        <w:sz w:val="24"/>
        <w:szCs w:val="24"/>
      </w:rPr>
      <w:t>辽宁省水利工程标准</w:t>
    </w:r>
    <w:r>
      <w:rPr>
        <w:rFonts w:hint="eastAsia" w:eastAsia="宋体"/>
        <w:sz w:val="24"/>
        <w:szCs w:val="24"/>
      </w:rPr>
      <w:t>设备采购</w:t>
    </w:r>
    <w:r>
      <w:rPr>
        <w:rFonts w:hint="eastAsia"/>
        <w:sz w:val="24"/>
        <w:szCs w:val="24"/>
      </w:rPr>
      <w:t>招标文件（电子招标）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6C3D8"/>
    <w:multiLevelType w:val="singleLevel"/>
    <w:tmpl w:val="E0A6C3D8"/>
    <w:lvl w:ilvl="0" w:tentative="0">
      <w:start w:val="2"/>
      <w:numFmt w:val="decimal"/>
      <w:suff w:val="nothing"/>
      <w:lvlText w:val="（%1）"/>
      <w:lvlJc w:val="left"/>
    </w:lvl>
  </w:abstractNum>
  <w:abstractNum w:abstractNumId="1">
    <w:nsid w:val="13F84AD7"/>
    <w:multiLevelType w:val="multilevel"/>
    <w:tmpl w:val="13F84AD7"/>
    <w:lvl w:ilvl="0" w:tentative="0">
      <w:start w:val="1"/>
      <w:numFmt w:val="decimal"/>
      <w:lvlText w:val="（%1）"/>
      <w:lvlJc w:val="left"/>
      <w:pPr>
        <w:ind w:left="886"/>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44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16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88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0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2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04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76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48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2">
    <w:nsid w:val="1C860523"/>
    <w:multiLevelType w:val="multilevel"/>
    <w:tmpl w:val="1C860523"/>
    <w:lvl w:ilvl="0" w:tentative="0">
      <w:start w:val="1"/>
      <w:numFmt w:val="decimal"/>
      <w:lvlText w:val="（%1）"/>
      <w:lvlJc w:val="left"/>
      <w:pPr>
        <w:ind w:left="1051"/>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3">
    <w:nsid w:val="24AA86F7"/>
    <w:multiLevelType w:val="singleLevel"/>
    <w:tmpl w:val="24AA86F7"/>
    <w:lvl w:ilvl="0" w:tentative="0">
      <w:start w:val="1"/>
      <w:numFmt w:val="decimal"/>
      <w:suff w:val="nothing"/>
      <w:lvlText w:val="（%1）"/>
      <w:lvlJc w:val="left"/>
    </w:lvl>
  </w:abstractNum>
  <w:abstractNum w:abstractNumId="4">
    <w:nsid w:val="5A6F232D"/>
    <w:multiLevelType w:val="multilevel"/>
    <w:tmpl w:val="5A6F232D"/>
    <w:lvl w:ilvl="0" w:tentative="0">
      <w:start w:val="1"/>
      <w:numFmt w:val="decimal"/>
      <w:lvlText w:val="（%1）"/>
      <w:lvlJc w:val="left"/>
      <w:pPr>
        <w:ind w:left="946"/>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5">
    <w:nsid w:val="702618CD"/>
    <w:multiLevelType w:val="singleLevel"/>
    <w:tmpl w:val="702618CD"/>
    <w:lvl w:ilvl="0" w:tentative="0">
      <w:start w:val="10"/>
      <w:numFmt w:val="decimal"/>
      <w:lvlText w:val="%1."/>
      <w:lvlJc w:val="left"/>
      <w:pPr>
        <w:tabs>
          <w:tab w:val="left" w:pos="312"/>
        </w:tabs>
      </w:p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172A27"/>
    <w:rsid w:val="000F3084"/>
    <w:rsid w:val="00172A27"/>
    <w:rsid w:val="001B0279"/>
    <w:rsid w:val="00231C49"/>
    <w:rsid w:val="00345D20"/>
    <w:rsid w:val="004A117E"/>
    <w:rsid w:val="00555470"/>
    <w:rsid w:val="00651A64"/>
    <w:rsid w:val="0067081E"/>
    <w:rsid w:val="007A700A"/>
    <w:rsid w:val="009A72F9"/>
    <w:rsid w:val="009C2090"/>
    <w:rsid w:val="00A92EC3"/>
    <w:rsid w:val="00B956B6"/>
    <w:rsid w:val="00D30EF2"/>
    <w:rsid w:val="00E139F7"/>
    <w:rsid w:val="00E1675C"/>
    <w:rsid w:val="00E25107"/>
    <w:rsid w:val="00E333FA"/>
    <w:rsid w:val="00E50A8D"/>
    <w:rsid w:val="00E54CAE"/>
    <w:rsid w:val="00F121A3"/>
    <w:rsid w:val="01615BA8"/>
    <w:rsid w:val="019B1886"/>
    <w:rsid w:val="02757087"/>
    <w:rsid w:val="03B55BCE"/>
    <w:rsid w:val="04166B3C"/>
    <w:rsid w:val="04ED2492"/>
    <w:rsid w:val="063B02C3"/>
    <w:rsid w:val="0681752A"/>
    <w:rsid w:val="090A2665"/>
    <w:rsid w:val="0B6B14FF"/>
    <w:rsid w:val="0D6C74FD"/>
    <w:rsid w:val="0E6273ED"/>
    <w:rsid w:val="102B4E43"/>
    <w:rsid w:val="14481226"/>
    <w:rsid w:val="1487513A"/>
    <w:rsid w:val="18437AC7"/>
    <w:rsid w:val="1966000D"/>
    <w:rsid w:val="1B0B572D"/>
    <w:rsid w:val="1D952165"/>
    <w:rsid w:val="1E474734"/>
    <w:rsid w:val="2124748E"/>
    <w:rsid w:val="23DB6CBA"/>
    <w:rsid w:val="241864F2"/>
    <w:rsid w:val="244F1171"/>
    <w:rsid w:val="274B5A7B"/>
    <w:rsid w:val="278A38B7"/>
    <w:rsid w:val="28EB3533"/>
    <w:rsid w:val="29156672"/>
    <w:rsid w:val="29E40EA4"/>
    <w:rsid w:val="2C31056E"/>
    <w:rsid w:val="2D25798F"/>
    <w:rsid w:val="2DB00C1C"/>
    <w:rsid w:val="3931104B"/>
    <w:rsid w:val="3A8532BF"/>
    <w:rsid w:val="3AE3337B"/>
    <w:rsid w:val="3C5B2F97"/>
    <w:rsid w:val="3ED43706"/>
    <w:rsid w:val="3FF613FE"/>
    <w:rsid w:val="40737350"/>
    <w:rsid w:val="40FB22E9"/>
    <w:rsid w:val="439308BC"/>
    <w:rsid w:val="441E23B2"/>
    <w:rsid w:val="4558360C"/>
    <w:rsid w:val="46792E63"/>
    <w:rsid w:val="46C67DD9"/>
    <w:rsid w:val="46FE6F95"/>
    <w:rsid w:val="48DC6D8C"/>
    <w:rsid w:val="495D66D7"/>
    <w:rsid w:val="4ECD5392"/>
    <w:rsid w:val="4F9E48DD"/>
    <w:rsid w:val="508144F0"/>
    <w:rsid w:val="50A05B3E"/>
    <w:rsid w:val="550C29F8"/>
    <w:rsid w:val="56224665"/>
    <w:rsid w:val="566526DD"/>
    <w:rsid w:val="597337BB"/>
    <w:rsid w:val="59D730FA"/>
    <w:rsid w:val="5A875679"/>
    <w:rsid w:val="5FEE30C3"/>
    <w:rsid w:val="603E5A35"/>
    <w:rsid w:val="614D7670"/>
    <w:rsid w:val="617D5661"/>
    <w:rsid w:val="635B79C1"/>
    <w:rsid w:val="640F0557"/>
    <w:rsid w:val="646D7A69"/>
    <w:rsid w:val="67015061"/>
    <w:rsid w:val="67144738"/>
    <w:rsid w:val="67612AE3"/>
    <w:rsid w:val="6CF512C4"/>
    <w:rsid w:val="7184103A"/>
    <w:rsid w:val="73EF4563"/>
    <w:rsid w:val="76162730"/>
    <w:rsid w:val="772235D6"/>
    <w:rsid w:val="7730111A"/>
    <w:rsid w:val="7855353D"/>
    <w:rsid w:val="7CB24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1"/>
    <w:next w:val="1"/>
    <w:qFormat/>
    <w:uiPriority w:val="0"/>
    <w:pPr>
      <w:keepNext/>
      <w:keepLines/>
      <w:spacing w:after="550" w:line="265" w:lineRule="auto"/>
      <w:ind w:left="10" w:right="56" w:hanging="10"/>
      <w:jc w:val="center"/>
      <w:outlineLvl w:val="0"/>
    </w:pPr>
    <w:rPr>
      <w:rFonts w:ascii="黑体" w:hAnsi="黑体" w:eastAsia="黑体" w:cs="黑体"/>
      <w:color w:val="000000"/>
      <w:kern w:val="2"/>
      <w:sz w:val="32"/>
      <w:szCs w:val="22"/>
      <w:lang w:val="en-US" w:eastAsia="zh-CN" w:bidi="ar-SA"/>
    </w:rPr>
  </w:style>
  <w:style w:type="paragraph" w:styleId="3">
    <w:name w:val="heading 2"/>
    <w:next w:val="1"/>
    <w:link w:val="25"/>
    <w:qFormat/>
    <w:uiPriority w:val="9"/>
    <w:pPr>
      <w:keepNext/>
      <w:keepLines/>
      <w:spacing w:line="264" w:lineRule="auto"/>
      <w:ind w:left="11" w:right="57" w:hanging="11"/>
      <w:outlineLvl w:val="1"/>
    </w:pPr>
    <w:rPr>
      <w:rFonts w:ascii="黑体" w:hAnsi="黑体" w:eastAsia="宋体" w:cs="黑体"/>
      <w:b/>
      <w:color w:val="000000"/>
      <w:kern w:val="2"/>
      <w:sz w:val="28"/>
      <w:szCs w:val="22"/>
      <w:lang w:val="en-US" w:eastAsia="zh-CN" w:bidi="ar-SA"/>
    </w:rPr>
  </w:style>
  <w:style w:type="paragraph" w:styleId="4">
    <w:name w:val="heading 3"/>
    <w:next w:val="1"/>
    <w:qFormat/>
    <w:uiPriority w:val="9"/>
    <w:pPr>
      <w:keepNext/>
      <w:keepLines/>
      <w:spacing w:after="281" w:line="265" w:lineRule="auto"/>
      <w:ind w:left="10" w:right="53" w:hanging="10"/>
      <w:outlineLvl w:val="2"/>
    </w:pPr>
    <w:rPr>
      <w:rFonts w:ascii="黑体" w:hAnsi="黑体" w:eastAsia="黑体" w:cs="黑体"/>
      <w:color w:val="000000"/>
      <w:kern w:val="2"/>
      <w:sz w:val="28"/>
      <w:szCs w:val="2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widowControl w:val="0"/>
      <w:spacing w:after="0" w:line="240" w:lineRule="auto"/>
      <w:ind w:firstLine="420" w:firstLineChars="200"/>
      <w:jc w:val="both"/>
    </w:pPr>
    <w:rPr>
      <w:rFonts w:ascii="Times New Roman" w:hAnsi="Times New Roman" w:eastAsia="宋体" w:cs="Times New Roman"/>
      <w:color w:val="auto"/>
      <w:sz w:val="21"/>
      <w:szCs w:val="24"/>
    </w:rPr>
  </w:style>
  <w:style w:type="paragraph" w:styleId="6">
    <w:name w:val="annotation text"/>
    <w:basedOn w:val="1"/>
    <w:qFormat/>
    <w:uiPriority w:val="0"/>
    <w:pPr>
      <w:widowControl w:val="0"/>
      <w:spacing w:after="0" w:line="240" w:lineRule="auto"/>
    </w:pPr>
    <w:rPr>
      <w:rFonts w:ascii="Times New Roman" w:hAnsi="Times New Roman" w:eastAsia="宋体" w:cs="Times New Roman"/>
      <w:color w:val="auto"/>
      <w:sz w:val="21"/>
      <w:szCs w:val="24"/>
    </w:rPr>
  </w:style>
  <w:style w:type="paragraph" w:styleId="7">
    <w:name w:val="Body Text Indent"/>
    <w:basedOn w:val="1"/>
    <w:qFormat/>
    <w:uiPriority w:val="0"/>
    <w:pPr>
      <w:widowControl w:val="0"/>
      <w:spacing w:after="120" w:line="240" w:lineRule="auto"/>
      <w:ind w:left="420" w:leftChars="200"/>
      <w:jc w:val="both"/>
    </w:pPr>
    <w:rPr>
      <w:rFonts w:ascii="Times New Roman" w:hAnsi="Times New Roman" w:eastAsia="宋体" w:cs="Times New Roman"/>
      <w:color w:val="auto"/>
      <w:sz w:val="21"/>
      <w:szCs w:val="24"/>
    </w:rPr>
  </w:style>
  <w:style w:type="paragraph" w:styleId="8">
    <w:name w:val="Plain Text"/>
    <w:basedOn w:val="1"/>
    <w:qFormat/>
    <w:uiPriority w:val="0"/>
    <w:pPr>
      <w:widowControl w:val="0"/>
      <w:spacing w:after="0" w:line="240" w:lineRule="auto"/>
      <w:jc w:val="both"/>
    </w:pPr>
    <w:rPr>
      <w:rFonts w:ascii="宋体" w:hAnsi="Courier New" w:eastAsia="宋体" w:cs="Courier New"/>
      <w:color w:val="auto"/>
      <w:sz w:val="21"/>
      <w:szCs w:val="21"/>
    </w:rPr>
  </w:style>
  <w:style w:type="paragraph" w:styleId="9">
    <w:name w:val="footer"/>
    <w:basedOn w:val="1"/>
    <w:unhideWhenUsed/>
    <w:qFormat/>
    <w:uiPriority w:val="0"/>
    <w:pPr>
      <w:tabs>
        <w:tab w:val="center" w:pos="4153"/>
        <w:tab w:val="right" w:pos="8306"/>
      </w:tabs>
      <w:snapToGrid w:val="0"/>
      <w:spacing w:line="240" w:lineRule="auto"/>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1"/>
    <w:qFormat/>
    <w:uiPriority w:val="39"/>
    <w:pPr>
      <w:spacing w:after="6" w:line="257" w:lineRule="auto"/>
      <w:ind w:left="25" w:right="61" w:hanging="10"/>
      <w:jc w:val="both"/>
    </w:pPr>
    <w:rPr>
      <w:rFonts w:ascii="Calibri" w:hAnsi="Calibri" w:eastAsia="Calibri" w:cs="Calibri"/>
      <w:color w:val="000000"/>
      <w:kern w:val="2"/>
      <w:sz w:val="21"/>
      <w:szCs w:val="22"/>
      <w:lang w:val="en-US" w:eastAsia="zh-CN" w:bidi="ar-SA"/>
    </w:rPr>
  </w:style>
  <w:style w:type="paragraph" w:styleId="12">
    <w:name w:val="List"/>
    <w:basedOn w:val="1"/>
    <w:qFormat/>
    <w:uiPriority w:val="0"/>
    <w:pPr>
      <w:widowControl w:val="0"/>
      <w:spacing w:after="0" w:line="240" w:lineRule="auto"/>
      <w:ind w:left="200" w:hanging="200" w:hangingChars="200"/>
      <w:jc w:val="both"/>
    </w:pPr>
    <w:rPr>
      <w:rFonts w:ascii="Times New Roman" w:hAnsi="Times New Roman" w:eastAsia="宋体" w:cs="Times New Roman"/>
      <w:color w:val="auto"/>
      <w:sz w:val="21"/>
      <w:szCs w:val="24"/>
    </w:rPr>
  </w:style>
  <w:style w:type="paragraph" w:styleId="13">
    <w:name w:val="toc 2"/>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14">
    <w:name w:val="List 4"/>
    <w:basedOn w:val="1"/>
    <w:semiHidden/>
    <w:qFormat/>
    <w:uiPriority w:val="0"/>
    <w:pPr>
      <w:widowControl w:val="0"/>
      <w:spacing w:after="0" w:line="240" w:lineRule="auto"/>
      <w:ind w:left="100" w:leftChars="600" w:hanging="200" w:hangingChars="200"/>
      <w:jc w:val="both"/>
    </w:pPr>
    <w:rPr>
      <w:rFonts w:ascii="Times New Roman" w:hAnsi="Times New Roman" w:eastAsia="宋体" w:cs="Times New Roman"/>
      <w:color w:val="auto"/>
      <w:sz w:val="21"/>
      <w:szCs w:val="24"/>
    </w:rPr>
  </w:style>
  <w:style w:type="paragraph" w:styleId="15">
    <w:name w:val="Normal (Web)"/>
    <w:basedOn w:val="1"/>
    <w:qFormat/>
    <w:uiPriority w:val="0"/>
    <w:pPr>
      <w:widowControl w:val="0"/>
      <w:spacing w:after="0" w:line="240" w:lineRule="auto"/>
      <w:jc w:val="both"/>
    </w:pPr>
    <w:rPr>
      <w:rFonts w:ascii="Times New Roman" w:hAnsi="Times New Roman" w:eastAsia="宋体" w:cs="Times New Roman"/>
      <w:color w:val="auto"/>
      <w:sz w:val="24"/>
      <w:szCs w:val="24"/>
    </w:rPr>
  </w:style>
  <w:style w:type="paragraph" w:styleId="16">
    <w:name w:val="Body Text First Indent 2"/>
    <w:basedOn w:val="7"/>
    <w:qFormat/>
    <w:uiPriority w:val="0"/>
    <w:pPr>
      <w:ind w:firstLine="420" w:firstLineChars="200"/>
    </w:p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Char Char Char"/>
    <w:basedOn w:val="1"/>
    <w:qFormat/>
    <w:uiPriority w:val="0"/>
    <w:pPr>
      <w:spacing w:line="240" w:lineRule="exact"/>
    </w:pPr>
    <w:rPr>
      <w:rFonts w:ascii="Verdana" w:hAnsi="Verdana" w:eastAsia="宋体" w:cs="Times New Roman"/>
      <w:color w:val="auto"/>
      <w:kern w:val="0"/>
      <w:sz w:val="20"/>
      <w:szCs w:val="20"/>
      <w:lang w:eastAsia="en-US"/>
    </w:rPr>
  </w:style>
  <w:style w:type="paragraph" w:customStyle="1" w:styleId="21">
    <w:name w:val="CM91"/>
    <w:basedOn w:val="1"/>
    <w:next w:val="1"/>
    <w:qFormat/>
    <w:uiPriority w:val="0"/>
    <w:pPr>
      <w:widowControl w:val="0"/>
      <w:autoSpaceDE w:val="0"/>
      <w:autoSpaceDN w:val="0"/>
      <w:adjustRightInd w:val="0"/>
      <w:spacing w:line="240" w:lineRule="auto"/>
    </w:pPr>
    <w:rPr>
      <w:rFonts w:ascii="宋体" w:hAnsi="Times New Roman" w:eastAsia="宋体" w:cs="宋体"/>
      <w:color w:val="auto"/>
      <w:kern w:val="0"/>
      <w:sz w:val="24"/>
      <w:szCs w:val="24"/>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p0"/>
    <w:basedOn w:val="1"/>
    <w:qFormat/>
    <w:uiPriority w:val="0"/>
    <w:pPr>
      <w:spacing w:after="0" w:line="240" w:lineRule="auto"/>
      <w:jc w:val="both"/>
    </w:pPr>
    <w:rPr>
      <w:rFonts w:ascii="等线" w:hAnsi="等线" w:eastAsia="宋体" w:cs="Times New Roman"/>
      <w:color w:val="auto"/>
      <w:sz w:val="21"/>
      <w:szCs w:val="21"/>
    </w:rPr>
  </w:style>
  <w:style w:type="paragraph" w:customStyle="1" w:styleId="24">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25">
    <w:name w:val="見出し 2 (文字)"/>
    <w:link w:val="3"/>
    <w:qFormat/>
    <w:uiPriority w:val="0"/>
    <w:rPr>
      <w:rFonts w:ascii="黑体" w:hAnsi="黑体" w:eastAsia="宋体" w:cs="黑体"/>
      <w:b/>
      <w:color w:val="000000"/>
      <w:kern w:val="2"/>
      <w:sz w:val="28"/>
      <w:szCs w:val="22"/>
      <w:lang w:val="en-US" w:eastAsia="zh-CN" w:bidi="ar-SA"/>
    </w:rPr>
  </w:style>
  <w:style w:type="paragraph" w:customStyle="1" w:styleId="26">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CC613F-926F-4BFA-B049-8F5EBAE706CE}">
  <ds:schemaRefs/>
</ds:datastoreItem>
</file>

<file path=docProps/app.xml><?xml version="1.0" encoding="utf-8"?>
<Properties xmlns="http://schemas.openxmlformats.org/officeDocument/2006/extended-properties" xmlns:vt="http://schemas.openxmlformats.org/officeDocument/2006/docPropsVTypes">
  <Template>Normal</Template>
  <Pages>113</Pages>
  <Words>17208</Words>
  <Characters>19232</Characters>
  <Lines>419</Lines>
  <Paragraphs>118</Paragraphs>
  <TotalTime>0</TotalTime>
  <ScaleCrop>false</ScaleCrop>
  <LinksUpToDate>false</LinksUpToDate>
  <CharactersWithSpaces>20779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2024-05-21T04:29:00Z</dcterms:created>
  <dc:creator>王天甲</dc:creator>
  <cp:lastModifiedBy>好运的男人、</cp:lastModifiedBy>
  <dcterms:modified xsi:type="dcterms:W3CDTF">2025-09-13T06:04:15Z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87D612908EF64F549223A8BD14678E3E_13</vt:lpwstr>
  </property>
  <property fmtid="{D5CDD505-2E9C-101B-9397-08002B2CF9AE}" pid="4" name="KSOTemplateDocerSaveRecord">
    <vt:lpwstr>eyJoZGlkIjoiM2FiZDIzMjBhYjY3YjcwYmIxYWI1NjM4YzVmYjEyMDMiLCJ1c2VySWQiOiIxNjA4MzA0ODk4In0=</vt:lpwstr>
  </property>
</Properties>
</file>