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F799E4">
      <w:pPr>
        <w:spacing w:line="360" w:lineRule="auto"/>
        <w:ind w:left="720" w:hanging="720" w:hangingChars="200"/>
        <w:rPr>
          <w:rFonts w:ascii="宋体" w:hAnsi="宋体" w:cs="宋体"/>
          <w:b/>
          <w:bCs/>
          <w:sz w:val="84"/>
          <w:highlight w:val="none"/>
        </w:rPr>
      </w:pPr>
      <w:r>
        <w:rPr>
          <w:rFonts w:hint="eastAsia" w:ascii="宋体" w:hAnsi="宋体" w:cs="宋体"/>
          <w:sz w:val="36"/>
          <w:highlight w:val="none"/>
        </w:rPr>
        <w:t xml:space="preserve"> </w:t>
      </w:r>
    </w:p>
    <w:p w14:paraId="3BE3F701">
      <w:pPr>
        <w:pStyle w:val="9"/>
        <w:spacing w:line="360" w:lineRule="auto"/>
        <w:rPr>
          <w:rFonts w:ascii="宋体" w:hAnsi="宋体" w:eastAsia="宋体" w:cs="宋体"/>
          <w:highlight w:val="none"/>
        </w:rPr>
      </w:pPr>
      <w:r>
        <w:rPr>
          <w:rFonts w:hint="eastAsia" w:ascii="宋体" w:hAnsi="宋体" w:eastAsia="宋体" w:cs="宋体"/>
          <w:highlight w:val="none"/>
        </w:rPr>
        <w:t xml:space="preserve"> </w:t>
      </w:r>
    </w:p>
    <w:p w14:paraId="13B4F9F1">
      <w:pPr>
        <w:spacing w:line="360" w:lineRule="auto"/>
        <w:jc w:val="center"/>
        <w:rPr>
          <w:rFonts w:ascii="宋体" w:hAnsi="宋体" w:cs="宋体"/>
          <w:b/>
          <w:bCs/>
          <w:sz w:val="44"/>
          <w:highlight w:val="none"/>
        </w:rPr>
      </w:pPr>
    </w:p>
    <w:p w14:paraId="2DD1258E">
      <w:pPr>
        <w:spacing w:line="360" w:lineRule="auto"/>
        <w:jc w:val="center"/>
        <w:rPr>
          <w:rFonts w:ascii="宋体" w:hAnsi="宋体" w:cs="宋体"/>
          <w:b/>
          <w:bCs/>
          <w:sz w:val="44"/>
          <w:highlight w:val="none"/>
        </w:rPr>
      </w:pPr>
    </w:p>
    <w:p w14:paraId="1BB35577">
      <w:pPr>
        <w:spacing w:line="360" w:lineRule="auto"/>
        <w:jc w:val="center"/>
        <w:rPr>
          <w:rFonts w:ascii="宋体" w:hAnsi="宋体" w:cs="宋体"/>
          <w:b/>
          <w:bCs/>
          <w:sz w:val="84"/>
          <w:highlight w:val="none"/>
        </w:rPr>
      </w:pPr>
      <w:r>
        <w:rPr>
          <w:rFonts w:hint="eastAsia" w:ascii="宋体" w:hAnsi="宋体" w:cs="宋体"/>
          <w:b/>
          <w:bCs/>
          <w:sz w:val="84"/>
          <w:highlight w:val="none"/>
        </w:rPr>
        <w:t>招 标 文 件</w:t>
      </w:r>
    </w:p>
    <w:p w14:paraId="0DFBDCED">
      <w:pPr>
        <w:tabs>
          <w:tab w:val="left" w:pos="5408"/>
        </w:tabs>
        <w:spacing w:line="360" w:lineRule="auto"/>
        <w:jc w:val="left"/>
        <w:rPr>
          <w:rFonts w:ascii="宋体" w:hAnsi="宋体" w:cs="宋体"/>
          <w:b/>
          <w:bCs/>
          <w:sz w:val="84"/>
          <w:highlight w:val="none"/>
        </w:rPr>
      </w:pPr>
      <w:r>
        <w:rPr>
          <w:rFonts w:hint="eastAsia" w:ascii="宋体" w:hAnsi="宋体" w:cs="宋体"/>
          <w:b/>
          <w:bCs/>
          <w:sz w:val="84"/>
          <w:highlight w:val="none"/>
        </w:rPr>
        <w:tab/>
      </w:r>
    </w:p>
    <w:p w14:paraId="5369DED0">
      <w:pPr>
        <w:spacing w:line="360" w:lineRule="auto"/>
        <w:rPr>
          <w:rFonts w:hint="eastAsia" w:ascii="宋体" w:hAnsi="宋体" w:eastAsia="宋体" w:cs="宋体"/>
          <w:b/>
          <w:bCs/>
          <w:sz w:val="32"/>
          <w:szCs w:val="32"/>
          <w:highlight w:val="none"/>
          <w:lang w:val="en-US" w:eastAsia="zh-CN"/>
        </w:rPr>
      </w:pPr>
      <w:r>
        <w:rPr>
          <w:rFonts w:hint="eastAsia" w:ascii="宋体" w:hAnsi="宋体" w:cs="宋体"/>
          <w:b/>
          <w:bCs/>
          <w:sz w:val="32"/>
          <w:szCs w:val="32"/>
          <w:highlight w:val="none"/>
        </w:rPr>
        <w:t>招标编号：LNJY202500</w:t>
      </w:r>
      <w:r>
        <w:rPr>
          <w:rFonts w:hint="eastAsia" w:ascii="宋体" w:hAnsi="宋体" w:cs="宋体"/>
          <w:b/>
          <w:bCs/>
          <w:sz w:val="32"/>
          <w:szCs w:val="32"/>
          <w:highlight w:val="none"/>
          <w:lang w:val="en-US" w:eastAsia="zh-CN"/>
        </w:rPr>
        <w:t>3</w:t>
      </w:r>
    </w:p>
    <w:p w14:paraId="295EDF16">
      <w:pPr>
        <w:spacing w:line="360" w:lineRule="auto"/>
        <w:ind w:right="1016" w:rightChars="484"/>
        <w:rPr>
          <w:rFonts w:ascii="宋体" w:hAnsi="宋体" w:cs="宋体"/>
          <w:b/>
          <w:bCs/>
          <w:sz w:val="32"/>
          <w:szCs w:val="32"/>
          <w:highlight w:val="none"/>
        </w:rPr>
      </w:pPr>
    </w:p>
    <w:p w14:paraId="651B10E2">
      <w:pPr>
        <w:spacing w:line="360" w:lineRule="auto"/>
        <w:ind w:left="1417" w:right="42" w:rightChars="20" w:hanging="1417" w:hangingChars="441"/>
        <w:rPr>
          <w:rFonts w:ascii="宋体" w:hAnsi="宋体" w:cs="宋体"/>
          <w:b/>
          <w:kern w:val="0"/>
          <w:sz w:val="30"/>
          <w:szCs w:val="30"/>
          <w:highlight w:val="none"/>
        </w:rPr>
      </w:pPr>
      <w:r>
        <w:rPr>
          <w:rFonts w:hint="eastAsia" w:ascii="宋体" w:hAnsi="宋体" w:cs="宋体"/>
          <w:b/>
          <w:kern w:val="0"/>
          <w:sz w:val="32"/>
          <w:szCs w:val="32"/>
          <w:highlight w:val="none"/>
        </w:rPr>
        <w:t>项目名称：</w:t>
      </w:r>
      <w:r>
        <w:rPr>
          <w:rFonts w:hint="eastAsia" w:ascii="宋体" w:hAnsi="宋体" w:cs="宋体"/>
          <w:b/>
          <w:kern w:val="0"/>
          <w:sz w:val="30"/>
          <w:szCs w:val="30"/>
          <w:highlight w:val="none"/>
        </w:rPr>
        <w:t>辽宁省营口市海洋生态保护修复工程项目管护能力建设及浒苔处置监测预报服务</w:t>
      </w:r>
    </w:p>
    <w:p w14:paraId="4FE439C7">
      <w:pPr>
        <w:spacing w:line="360" w:lineRule="auto"/>
        <w:jc w:val="center"/>
        <w:rPr>
          <w:rFonts w:ascii="宋体" w:hAnsi="宋体" w:cs="宋体"/>
          <w:b/>
          <w:sz w:val="28"/>
          <w:szCs w:val="28"/>
          <w:highlight w:val="none"/>
        </w:rPr>
      </w:pPr>
    </w:p>
    <w:p w14:paraId="07C0BC3A">
      <w:pPr>
        <w:spacing w:line="360" w:lineRule="auto"/>
        <w:ind w:left="1417" w:right="42" w:rightChars="20" w:hanging="1417" w:hangingChars="441"/>
        <w:rPr>
          <w:rFonts w:ascii="宋体" w:hAnsi="宋体" w:cs="宋体"/>
          <w:b/>
          <w:kern w:val="0"/>
          <w:sz w:val="32"/>
          <w:szCs w:val="32"/>
          <w:highlight w:val="none"/>
        </w:rPr>
      </w:pPr>
      <w:r>
        <w:rPr>
          <w:rFonts w:hint="eastAsia" w:ascii="宋体" w:hAnsi="宋体" w:cs="宋体"/>
          <w:b/>
          <w:kern w:val="0"/>
          <w:sz w:val="32"/>
          <w:szCs w:val="32"/>
          <w:highlight w:val="none"/>
        </w:rPr>
        <w:t>招标人：营口市海洋与渔业局</w:t>
      </w:r>
    </w:p>
    <w:p w14:paraId="5A1374EA">
      <w:pPr>
        <w:spacing w:line="360" w:lineRule="auto"/>
        <w:ind w:left="1417" w:right="42" w:rightChars="20" w:hanging="1417" w:hangingChars="441"/>
        <w:rPr>
          <w:rFonts w:ascii="宋体" w:hAnsi="宋体" w:cs="宋体"/>
          <w:b/>
          <w:kern w:val="0"/>
          <w:sz w:val="32"/>
          <w:szCs w:val="32"/>
          <w:highlight w:val="none"/>
        </w:rPr>
      </w:pPr>
      <w:r>
        <w:rPr>
          <w:rFonts w:hint="eastAsia" w:ascii="宋体" w:hAnsi="宋体" w:cs="宋体"/>
          <w:b/>
          <w:kern w:val="0"/>
          <w:sz w:val="32"/>
          <w:szCs w:val="32"/>
          <w:highlight w:val="none"/>
        </w:rPr>
        <w:t>招标代理机构：辽宁金誉建设工程造价咨询有限责任公司</w:t>
      </w:r>
    </w:p>
    <w:p w14:paraId="386BB4EF">
      <w:pPr>
        <w:spacing w:line="360" w:lineRule="auto"/>
        <w:rPr>
          <w:rFonts w:ascii="宋体" w:hAnsi="宋体" w:cs="宋体"/>
          <w:szCs w:val="24"/>
          <w:highlight w:val="none"/>
        </w:rPr>
      </w:pPr>
    </w:p>
    <w:p w14:paraId="7085AE80">
      <w:pPr>
        <w:spacing w:line="360" w:lineRule="auto"/>
        <w:rPr>
          <w:rFonts w:ascii="宋体" w:hAnsi="宋体" w:cs="宋体"/>
          <w:szCs w:val="24"/>
          <w:highlight w:val="none"/>
        </w:rPr>
      </w:pPr>
    </w:p>
    <w:p w14:paraId="1F5C2A63">
      <w:pPr>
        <w:spacing w:line="360" w:lineRule="auto"/>
        <w:jc w:val="center"/>
        <w:rPr>
          <w:rFonts w:ascii="宋体" w:hAnsi="宋体" w:cs="宋体"/>
          <w:b/>
          <w:sz w:val="36"/>
          <w:szCs w:val="28"/>
          <w:highlight w:val="none"/>
        </w:rPr>
      </w:pPr>
      <w:r>
        <w:rPr>
          <w:rFonts w:hint="eastAsia" w:ascii="宋体" w:hAnsi="宋体" w:cs="宋体"/>
          <w:b/>
          <w:sz w:val="28"/>
          <w:szCs w:val="28"/>
          <w:highlight w:val="none"/>
        </w:rPr>
        <w:t>2025年5月</w:t>
      </w:r>
    </w:p>
    <w:p w14:paraId="295FF511">
      <w:pPr>
        <w:spacing w:line="360" w:lineRule="auto"/>
        <w:jc w:val="center"/>
        <w:rPr>
          <w:rFonts w:ascii="宋体" w:hAnsi="宋体" w:cs="宋体"/>
          <w:b/>
          <w:sz w:val="36"/>
          <w:szCs w:val="28"/>
          <w:highlight w:val="none"/>
        </w:rPr>
        <w:sectPr>
          <w:footerReference r:id="rId4" w:type="first"/>
          <w:headerReference r:id="rId3" w:type="default"/>
          <w:pgSz w:w="11906" w:h="16838"/>
          <w:pgMar w:top="1440" w:right="1800" w:bottom="1440" w:left="1800" w:header="851" w:footer="992" w:gutter="0"/>
          <w:cols w:space="425" w:num="1"/>
          <w:docGrid w:type="lines" w:linePitch="312" w:charSpace="0"/>
        </w:sectPr>
      </w:pPr>
    </w:p>
    <w:p w14:paraId="77437E79">
      <w:pPr>
        <w:autoSpaceDE w:val="0"/>
        <w:autoSpaceDN w:val="0"/>
        <w:adjustRightInd w:val="0"/>
        <w:spacing w:line="360" w:lineRule="auto"/>
        <w:jc w:val="center"/>
        <w:rPr>
          <w:rFonts w:ascii="宋体" w:hAnsi="宋体" w:cs="宋体"/>
          <w:b/>
          <w:sz w:val="32"/>
          <w:highlight w:val="none"/>
        </w:rPr>
      </w:pPr>
      <w:r>
        <w:rPr>
          <w:rFonts w:hint="eastAsia" w:ascii="宋体" w:hAnsi="宋体" w:cs="宋体"/>
          <w:b/>
          <w:sz w:val="32"/>
          <w:highlight w:val="none"/>
        </w:rPr>
        <w:t>目 录</w:t>
      </w:r>
    </w:p>
    <w:p w14:paraId="41E15AB2">
      <w:pPr>
        <w:spacing w:line="360" w:lineRule="auto"/>
        <w:rPr>
          <w:rFonts w:ascii="宋体" w:hAnsi="宋体" w:cs="宋体"/>
          <w:highlight w:val="none"/>
        </w:rPr>
      </w:pPr>
    </w:p>
    <w:p w14:paraId="2BF42EC6">
      <w:pPr>
        <w:pStyle w:val="21"/>
        <w:tabs>
          <w:tab w:val="right" w:leader="dot" w:pos="9355"/>
        </w:tabs>
        <w:rPr>
          <w:highlight w:val="none"/>
        </w:rPr>
      </w:pPr>
      <w:r>
        <w:rPr>
          <w:rFonts w:hint="eastAsia" w:ascii="宋体" w:hAnsi="宋体" w:cs="宋体"/>
          <w:sz w:val="28"/>
          <w:szCs w:val="28"/>
          <w:highlight w:val="none"/>
        </w:rPr>
        <w:fldChar w:fldCharType="begin"/>
      </w:r>
      <w:r>
        <w:rPr>
          <w:rStyle w:val="31"/>
          <w:rFonts w:hint="eastAsia" w:ascii="宋体" w:hAnsi="宋体" w:cs="宋体"/>
          <w:color w:val="auto"/>
          <w:sz w:val="28"/>
          <w:szCs w:val="28"/>
          <w:highlight w:val="none"/>
        </w:rPr>
        <w:instrText xml:space="preserve"> TOC \o "1-3" \h \z \u </w:instrText>
      </w:r>
      <w:r>
        <w:rPr>
          <w:rFonts w:hint="eastAsia" w:ascii="宋体" w:hAnsi="宋体" w:cs="宋体"/>
          <w:sz w:val="28"/>
          <w:szCs w:val="28"/>
          <w:highlight w:val="none"/>
        </w:rPr>
        <w:fldChar w:fldCharType="separate"/>
      </w:r>
      <w:r>
        <w:rPr>
          <w:highlight w:val="none"/>
        </w:rPr>
        <w:fldChar w:fldCharType="begin"/>
      </w:r>
      <w:r>
        <w:rPr>
          <w:highlight w:val="none"/>
        </w:rPr>
        <w:instrText xml:space="preserve"> HYPERLINK \l "_Toc17061" </w:instrText>
      </w:r>
      <w:r>
        <w:rPr>
          <w:highlight w:val="none"/>
        </w:rPr>
        <w:fldChar w:fldCharType="separate"/>
      </w:r>
      <w:r>
        <w:rPr>
          <w:rFonts w:ascii="宋体" w:hAnsi="宋体" w:cs="宋体"/>
          <w:w w:val="90"/>
          <w:highlight w:val="none"/>
        </w:rPr>
        <w:t xml:space="preserve">第一章 </w:t>
      </w:r>
      <w:r>
        <w:rPr>
          <w:rFonts w:hint="eastAsia" w:ascii="宋体" w:hAnsi="宋体" w:cs="宋体"/>
          <w:highlight w:val="none"/>
        </w:rPr>
        <w:t>招标公告</w:t>
      </w:r>
      <w:r>
        <w:rPr>
          <w:highlight w:val="none"/>
        </w:rPr>
        <w:tab/>
      </w:r>
      <w:r>
        <w:rPr>
          <w:highlight w:val="none"/>
        </w:rPr>
        <w:fldChar w:fldCharType="begin"/>
      </w:r>
      <w:r>
        <w:rPr>
          <w:highlight w:val="none"/>
        </w:rPr>
        <w:instrText xml:space="preserve"> PAGEREF _Toc17061 \h </w:instrText>
      </w:r>
      <w:r>
        <w:rPr>
          <w:highlight w:val="none"/>
        </w:rPr>
        <w:fldChar w:fldCharType="separate"/>
      </w:r>
      <w:r>
        <w:rPr>
          <w:highlight w:val="none"/>
        </w:rPr>
        <w:t>3</w:t>
      </w:r>
      <w:r>
        <w:rPr>
          <w:highlight w:val="none"/>
        </w:rPr>
        <w:fldChar w:fldCharType="end"/>
      </w:r>
      <w:r>
        <w:rPr>
          <w:highlight w:val="none"/>
        </w:rPr>
        <w:fldChar w:fldCharType="end"/>
      </w:r>
    </w:p>
    <w:p w14:paraId="6DF28876">
      <w:pPr>
        <w:pStyle w:val="21"/>
        <w:tabs>
          <w:tab w:val="right" w:leader="dot" w:pos="9355"/>
        </w:tabs>
        <w:rPr>
          <w:highlight w:val="none"/>
        </w:rPr>
      </w:pPr>
      <w:r>
        <w:rPr>
          <w:highlight w:val="none"/>
        </w:rPr>
        <w:fldChar w:fldCharType="begin"/>
      </w:r>
      <w:r>
        <w:rPr>
          <w:highlight w:val="none"/>
        </w:rPr>
        <w:instrText xml:space="preserve"> HYPERLINK \l "_Toc30573" </w:instrText>
      </w:r>
      <w:r>
        <w:rPr>
          <w:highlight w:val="none"/>
        </w:rPr>
        <w:fldChar w:fldCharType="separate"/>
      </w:r>
      <w:r>
        <w:rPr>
          <w:rFonts w:ascii="宋体" w:hAnsi="宋体" w:cs="宋体"/>
          <w:w w:val="90"/>
          <w:highlight w:val="none"/>
        </w:rPr>
        <w:t xml:space="preserve">第二章 </w:t>
      </w:r>
      <w:r>
        <w:rPr>
          <w:rFonts w:hint="eastAsia" w:ascii="宋体" w:hAnsi="宋体" w:cs="宋体"/>
          <w:szCs w:val="24"/>
          <w:highlight w:val="none"/>
        </w:rPr>
        <w:t>投标人须知</w:t>
      </w:r>
      <w:r>
        <w:rPr>
          <w:rFonts w:hint="eastAsia" w:ascii="宋体" w:hAnsi="宋体" w:cs="宋体"/>
          <w:w w:val="90"/>
          <w:highlight w:val="none"/>
        </w:rPr>
        <w:t>前附表</w:t>
      </w:r>
      <w:r>
        <w:rPr>
          <w:highlight w:val="none"/>
        </w:rPr>
        <w:tab/>
      </w:r>
      <w:r>
        <w:rPr>
          <w:highlight w:val="none"/>
        </w:rPr>
        <w:fldChar w:fldCharType="begin"/>
      </w:r>
      <w:r>
        <w:rPr>
          <w:highlight w:val="none"/>
        </w:rPr>
        <w:instrText xml:space="preserve"> PAGEREF _Toc30573 \h </w:instrText>
      </w:r>
      <w:r>
        <w:rPr>
          <w:highlight w:val="none"/>
        </w:rPr>
        <w:fldChar w:fldCharType="separate"/>
      </w:r>
      <w:r>
        <w:rPr>
          <w:highlight w:val="none"/>
        </w:rPr>
        <w:t>7</w:t>
      </w:r>
      <w:r>
        <w:rPr>
          <w:highlight w:val="none"/>
        </w:rPr>
        <w:fldChar w:fldCharType="end"/>
      </w:r>
      <w:r>
        <w:rPr>
          <w:highlight w:val="none"/>
        </w:rPr>
        <w:fldChar w:fldCharType="end"/>
      </w:r>
    </w:p>
    <w:p w14:paraId="7BADB6E6">
      <w:pPr>
        <w:pStyle w:val="21"/>
        <w:tabs>
          <w:tab w:val="right" w:leader="dot" w:pos="9355"/>
        </w:tabs>
        <w:rPr>
          <w:highlight w:val="none"/>
        </w:rPr>
      </w:pPr>
      <w:r>
        <w:rPr>
          <w:highlight w:val="none"/>
        </w:rPr>
        <w:fldChar w:fldCharType="begin"/>
      </w:r>
      <w:r>
        <w:rPr>
          <w:highlight w:val="none"/>
        </w:rPr>
        <w:instrText xml:space="preserve"> HYPERLINK \l "_Toc8477" </w:instrText>
      </w:r>
      <w:r>
        <w:rPr>
          <w:highlight w:val="none"/>
        </w:rPr>
        <w:fldChar w:fldCharType="separate"/>
      </w:r>
      <w:r>
        <w:rPr>
          <w:rFonts w:ascii="宋体" w:hAnsi="宋体" w:cs="宋体"/>
          <w:w w:val="90"/>
          <w:highlight w:val="none"/>
        </w:rPr>
        <w:t xml:space="preserve">第三章 </w:t>
      </w:r>
      <w:r>
        <w:rPr>
          <w:rFonts w:hint="eastAsia" w:ascii="宋体" w:hAnsi="宋体" w:cs="宋体"/>
          <w:szCs w:val="24"/>
          <w:highlight w:val="none"/>
        </w:rPr>
        <w:t>投标人须知</w:t>
      </w:r>
      <w:r>
        <w:rPr>
          <w:highlight w:val="none"/>
        </w:rPr>
        <w:tab/>
      </w:r>
      <w:r>
        <w:rPr>
          <w:highlight w:val="none"/>
        </w:rPr>
        <w:fldChar w:fldCharType="begin"/>
      </w:r>
      <w:r>
        <w:rPr>
          <w:highlight w:val="none"/>
        </w:rPr>
        <w:instrText xml:space="preserve"> PAGEREF _Toc8477 \h </w:instrText>
      </w:r>
      <w:r>
        <w:rPr>
          <w:highlight w:val="none"/>
        </w:rPr>
        <w:fldChar w:fldCharType="separate"/>
      </w:r>
      <w:r>
        <w:rPr>
          <w:highlight w:val="none"/>
        </w:rPr>
        <w:t>13</w:t>
      </w:r>
      <w:r>
        <w:rPr>
          <w:highlight w:val="none"/>
        </w:rPr>
        <w:fldChar w:fldCharType="end"/>
      </w:r>
      <w:r>
        <w:rPr>
          <w:highlight w:val="none"/>
        </w:rPr>
        <w:fldChar w:fldCharType="end"/>
      </w:r>
    </w:p>
    <w:p w14:paraId="31E75C29">
      <w:pPr>
        <w:pStyle w:val="21"/>
        <w:tabs>
          <w:tab w:val="right" w:leader="dot" w:pos="9355"/>
        </w:tabs>
        <w:rPr>
          <w:highlight w:val="none"/>
        </w:rPr>
      </w:pPr>
      <w:r>
        <w:rPr>
          <w:highlight w:val="none"/>
        </w:rPr>
        <w:fldChar w:fldCharType="begin"/>
      </w:r>
      <w:r>
        <w:rPr>
          <w:highlight w:val="none"/>
        </w:rPr>
        <w:instrText xml:space="preserve"> HYPERLINK \l "_Toc23648" </w:instrText>
      </w:r>
      <w:r>
        <w:rPr>
          <w:highlight w:val="none"/>
        </w:rPr>
        <w:fldChar w:fldCharType="separate"/>
      </w:r>
      <w:r>
        <w:rPr>
          <w:rFonts w:ascii="宋体" w:hAnsi="宋体" w:cs="宋体"/>
          <w:w w:val="90"/>
          <w:highlight w:val="none"/>
        </w:rPr>
        <w:t xml:space="preserve">第四章 </w:t>
      </w:r>
      <w:r>
        <w:rPr>
          <w:rFonts w:hint="eastAsia" w:ascii="宋体" w:hAnsi="宋体" w:cs="宋体"/>
          <w:w w:val="90"/>
          <w:highlight w:val="none"/>
        </w:rPr>
        <w:t>合同主要条款</w:t>
      </w:r>
      <w:r>
        <w:rPr>
          <w:highlight w:val="none"/>
        </w:rPr>
        <w:tab/>
      </w:r>
      <w:r>
        <w:rPr>
          <w:highlight w:val="none"/>
        </w:rPr>
        <w:fldChar w:fldCharType="begin"/>
      </w:r>
      <w:r>
        <w:rPr>
          <w:highlight w:val="none"/>
        </w:rPr>
        <w:instrText xml:space="preserve"> PAGEREF _Toc23648 \h </w:instrText>
      </w:r>
      <w:r>
        <w:rPr>
          <w:highlight w:val="none"/>
        </w:rPr>
        <w:fldChar w:fldCharType="separate"/>
      </w:r>
      <w:r>
        <w:rPr>
          <w:highlight w:val="none"/>
        </w:rPr>
        <w:t>24</w:t>
      </w:r>
      <w:r>
        <w:rPr>
          <w:highlight w:val="none"/>
        </w:rPr>
        <w:fldChar w:fldCharType="end"/>
      </w:r>
      <w:r>
        <w:rPr>
          <w:highlight w:val="none"/>
        </w:rPr>
        <w:fldChar w:fldCharType="end"/>
      </w:r>
    </w:p>
    <w:p w14:paraId="25CE2B05">
      <w:pPr>
        <w:pStyle w:val="21"/>
        <w:tabs>
          <w:tab w:val="right" w:leader="dot" w:pos="9355"/>
        </w:tabs>
        <w:rPr>
          <w:highlight w:val="none"/>
        </w:rPr>
      </w:pPr>
      <w:r>
        <w:rPr>
          <w:highlight w:val="none"/>
        </w:rPr>
        <w:fldChar w:fldCharType="begin"/>
      </w:r>
      <w:r>
        <w:rPr>
          <w:highlight w:val="none"/>
        </w:rPr>
        <w:instrText xml:space="preserve"> HYPERLINK \l "_Toc24030" </w:instrText>
      </w:r>
      <w:r>
        <w:rPr>
          <w:highlight w:val="none"/>
        </w:rPr>
        <w:fldChar w:fldCharType="separate"/>
      </w:r>
      <w:r>
        <w:rPr>
          <w:rFonts w:ascii="宋体" w:hAnsi="宋体" w:cs="宋体"/>
          <w:w w:val="90"/>
          <w:highlight w:val="none"/>
        </w:rPr>
        <w:t xml:space="preserve">第五章 </w:t>
      </w:r>
      <w:r>
        <w:rPr>
          <w:rFonts w:hint="eastAsia" w:ascii="宋体" w:hAnsi="宋体" w:cs="宋体"/>
          <w:w w:val="90"/>
          <w:highlight w:val="none"/>
        </w:rPr>
        <w:t>项目情况及服务需求</w:t>
      </w:r>
      <w:r>
        <w:rPr>
          <w:highlight w:val="none"/>
        </w:rPr>
        <w:tab/>
      </w:r>
      <w:r>
        <w:rPr>
          <w:highlight w:val="none"/>
        </w:rPr>
        <w:fldChar w:fldCharType="begin"/>
      </w:r>
      <w:r>
        <w:rPr>
          <w:highlight w:val="none"/>
        </w:rPr>
        <w:instrText xml:space="preserve"> PAGEREF _Toc24030 \h </w:instrText>
      </w:r>
      <w:r>
        <w:rPr>
          <w:highlight w:val="none"/>
        </w:rPr>
        <w:fldChar w:fldCharType="separate"/>
      </w:r>
      <w:r>
        <w:rPr>
          <w:highlight w:val="none"/>
        </w:rPr>
        <w:t>29</w:t>
      </w:r>
      <w:r>
        <w:rPr>
          <w:highlight w:val="none"/>
        </w:rPr>
        <w:fldChar w:fldCharType="end"/>
      </w:r>
      <w:r>
        <w:rPr>
          <w:highlight w:val="none"/>
        </w:rPr>
        <w:fldChar w:fldCharType="end"/>
      </w:r>
    </w:p>
    <w:p w14:paraId="072D8027">
      <w:pPr>
        <w:pStyle w:val="23"/>
        <w:tabs>
          <w:tab w:val="right" w:leader="dot" w:pos="9355"/>
        </w:tabs>
        <w:rPr>
          <w:highlight w:val="none"/>
        </w:rPr>
      </w:pPr>
      <w:r>
        <w:rPr>
          <w:highlight w:val="none"/>
        </w:rPr>
        <w:fldChar w:fldCharType="begin"/>
      </w:r>
      <w:r>
        <w:rPr>
          <w:highlight w:val="none"/>
        </w:rPr>
        <w:instrText xml:space="preserve"> HYPERLINK \l "_Toc27306" </w:instrText>
      </w:r>
      <w:r>
        <w:rPr>
          <w:highlight w:val="none"/>
        </w:rPr>
        <w:fldChar w:fldCharType="separate"/>
      </w:r>
      <w:r>
        <w:rPr>
          <w:rFonts w:hint="eastAsia" w:ascii="宋体" w:hAnsi="宋体" w:cs="宋体"/>
          <w:w w:val="90"/>
          <w:kern w:val="2"/>
          <w:sz w:val="21"/>
          <w:highlight w:val="none"/>
        </w:rPr>
        <w:t>Ⅰ、修复项目管护能力建设</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_Toc27306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32</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5E60A6E5">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"_Toc2317" </w:instrText>
      </w:r>
      <w:r>
        <w:rPr>
          <w:highlight w:val="none"/>
        </w:rPr>
        <w:fldChar w:fldCharType="separate"/>
      </w:r>
      <w:r>
        <w:rPr>
          <w:rFonts w:hint="eastAsia" w:ascii="宋体" w:hAnsi="宋体" w:cs="宋体"/>
          <w:w w:val="90"/>
          <w:kern w:val="2"/>
          <w:sz w:val="21"/>
          <w:highlight w:val="none"/>
        </w:rPr>
        <w:t>1.大辽河口长效能力建设</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_Toc2317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32</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0059300D">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"_Toc11904" </w:instrText>
      </w:r>
      <w:r>
        <w:rPr>
          <w:highlight w:val="none"/>
        </w:rPr>
        <w:fldChar w:fldCharType="separate"/>
      </w:r>
      <w:r>
        <w:rPr>
          <w:rFonts w:hint="eastAsia" w:ascii="宋体" w:hAnsi="宋体" w:cs="宋体"/>
          <w:w w:val="90"/>
          <w:kern w:val="2"/>
          <w:sz w:val="21"/>
          <w:highlight w:val="none"/>
        </w:rPr>
        <w:t>（一）海基水动力监测系统</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_Toc11904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32</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7D8FC72C">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"_Toc3972" </w:instrText>
      </w:r>
      <w:r>
        <w:rPr>
          <w:highlight w:val="none"/>
        </w:rPr>
        <w:fldChar w:fldCharType="separate"/>
      </w:r>
      <w:r>
        <w:rPr>
          <w:rFonts w:hint="eastAsia" w:ascii="宋体" w:hAnsi="宋体" w:cs="宋体"/>
          <w:w w:val="90"/>
          <w:kern w:val="2"/>
          <w:sz w:val="21"/>
          <w:highlight w:val="none"/>
        </w:rPr>
        <w:t>（二）岸基水动力监测系统</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_Toc3972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35</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2FB0140E">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"_Toc16076" </w:instrText>
      </w:r>
      <w:r>
        <w:rPr>
          <w:highlight w:val="none"/>
        </w:rPr>
        <w:fldChar w:fldCharType="separate"/>
      </w:r>
      <w:r>
        <w:rPr>
          <w:rFonts w:hint="eastAsia" w:ascii="宋体" w:hAnsi="宋体" w:cs="宋体"/>
          <w:w w:val="90"/>
          <w:kern w:val="2"/>
          <w:sz w:val="21"/>
          <w:highlight w:val="none"/>
        </w:rPr>
        <w:t>（三）岸基水质监测系统</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_Toc16076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38</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643B136B">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"_Toc9898" </w:instrText>
      </w:r>
      <w:r>
        <w:rPr>
          <w:highlight w:val="none"/>
        </w:rPr>
        <w:fldChar w:fldCharType="separate"/>
      </w:r>
      <w:r>
        <w:rPr>
          <w:rFonts w:hint="eastAsia" w:ascii="宋体" w:hAnsi="宋体" w:cs="宋体"/>
          <w:w w:val="90"/>
          <w:kern w:val="2"/>
          <w:sz w:val="21"/>
          <w:highlight w:val="none"/>
        </w:rPr>
        <w:t>（四）生态数字影像站</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_Toc9898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44</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0E813C03">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"_Toc2016" </w:instrText>
      </w:r>
      <w:r>
        <w:rPr>
          <w:highlight w:val="none"/>
        </w:rPr>
        <w:fldChar w:fldCharType="separate"/>
      </w:r>
      <w:r>
        <w:rPr>
          <w:rFonts w:hint="eastAsia" w:ascii="宋体" w:hAnsi="宋体" w:cs="宋体"/>
          <w:w w:val="90"/>
          <w:kern w:val="2"/>
          <w:sz w:val="21"/>
          <w:highlight w:val="none"/>
        </w:rPr>
        <w:t>2.民兴河口长效能力建设</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_Toc2016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47</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1AD7A2B3">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"_Toc27648" </w:instrText>
      </w:r>
      <w:r>
        <w:rPr>
          <w:highlight w:val="none"/>
        </w:rPr>
        <w:fldChar w:fldCharType="separate"/>
      </w:r>
      <w:r>
        <w:rPr>
          <w:rFonts w:hint="eastAsia" w:ascii="宋体" w:hAnsi="宋体" w:cs="宋体"/>
          <w:w w:val="90"/>
          <w:kern w:val="2"/>
          <w:sz w:val="21"/>
          <w:highlight w:val="none"/>
        </w:rPr>
        <w:t>（一）岸基水动力监测系统</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_Toc27648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48</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5198EAF5">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"_Toc29125" </w:instrText>
      </w:r>
      <w:r>
        <w:rPr>
          <w:highlight w:val="none"/>
        </w:rPr>
        <w:fldChar w:fldCharType="separate"/>
      </w:r>
      <w:r>
        <w:rPr>
          <w:rFonts w:hint="eastAsia" w:ascii="宋体" w:hAnsi="宋体" w:cs="宋体"/>
          <w:w w:val="90"/>
          <w:kern w:val="2"/>
          <w:sz w:val="21"/>
          <w:highlight w:val="none"/>
        </w:rPr>
        <w:t>3.团山长效能力建设</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_Toc29125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48</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7E0C9CCA">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"_Toc11703" </w:instrText>
      </w:r>
      <w:r>
        <w:rPr>
          <w:highlight w:val="none"/>
        </w:rPr>
        <w:fldChar w:fldCharType="separate"/>
      </w:r>
      <w:r>
        <w:rPr>
          <w:rFonts w:hint="eastAsia" w:ascii="宋体" w:hAnsi="宋体" w:cs="宋体"/>
          <w:w w:val="90"/>
          <w:kern w:val="2"/>
          <w:sz w:val="21"/>
          <w:highlight w:val="none"/>
        </w:rPr>
        <w:t>（一）海基水动力监测系统</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_Toc11703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48</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341652F9">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"_Toc10001" </w:instrText>
      </w:r>
      <w:r>
        <w:rPr>
          <w:highlight w:val="none"/>
        </w:rPr>
        <w:fldChar w:fldCharType="separate"/>
      </w:r>
      <w:r>
        <w:rPr>
          <w:rFonts w:hint="eastAsia" w:ascii="宋体" w:hAnsi="宋体" w:cs="宋体"/>
          <w:w w:val="90"/>
          <w:kern w:val="2"/>
          <w:sz w:val="21"/>
          <w:highlight w:val="none"/>
        </w:rPr>
        <w:t>（二）沙滩视频观测系统</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_Toc10001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48</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52FB7FF2">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"_Toc13479" </w:instrText>
      </w:r>
      <w:r>
        <w:rPr>
          <w:highlight w:val="none"/>
        </w:rPr>
        <w:fldChar w:fldCharType="separate"/>
      </w:r>
      <w:r>
        <w:rPr>
          <w:rFonts w:hint="eastAsia" w:ascii="宋体" w:hAnsi="宋体" w:cs="宋体"/>
          <w:w w:val="90"/>
          <w:kern w:val="2"/>
          <w:sz w:val="21"/>
          <w:highlight w:val="none"/>
        </w:rPr>
        <w:t>（三）生态数字影像站</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_Toc13479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53</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5FC27A48">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"_Toc23399" </w:instrText>
      </w:r>
      <w:r>
        <w:rPr>
          <w:highlight w:val="none"/>
        </w:rPr>
        <w:fldChar w:fldCharType="separate"/>
      </w:r>
      <w:r>
        <w:rPr>
          <w:rFonts w:hint="eastAsia" w:ascii="宋体" w:hAnsi="宋体" w:cs="宋体"/>
          <w:w w:val="90"/>
          <w:kern w:val="2"/>
          <w:sz w:val="21"/>
          <w:highlight w:val="none"/>
        </w:rPr>
        <w:t>4.月亮湾长效能力建设</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_Toc23399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54</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17AC0299">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"_Toc846" </w:instrText>
      </w:r>
      <w:r>
        <w:rPr>
          <w:highlight w:val="none"/>
        </w:rPr>
        <w:fldChar w:fldCharType="separate"/>
      </w:r>
      <w:r>
        <w:rPr>
          <w:rFonts w:hint="eastAsia" w:ascii="宋体" w:hAnsi="宋体" w:cs="宋体"/>
          <w:w w:val="90"/>
          <w:kern w:val="2"/>
          <w:sz w:val="21"/>
          <w:highlight w:val="none"/>
        </w:rPr>
        <w:t>（一）海基水动力监测系统</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_Toc846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54</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7C5ABEA5">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"_Toc22291" </w:instrText>
      </w:r>
      <w:r>
        <w:rPr>
          <w:highlight w:val="none"/>
        </w:rPr>
        <w:fldChar w:fldCharType="separate"/>
      </w:r>
      <w:r>
        <w:rPr>
          <w:rFonts w:hint="eastAsia" w:ascii="宋体" w:hAnsi="宋体" w:cs="宋体"/>
          <w:w w:val="90"/>
          <w:kern w:val="2"/>
          <w:sz w:val="21"/>
          <w:highlight w:val="none"/>
        </w:rPr>
        <w:t>（二）岸基水质监测系统</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_Toc22291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54</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0819EF83">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"_Toc22917" </w:instrText>
      </w:r>
      <w:r>
        <w:rPr>
          <w:highlight w:val="none"/>
        </w:rPr>
        <w:fldChar w:fldCharType="separate"/>
      </w:r>
      <w:r>
        <w:rPr>
          <w:rFonts w:hint="eastAsia" w:ascii="宋体" w:hAnsi="宋体" w:cs="宋体"/>
          <w:w w:val="90"/>
          <w:kern w:val="2"/>
          <w:sz w:val="21"/>
          <w:highlight w:val="none"/>
        </w:rPr>
        <w:t>5.生态监测预警与修复管理平台</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_Toc22917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54</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7F3C8024">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"_Toc30811" </w:instrText>
      </w:r>
      <w:r>
        <w:rPr>
          <w:highlight w:val="none"/>
        </w:rPr>
        <w:fldChar w:fldCharType="separate"/>
      </w:r>
      <w:r>
        <w:rPr>
          <w:rFonts w:hint="eastAsia" w:ascii="宋体" w:hAnsi="宋体" w:cs="宋体"/>
          <w:w w:val="90"/>
          <w:kern w:val="2"/>
          <w:sz w:val="21"/>
          <w:highlight w:val="none"/>
        </w:rPr>
        <w:t>（一）无人生态巡查系统</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_Toc30811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55</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5DF76967">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"_Toc2821" </w:instrText>
      </w:r>
      <w:r>
        <w:rPr>
          <w:highlight w:val="none"/>
        </w:rPr>
        <w:fldChar w:fldCharType="separate"/>
      </w:r>
      <w:r>
        <w:rPr>
          <w:rFonts w:hint="eastAsia" w:ascii="宋体" w:hAnsi="宋体" w:cs="宋体"/>
          <w:w w:val="90"/>
          <w:kern w:val="2"/>
          <w:sz w:val="21"/>
          <w:highlight w:val="none"/>
        </w:rPr>
        <w:t>（二）生态修复评估与预警监管系统</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_Toc2821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57</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72A57DFD">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"_Toc8313" </w:instrText>
      </w:r>
      <w:r>
        <w:rPr>
          <w:highlight w:val="none"/>
        </w:rPr>
        <w:fldChar w:fldCharType="separate"/>
      </w:r>
      <w:r>
        <w:rPr>
          <w:rFonts w:hint="eastAsia" w:ascii="宋体" w:hAnsi="宋体" w:cs="宋体"/>
          <w:w w:val="90"/>
          <w:kern w:val="2"/>
          <w:sz w:val="21"/>
          <w:highlight w:val="none"/>
        </w:rPr>
        <w:t>6、主要工程量</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_Toc8313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59</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28096C83">
      <w:pPr>
        <w:pStyle w:val="23"/>
        <w:tabs>
          <w:tab w:val="right" w:leader="dot" w:pos="9355"/>
        </w:tabs>
        <w:rPr>
          <w:rFonts w:ascii="宋体" w:hAnsi="宋体" w:cs="宋体"/>
          <w:w w:val="90"/>
          <w:kern w:val="2"/>
          <w:sz w:val="21"/>
          <w:highlight w:val="none"/>
        </w:rPr>
      </w:pPr>
      <w:r>
        <w:rPr>
          <w:highlight w:val="none"/>
        </w:rPr>
        <w:fldChar w:fldCharType="begin"/>
      </w:r>
      <w:r>
        <w:rPr>
          <w:highlight w:val="none"/>
        </w:rPr>
        <w:instrText xml:space="preserve"> HYPERLINK \l "_Toc26357" </w:instrText>
      </w:r>
      <w:r>
        <w:rPr>
          <w:highlight w:val="none"/>
        </w:rPr>
        <w:fldChar w:fldCharType="separate"/>
      </w:r>
      <w:r>
        <w:rPr>
          <w:rFonts w:hint="eastAsia" w:ascii="宋体" w:hAnsi="宋体" w:cs="宋体"/>
          <w:w w:val="90"/>
          <w:kern w:val="2"/>
          <w:sz w:val="21"/>
          <w:highlight w:val="none"/>
        </w:rPr>
        <w:t>7、长效管护能力建设考核指标</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_Toc26357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62</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0E43E4DB">
      <w:pPr>
        <w:pStyle w:val="23"/>
        <w:tabs>
          <w:tab w:val="right" w:leader="dot" w:pos="9355"/>
        </w:tabs>
        <w:rPr>
          <w:highlight w:val="none"/>
        </w:rPr>
      </w:pPr>
      <w:r>
        <w:rPr>
          <w:highlight w:val="none"/>
        </w:rPr>
        <w:fldChar w:fldCharType="begin"/>
      </w:r>
      <w:r>
        <w:rPr>
          <w:highlight w:val="none"/>
        </w:rPr>
        <w:instrText xml:space="preserve"> HYPERLINK \l "_Toc10955" </w:instrText>
      </w:r>
      <w:r>
        <w:rPr>
          <w:highlight w:val="none"/>
        </w:rPr>
        <w:fldChar w:fldCharType="separate"/>
      </w:r>
      <w:r>
        <w:rPr>
          <w:rFonts w:hint="eastAsia" w:ascii="宋体" w:hAnsi="宋体" w:cs="宋体"/>
          <w:w w:val="90"/>
          <w:kern w:val="2"/>
          <w:sz w:val="21"/>
          <w:highlight w:val="none"/>
        </w:rPr>
        <w:t>Ⅱ浒苔处置监测预报服务</w:t>
      </w:r>
      <w:r>
        <w:rPr>
          <w:rFonts w:hint="eastAsia" w:ascii="宋体" w:hAnsi="宋体" w:cs="宋体"/>
          <w:w w:val="90"/>
          <w:kern w:val="2"/>
          <w:sz w:val="21"/>
          <w:highlight w:val="none"/>
        </w:rPr>
        <w:tab/>
      </w:r>
      <w:r>
        <w:rPr>
          <w:rFonts w:hint="eastAsia" w:ascii="宋体" w:hAnsi="宋体" w:cs="宋体"/>
          <w:w w:val="90"/>
          <w:kern w:val="2"/>
          <w:sz w:val="21"/>
          <w:highlight w:val="none"/>
        </w:rPr>
        <w:fldChar w:fldCharType="begin"/>
      </w:r>
      <w:r>
        <w:rPr>
          <w:rFonts w:hint="eastAsia" w:ascii="宋体" w:hAnsi="宋体" w:cs="宋体"/>
          <w:w w:val="90"/>
          <w:kern w:val="2"/>
          <w:sz w:val="21"/>
          <w:highlight w:val="none"/>
        </w:rPr>
        <w:instrText xml:space="preserve"> PAGEREF _Toc10955 \h </w:instrText>
      </w:r>
      <w:r>
        <w:rPr>
          <w:rFonts w:hint="eastAsia" w:ascii="宋体" w:hAnsi="宋体" w:cs="宋体"/>
          <w:w w:val="90"/>
          <w:kern w:val="2"/>
          <w:sz w:val="21"/>
          <w:highlight w:val="none"/>
        </w:rPr>
        <w:fldChar w:fldCharType="separate"/>
      </w:r>
      <w:r>
        <w:rPr>
          <w:rFonts w:hint="eastAsia" w:ascii="宋体" w:hAnsi="宋体" w:cs="宋体"/>
          <w:w w:val="90"/>
          <w:kern w:val="2"/>
          <w:sz w:val="21"/>
          <w:highlight w:val="none"/>
        </w:rPr>
        <w:t>63</w:t>
      </w:r>
      <w:r>
        <w:rPr>
          <w:rFonts w:hint="eastAsia" w:ascii="宋体" w:hAnsi="宋体" w:cs="宋体"/>
          <w:w w:val="90"/>
          <w:kern w:val="2"/>
          <w:sz w:val="21"/>
          <w:highlight w:val="none"/>
        </w:rPr>
        <w:fldChar w:fldCharType="end"/>
      </w:r>
      <w:r>
        <w:rPr>
          <w:rFonts w:hint="eastAsia" w:ascii="宋体" w:hAnsi="宋体" w:cs="宋体"/>
          <w:w w:val="90"/>
          <w:kern w:val="2"/>
          <w:sz w:val="21"/>
          <w:highlight w:val="none"/>
        </w:rPr>
        <w:fldChar w:fldCharType="end"/>
      </w:r>
    </w:p>
    <w:p w14:paraId="0DFB5DE6">
      <w:pPr>
        <w:pStyle w:val="21"/>
        <w:tabs>
          <w:tab w:val="right" w:leader="dot" w:pos="9355"/>
        </w:tabs>
        <w:rPr>
          <w:highlight w:val="none"/>
        </w:rPr>
      </w:pPr>
      <w:r>
        <w:rPr>
          <w:highlight w:val="none"/>
        </w:rPr>
        <w:fldChar w:fldCharType="begin"/>
      </w:r>
      <w:r>
        <w:rPr>
          <w:highlight w:val="none"/>
        </w:rPr>
        <w:instrText xml:space="preserve"> HYPERLINK \l "_Toc10217" </w:instrText>
      </w:r>
      <w:r>
        <w:rPr>
          <w:highlight w:val="none"/>
        </w:rPr>
        <w:fldChar w:fldCharType="separate"/>
      </w:r>
      <w:r>
        <w:rPr>
          <w:rFonts w:ascii="宋体" w:hAnsi="宋体" w:cs="宋体"/>
          <w:w w:val="90"/>
          <w:highlight w:val="none"/>
        </w:rPr>
        <w:t xml:space="preserve">第六章 </w:t>
      </w:r>
      <w:r>
        <w:rPr>
          <w:rFonts w:hint="eastAsia" w:ascii="宋体" w:hAnsi="宋体" w:cs="宋体"/>
          <w:w w:val="90"/>
          <w:highlight w:val="none"/>
        </w:rPr>
        <w:t>附件（投标文件格式）</w:t>
      </w:r>
      <w:r>
        <w:rPr>
          <w:highlight w:val="none"/>
        </w:rPr>
        <w:tab/>
      </w:r>
      <w:r>
        <w:rPr>
          <w:highlight w:val="none"/>
        </w:rPr>
        <w:fldChar w:fldCharType="begin"/>
      </w:r>
      <w:r>
        <w:rPr>
          <w:highlight w:val="none"/>
        </w:rPr>
        <w:instrText xml:space="preserve"> PAGEREF _Toc10217 \h </w:instrText>
      </w:r>
      <w:r>
        <w:rPr>
          <w:highlight w:val="none"/>
        </w:rPr>
        <w:fldChar w:fldCharType="separate"/>
      </w:r>
      <w:r>
        <w:rPr>
          <w:highlight w:val="none"/>
        </w:rPr>
        <w:t>68</w:t>
      </w:r>
      <w:r>
        <w:rPr>
          <w:highlight w:val="none"/>
        </w:rPr>
        <w:fldChar w:fldCharType="end"/>
      </w:r>
      <w:r>
        <w:rPr>
          <w:highlight w:val="none"/>
        </w:rPr>
        <w:fldChar w:fldCharType="end"/>
      </w:r>
    </w:p>
    <w:p w14:paraId="48993495">
      <w:pPr>
        <w:pStyle w:val="16"/>
        <w:tabs>
          <w:tab w:val="right" w:leader="dot" w:pos="9355"/>
          <w:tab w:val="clear" w:pos="9628"/>
        </w:tabs>
        <w:rPr>
          <w:highlight w:val="none"/>
        </w:rPr>
      </w:pPr>
      <w:r>
        <w:rPr>
          <w:highlight w:val="none"/>
        </w:rPr>
        <w:fldChar w:fldCharType="begin"/>
      </w:r>
      <w:r>
        <w:rPr>
          <w:highlight w:val="none"/>
        </w:rPr>
        <w:instrText xml:space="preserve"> HYPERLINK \l "_Toc1276" </w:instrText>
      </w:r>
      <w:r>
        <w:rPr>
          <w:highlight w:val="none"/>
        </w:rPr>
        <w:fldChar w:fldCharType="separate"/>
      </w:r>
      <w:r>
        <w:rPr>
          <w:rFonts w:hint="eastAsia" w:ascii="宋体" w:hAnsi="宋体" w:cs="宋体"/>
          <w:highlight w:val="none"/>
        </w:rPr>
        <w:t>第一部分 投标函部分</w:t>
      </w:r>
      <w:r>
        <w:rPr>
          <w:highlight w:val="none"/>
        </w:rPr>
        <w:tab/>
      </w:r>
      <w:r>
        <w:rPr>
          <w:highlight w:val="none"/>
        </w:rPr>
        <w:fldChar w:fldCharType="begin"/>
      </w:r>
      <w:r>
        <w:rPr>
          <w:highlight w:val="none"/>
        </w:rPr>
        <w:instrText xml:space="preserve"> PAGEREF _Toc1276 \h </w:instrText>
      </w:r>
      <w:r>
        <w:rPr>
          <w:highlight w:val="none"/>
        </w:rPr>
        <w:fldChar w:fldCharType="separate"/>
      </w:r>
      <w:r>
        <w:rPr>
          <w:highlight w:val="none"/>
        </w:rPr>
        <w:t>70</w:t>
      </w:r>
      <w:r>
        <w:rPr>
          <w:highlight w:val="none"/>
        </w:rPr>
        <w:fldChar w:fldCharType="end"/>
      </w:r>
      <w:r>
        <w:rPr>
          <w:highlight w:val="none"/>
        </w:rPr>
        <w:fldChar w:fldCharType="end"/>
      </w:r>
    </w:p>
    <w:p w14:paraId="2443500D">
      <w:pPr>
        <w:pStyle w:val="16"/>
        <w:tabs>
          <w:tab w:val="right" w:leader="dot" w:pos="9355"/>
          <w:tab w:val="clear" w:pos="9628"/>
        </w:tabs>
        <w:rPr>
          <w:highlight w:val="none"/>
        </w:rPr>
      </w:pPr>
      <w:r>
        <w:rPr>
          <w:highlight w:val="none"/>
        </w:rPr>
        <w:fldChar w:fldCharType="begin"/>
      </w:r>
      <w:r>
        <w:rPr>
          <w:highlight w:val="none"/>
        </w:rPr>
        <w:instrText xml:space="preserve"> HYPERLINK \l "_Toc19754" </w:instrText>
      </w:r>
      <w:r>
        <w:rPr>
          <w:highlight w:val="none"/>
        </w:rPr>
        <w:fldChar w:fldCharType="separate"/>
      </w:r>
      <w:r>
        <w:rPr>
          <w:rFonts w:hint="eastAsia" w:ascii="宋体" w:hAnsi="宋体" w:cs="宋体"/>
          <w:szCs w:val="28"/>
          <w:highlight w:val="none"/>
        </w:rPr>
        <w:t>1、投标函(格式)</w:t>
      </w:r>
      <w:r>
        <w:rPr>
          <w:highlight w:val="none"/>
        </w:rPr>
        <w:tab/>
      </w:r>
      <w:r>
        <w:rPr>
          <w:highlight w:val="none"/>
        </w:rPr>
        <w:fldChar w:fldCharType="begin"/>
      </w:r>
      <w:r>
        <w:rPr>
          <w:highlight w:val="none"/>
        </w:rPr>
        <w:instrText xml:space="preserve"> PAGEREF _Toc19754 \h </w:instrText>
      </w:r>
      <w:r>
        <w:rPr>
          <w:highlight w:val="none"/>
        </w:rPr>
        <w:fldChar w:fldCharType="separate"/>
      </w:r>
      <w:r>
        <w:rPr>
          <w:highlight w:val="none"/>
        </w:rPr>
        <w:t>70</w:t>
      </w:r>
      <w:r>
        <w:rPr>
          <w:highlight w:val="none"/>
        </w:rPr>
        <w:fldChar w:fldCharType="end"/>
      </w:r>
      <w:r>
        <w:rPr>
          <w:highlight w:val="none"/>
        </w:rPr>
        <w:fldChar w:fldCharType="end"/>
      </w:r>
    </w:p>
    <w:p w14:paraId="0EC1F0B4">
      <w:pPr>
        <w:pStyle w:val="16"/>
        <w:tabs>
          <w:tab w:val="right" w:leader="dot" w:pos="9355"/>
          <w:tab w:val="clear" w:pos="9628"/>
        </w:tabs>
        <w:rPr>
          <w:highlight w:val="none"/>
        </w:rPr>
      </w:pPr>
      <w:r>
        <w:rPr>
          <w:highlight w:val="none"/>
        </w:rPr>
        <w:fldChar w:fldCharType="begin"/>
      </w:r>
      <w:r>
        <w:rPr>
          <w:highlight w:val="none"/>
        </w:rPr>
        <w:instrText xml:space="preserve"> HYPERLINK \l "_Toc29600" </w:instrText>
      </w:r>
      <w:r>
        <w:rPr>
          <w:highlight w:val="none"/>
        </w:rPr>
        <w:fldChar w:fldCharType="separate"/>
      </w:r>
      <w:r>
        <w:rPr>
          <w:rFonts w:hint="eastAsia" w:ascii="宋体" w:hAnsi="宋体" w:cs="宋体"/>
          <w:szCs w:val="28"/>
          <w:highlight w:val="none"/>
        </w:rPr>
        <w:t>2、投标函附录格式</w:t>
      </w:r>
      <w:r>
        <w:rPr>
          <w:highlight w:val="none"/>
        </w:rPr>
        <w:tab/>
      </w:r>
      <w:r>
        <w:rPr>
          <w:highlight w:val="none"/>
        </w:rPr>
        <w:fldChar w:fldCharType="begin"/>
      </w:r>
      <w:r>
        <w:rPr>
          <w:highlight w:val="none"/>
        </w:rPr>
        <w:instrText xml:space="preserve"> PAGEREF _Toc29600 \h </w:instrText>
      </w:r>
      <w:r>
        <w:rPr>
          <w:highlight w:val="none"/>
        </w:rPr>
        <w:fldChar w:fldCharType="separate"/>
      </w:r>
      <w:r>
        <w:rPr>
          <w:highlight w:val="none"/>
        </w:rPr>
        <w:t>71</w:t>
      </w:r>
      <w:r>
        <w:rPr>
          <w:highlight w:val="none"/>
        </w:rPr>
        <w:fldChar w:fldCharType="end"/>
      </w:r>
      <w:r>
        <w:rPr>
          <w:highlight w:val="none"/>
        </w:rPr>
        <w:fldChar w:fldCharType="end"/>
      </w:r>
    </w:p>
    <w:p w14:paraId="3A691577">
      <w:pPr>
        <w:pStyle w:val="16"/>
        <w:tabs>
          <w:tab w:val="right" w:leader="dot" w:pos="9355"/>
          <w:tab w:val="clear" w:pos="9628"/>
        </w:tabs>
        <w:rPr>
          <w:highlight w:val="none"/>
        </w:rPr>
      </w:pPr>
      <w:r>
        <w:rPr>
          <w:highlight w:val="none"/>
        </w:rPr>
        <w:fldChar w:fldCharType="begin"/>
      </w:r>
      <w:r>
        <w:rPr>
          <w:highlight w:val="none"/>
        </w:rPr>
        <w:instrText xml:space="preserve"> HYPERLINK \l "_Toc27567" </w:instrText>
      </w:r>
      <w:r>
        <w:rPr>
          <w:highlight w:val="none"/>
        </w:rPr>
        <w:fldChar w:fldCharType="separate"/>
      </w:r>
      <w:r>
        <w:rPr>
          <w:rFonts w:hint="eastAsia" w:ascii="宋体" w:hAnsi="宋体" w:cs="宋体"/>
          <w:szCs w:val="28"/>
          <w:highlight w:val="none"/>
        </w:rPr>
        <w:t>2、投标函附录格式</w:t>
      </w:r>
      <w:r>
        <w:rPr>
          <w:highlight w:val="none"/>
        </w:rPr>
        <w:tab/>
      </w:r>
      <w:r>
        <w:rPr>
          <w:highlight w:val="none"/>
        </w:rPr>
        <w:fldChar w:fldCharType="begin"/>
      </w:r>
      <w:r>
        <w:rPr>
          <w:highlight w:val="none"/>
        </w:rPr>
        <w:instrText xml:space="preserve"> PAGEREF _Toc27567 \h </w:instrText>
      </w:r>
      <w:r>
        <w:rPr>
          <w:highlight w:val="none"/>
        </w:rPr>
        <w:fldChar w:fldCharType="separate"/>
      </w:r>
      <w:r>
        <w:rPr>
          <w:b/>
          <w:highlight w:val="none"/>
        </w:rPr>
        <w:t>错误！未定义书签。</w:t>
      </w:r>
      <w:r>
        <w:rPr>
          <w:highlight w:val="none"/>
        </w:rPr>
        <w:fldChar w:fldCharType="end"/>
      </w:r>
      <w:r>
        <w:rPr>
          <w:highlight w:val="none"/>
        </w:rPr>
        <w:fldChar w:fldCharType="end"/>
      </w:r>
    </w:p>
    <w:p w14:paraId="1EE7BE30">
      <w:pPr>
        <w:pStyle w:val="16"/>
        <w:tabs>
          <w:tab w:val="right" w:leader="dot" w:pos="9355"/>
          <w:tab w:val="clear" w:pos="9628"/>
        </w:tabs>
        <w:rPr>
          <w:highlight w:val="none"/>
        </w:rPr>
      </w:pPr>
      <w:r>
        <w:rPr>
          <w:highlight w:val="none"/>
        </w:rPr>
        <w:fldChar w:fldCharType="begin"/>
      </w:r>
      <w:r>
        <w:rPr>
          <w:highlight w:val="none"/>
        </w:rPr>
        <w:instrText xml:space="preserve"> HYPERLINK \l "_Toc18397" </w:instrText>
      </w:r>
      <w:r>
        <w:rPr>
          <w:highlight w:val="none"/>
        </w:rPr>
        <w:fldChar w:fldCharType="separate"/>
      </w:r>
      <w:r>
        <w:rPr>
          <w:rFonts w:hint="eastAsia" w:ascii="宋体" w:hAnsi="宋体" w:cs="宋体"/>
          <w:highlight w:val="none"/>
        </w:rPr>
        <w:t>第二部分 资格审查部分</w:t>
      </w:r>
      <w:r>
        <w:rPr>
          <w:highlight w:val="none"/>
        </w:rPr>
        <w:tab/>
      </w:r>
      <w:r>
        <w:rPr>
          <w:highlight w:val="none"/>
        </w:rPr>
        <w:fldChar w:fldCharType="begin"/>
      </w:r>
      <w:r>
        <w:rPr>
          <w:highlight w:val="none"/>
        </w:rPr>
        <w:instrText xml:space="preserve"> PAGEREF _Toc18397 \h </w:instrText>
      </w:r>
      <w:r>
        <w:rPr>
          <w:highlight w:val="none"/>
        </w:rPr>
        <w:fldChar w:fldCharType="separate"/>
      </w:r>
      <w:r>
        <w:rPr>
          <w:highlight w:val="none"/>
        </w:rPr>
        <w:t>75</w:t>
      </w:r>
      <w:r>
        <w:rPr>
          <w:highlight w:val="none"/>
        </w:rPr>
        <w:fldChar w:fldCharType="end"/>
      </w:r>
      <w:r>
        <w:rPr>
          <w:highlight w:val="none"/>
        </w:rPr>
        <w:fldChar w:fldCharType="end"/>
      </w:r>
    </w:p>
    <w:p w14:paraId="5A216A57">
      <w:pPr>
        <w:pStyle w:val="16"/>
        <w:tabs>
          <w:tab w:val="right" w:leader="dot" w:pos="9355"/>
          <w:tab w:val="clear" w:pos="9628"/>
        </w:tabs>
        <w:rPr>
          <w:highlight w:val="none"/>
        </w:rPr>
      </w:pPr>
      <w:r>
        <w:rPr>
          <w:highlight w:val="none"/>
        </w:rPr>
        <w:fldChar w:fldCharType="begin"/>
      </w:r>
      <w:r>
        <w:rPr>
          <w:highlight w:val="none"/>
        </w:rPr>
        <w:instrText xml:space="preserve"> HYPERLINK \l "_Toc4658" </w:instrText>
      </w:r>
      <w:r>
        <w:rPr>
          <w:highlight w:val="none"/>
        </w:rPr>
        <w:fldChar w:fldCharType="separate"/>
      </w:r>
      <w:r>
        <w:rPr>
          <w:rFonts w:hint="eastAsia" w:ascii="宋体" w:hAnsi="宋体" w:cs="宋体"/>
          <w:szCs w:val="28"/>
          <w:highlight w:val="none"/>
        </w:rPr>
        <w:t>1、投标人一般情况（格式）</w:t>
      </w:r>
      <w:r>
        <w:rPr>
          <w:highlight w:val="none"/>
        </w:rPr>
        <w:tab/>
      </w:r>
      <w:r>
        <w:rPr>
          <w:highlight w:val="none"/>
        </w:rPr>
        <w:fldChar w:fldCharType="begin"/>
      </w:r>
      <w:r>
        <w:rPr>
          <w:highlight w:val="none"/>
        </w:rPr>
        <w:instrText xml:space="preserve"> PAGEREF _Toc4658 \h </w:instrText>
      </w:r>
      <w:r>
        <w:rPr>
          <w:highlight w:val="none"/>
        </w:rPr>
        <w:fldChar w:fldCharType="separate"/>
      </w:r>
      <w:r>
        <w:rPr>
          <w:highlight w:val="none"/>
        </w:rPr>
        <w:t>75</w:t>
      </w:r>
      <w:r>
        <w:rPr>
          <w:highlight w:val="none"/>
        </w:rPr>
        <w:fldChar w:fldCharType="end"/>
      </w:r>
      <w:r>
        <w:rPr>
          <w:highlight w:val="none"/>
        </w:rPr>
        <w:fldChar w:fldCharType="end"/>
      </w:r>
    </w:p>
    <w:p w14:paraId="43027DB0">
      <w:pPr>
        <w:pStyle w:val="16"/>
        <w:tabs>
          <w:tab w:val="right" w:leader="dot" w:pos="9355"/>
          <w:tab w:val="clear" w:pos="9628"/>
        </w:tabs>
        <w:rPr>
          <w:highlight w:val="none"/>
        </w:rPr>
      </w:pPr>
      <w:r>
        <w:rPr>
          <w:highlight w:val="none"/>
        </w:rPr>
        <w:fldChar w:fldCharType="begin"/>
      </w:r>
      <w:r>
        <w:rPr>
          <w:highlight w:val="none"/>
        </w:rPr>
        <w:instrText xml:space="preserve"> HYPERLINK \l "_Toc21184" </w:instrText>
      </w:r>
      <w:r>
        <w:rPr>
          <w:highlight w:val="none"/>
        </w:rPr>
        <w:fldChar w:fldCharType="separate"/>
      </w:r>
      <w:r>
        <w:rPr>
          <w:rFonts w:hint="eastAsia" w:ascii="宋体" w:hAnsi="宋体" w:cs="宋体"/>
          <w:szCs w:val="28"/>
          <w:highlight w:val="none"/>
        </w:rPr>
        <w:t>2、法定代表人身份证明书（格式）</w:t>
      </w:r>
      <w:r>
        <w:rPr>
          <w:highlight w:val="none"/>
        </w:rPr>
        <w:tab/>
      </w:r>
      <w:r>
        <w:rPr>
          <w:highlight w:val="none"/>
        </w:rPr>
        <w:fldChar w:fldCharType="begin"/>
      </w:r>
      <w:r>
        <w:rPr>
          <w:highlight w:val="none"/>
        </w:rPr>
        <w:instrText xml:space="preserve"> PAGEREF _Toc21184 \h </w:instrText>
      </w:r>
      <w:r>
        <w:rPr>
          <w:highlight w:val="none"/>
        </w:rPr>
        <w:fldChar w:fldCharType="separate"/>
      </w:r>
      <w:r>
        <w:rPr>
          <w:highlight w:val="none"/>
        </w:rPr>
        <w:t>76</w:t>
      </w:r>
      <w:r>
        <w:rPr>
          <w:highlight w:val="none"/>
        </w:rPr>
        <w:fldChar w:fldCharType="end"/>
      </w:r>
      <w:r>
        <w:rPr>
          <w:highlight w:val="none"/>
        </w:rPr>
        <w:fldChar w:fldCharType="end"/>
      </w:r>
    </w:p>
    <w:p w14:paraId="15955BA0">
      <w:pPr>
        <w:pStyle w:val="16"/>
        <w:tabs>
          <w:tab w:val="right" w:leader="dot" w:pos="9355"/>
          <w:tab w:val="clear" w:pos="9628"/>
        </w:tabs>
        <w:rPr>
          <w:highlight w:val="none"/>
        </w:rPr>
      </w:pPr>
      <w:r>
        <w:rPr>
          <w:highlight w:val="none"/>
        </w:rPr>
        <w:fldChar w:fldCharType="begin"/>
      </w:r>
      <w:r>
        <w:rPr>
          <w:highlight w:val="none"/>
        </w:rPr>
        <w:instrText xml:space="preserve"> HYPERLINK \l "_Toc15843" </w:instrText>
      </w:r>
      <w:r>
        <w:rPr>
          <w:highlight w:val="none"/>
        </w:rPr>
        <w:fldChar w:fldCharType="separate"/>
      </w:r>
      <w:r>
        <w:rPr>
          <w:rFonts w:hint="eastAsia" w:ascii="宋体" w:hAnsi="宋体" w:cs="宋体"/>
          <w:szCs w:val="28"/>
          <w:highlight w:val="none"/>
        </w:rPr>
        <w:t>3、法定代表人授权书（格式）（如法定代表人投标不需此项）</w:t>
      </w:r>
      <w:r>
        <w:rPr>
          <w:highlight w:val="none"/>
        </w:rPr>
        <w:tab/>
      </w:r>
      <w:r>
        <w:rPr>
          <w:highlight w:val="none"/>
        </w:rPr>
        <w:fldChar w:fldCharType="begin"/>
      </w:r>
      <w:r>
        <w:rPr>
          <w:highlight w:val="none"/>
        </w:rPr>
        <w:instrText xml:space="preserve"> PAGEREF _Toc15843 \h </w:instrText>
      </w:r>
      <w:r>
        <w:rPr>
          <w:highlight w:val="none"/>
        </w:rPr>
        <w:fldChar w:fldCharType="separate"/>
      </w:r>
      <w:r>
        <w:rPr>
          <w:highlight w:val="none"/>
        </w:rPr>
        <w:t>77</w:t>
      </w:r>
      <w:r>
        <w:rPr>
          <w:highlight w:val="none"/>
        </w:rPr>
        <w:fldChar w:fldCharType="end"/>
      </w:r>
      <w:r>
        <w:rPr>
          <w:highlight w:val="none"/>
        </w:rPr>
        <w:fldChar w:fldCharType="end"/>
      </w:r>
    </w:p>
    <w:p w14:paraId="1109FE29">
      <w:pPr>
        <w:pStyle w:val="16"/>
        <w:tabs>
          <w:tab w:val="right" w:leader="dot" w:pos="9355"/>
          <w:tab w:val="clear" w:pos="9628"/>
        </w:tabs>
        <w:rPr>
          <w:highlight w:val="none"/>
        </w:rPr>
      </w:pPr>
      <w:r>
        <w:rPr>
          <w:highlight w:val="none"/>
        </w:rPr>
        <w:fldChar w:fldCharType="begin"/>
      </w:r>
      <w:r>
        <w:rPr>
          <w:highlight w:val="none"/>
        </w:rPr>
        <w:instrText xml:space="preserve"> HYPERLINK \l "_Toc13093" </w:instrText>
      </w:r>
      <w:r>
        <w:rPr>
          <w:highlight w:val="none"/>
        </w:rPr>
        <w:fldChar w:fldCharType="separate"/>
      </w:r>
      <w:r>
        <w:rPr>
          <w:rFonts w:hint="eastAsia" w:ascii="宋体" w:hAnsi="宋体" w:cs="宋体"/>
          <w:szCs w:val="28"/>
          <w:highlight w:val="none"/>
        </w:rPr>
        <w:t>4、投标保证书格式</w:t>
      </w:r>
      <w:r>
        <w:rPr>
          <w:highlight w:val="none"/>
        </w:rPr>
        <w:tab/>
      </w:r>
      <w:r>
        <w:rPr>
          <w:highlight w:val="none"/>
        </w:rPr>
        <w:fldChar w:fldCharType="begin"/>
      </w:r>
      <w:r>
        <w:rPr>
          <w:highlight w:val="none"/>
        </w:rPr>
        <w:instrText xml:space="preserve"> PAGEREF _Toc13093 \h </w:instrText>
      </w:r>
      <w:r>
        <w:rPr>
          <w:highlight w:val="none"/>
        </w:rPr>
        <w:fldChar w:fldCharType="separate"/>
      </w:r>
      <w:r>
        <w:rPr>
          <w:highlight w:val="none"/>
        </w:rPr>
        <w:t>78</w:t>
      </w:r>
      <w:r>
        <w:rPr>
          <w:highlight w:val="none"/>
        </w:rPr>
        <w:fldChar w:fldCharType="end"/>
      </w:r>
      <w:r>
        <w:rPr>
          <w:highlight w:val="none"/>
        </w:rPr>
        <w:fldChar w:fldCharType="end"/>
      </w:r>
    </w:p>
    <w:p w14:paraId="435BA3F0">
      <w:pPr>
        <w:pStyle w:val="16"/>
        <w:tabs>
          <w:tab w:val="right" w:leader="dot" w:pos="9355"/>
          <w:tab w:val="clear" w:pos="9628"/>
        </w:tabs>
        <w:rPr>
          <w:highlight w:val="none"/>
        </w:rPr>
      </w:pPr>
      <w:r>
        <w:rPr>
          <w:highlight w:val="none"/>
        </w:rPr>
        <w:fldChar w:fldCharType="begin"/>
      </w:r>
      <w:r>
        <w:rPr>
          <w:highlight w:val="none"/>
        </w:rPr>
        <w:instrText xml:space="preserve"> HYPERLINK \l "_Toc32032" </w:instrText>
      </w:r>
      <w:r>
        <w:rPr>
          <w:highlight w:val="none"/>
        </w:rPr>
        <w:fldChar w:fldCharType="separate"/>
      </w:r>
      <w:r>
        <w:rPr>
          <w:rFonts w:hint="eastAsia" w:ascii="宋体" w:hAnsi="宋体" w:cs="宋体"/>
          <w:szCs w:val="28"/>
          <w:highlight w:val="none"/>
        </w:rPr>
        <w:t>5、投标保证金付款凭证或保函扫描件</w:t>
      </w:r>
      <w:r>
        <w:rPr>
          <w:highlight w:val="none"/>
        </w:rPr>
        <w:tab/>
      </w:r>
      <w:r>
        <w:rPr>
          <w:highlight w:val="none"/>
        </w:rPr>
        <w:fldChar w:fldCharType="begin"/>
      </w:r>
      <w:r>
        <w:rPr>
          <w:highlight w:val="none"/>
        </w:rPr>
        <w:instrText xml:space="preserve"> PAGEREF _Toc32032 \h </w:instrText>
      </w:r>
      <w:r>
        <w:rPr>
          <w:highlight w:val="none"/>
        </w:rPr>
        <w:fldChar w:fldCharType="separate"/>
      </w:r>
      <w:r>
        <w:rPr>
          <w:highlight w:val="none"/>
        </w:rPr>
        <w:t>79</w:t>
      </w:r>
      <w:r>
        <w:rPr>
          <w:highlight w:val="none"/>
        </w:rPr>
        <w:fldChar w:fldCharType="end"/>
      </w:r>
      <w:r>
        <w:rPr>
          <w:highlight w:val="none"/>
        </w:rPr>
        <w:fldChar w:fldCharType="end"/>
      </w:r>
    </w:p>
    <w:p w14:paraId="039C733E">
      <w:pPr>
        <w:pStyle w:val="16"/>
        <w:tabs>
          <w:tab w:val="right" w:leader="dot" w:pos="9355"/>
          <w:tab w:val="clear" w:pos="9628"/>
        </w:tabs>
        <w:rPr>
          <w:highlight w:val="none"/>
        </w:rPr>
      </w:pPr>
      <w:r>
        <w:rPr>
          <w:highlight w:val="none"/>
        </w:rPr>
        <w:fldChar w:fldCharType="begin"/>
      </w:r>
      <w:r>
        <w:rPr>
          <w:highlight w:val="none"/>
        </w:rPr>
        <w:instrText xml:space="preserve"> HYPERLINK \l "_Toc17760" </w:instrText>
      </w:r>
      <w:r>
        <w:rPr>
          <w:highlight w:val="none"/>
        </w:rPr>
        <w:fldChar w:fldCharType="separate"/>
      </w:r>
      <w:r>
        <w:rPr>
          <w:rFonts w:hint="eastAsia"/>
          <w:highlight w:val="none"/>
        </w:rPr>
        <w:t>6、投标人不得被列入“失信被执行人”或“失信惩戒对象”或“重大税收违法案件当事人”，以“信用中国”网站（www.creditchina.gov.cn）查询为准。（需在招标公告发布后从“信用中国”网站打印查询结果并加盖公章）</w:t>
      </w:r>
      <w:r>
        <w:rPr>
          <w:highlight w:val="none"/>
        </w:rPr>
        <w:tab/>
      </w:r>
      <w:r>
        <w:rPr>
          <w:highlight w:val="none"/>
        </w:rPr>
        <w:fldChar w:fldCharType="begin"/>
      </w:r>
      <w:r>
        <w:rPr>
          <w:highlight w:val="none"/>
        </w:rPr>
        <w:instrText xml:space="preserve"> PAGEREF _Toc17760 \h </w:instrText>
      </w:r>
      <w:r>
        <w:rPr>
          <w:highlight w:val="none"/>
        </w:rPr>
        <w:fldChar w:fldCharType="separate"/>
      </w:r>
      <w:r>
        <w:rPr>
          <w:highlight w:val="none"/>
        </w:rPr>
        <w:t>80</w:t>
      </w:r>
      <w:r>
        <w:rPr>
          <w:highlight w:val="none"/>
        </w:rPr>
        <w:fldChar w:fldCharType="end"/>
      </w:r>
      <w:r>
        <w:rPr>
          <w:highlight w:val="none"/>
        </w:rPr>
        <w:fldChar w:fldCharType="end"/>
      </w:r>
    </w:p>
    <w:p w14:paraId="1FC68F15">
      <w:pPr>
        <w:pStyle w:val="16"/>
        <w:tabs>
          <w:tab w:val="right" w:leader="dot" w:pos="9355"/>
          <w:tab w:val="clear" w:pos="9628"/>
        </w:tabs>
        <w:rPr>
          <w:highlight w:val="none"/>
        </w:rPr>
      </w:pPr>
      <w:r>
        <w:rPr>
          <w:highlight w:val="none"/>
        </w:rPr>
        <w:fldChar w:fldCharType="begin"/>
      </w:r>
      <w:r>
        <w:rPr>
          <w:highlight w:val="none"/>
        </w:rPr>
        <w:instrText xml:space="preserve"> HYPERLINK \l "_Toc24251" </w:instrText>
      </w:r>
      <w:r>
        <w:rPr>
          <w:highlight w:val="none"/>
        </w:rPr>
        <w:fldChar w:fldCharType="separate"/>
      </w:r>
      <w:r>
        <w:rPr>
          <w:rFonts w:hint="eastAsia"/>
          <w:highlight w:val="none"/>
        </w:rPr>
        <w:t>7、投标人告知承诺函</w:t>
      </w:r>
      <w:r>
        <w:rPr>
          <w:highlight w:val="none"/>
        </w:rPr>
        <w:tab/>
      </w:r>
      <w:r>
        <w:rPr>
          <w:highlight w:val="none"/>
        </w:rPr>
        <w:fldChar w:fldCharType="begin"/>
      </w:r>
      <w:r>
        <w:rPr>
          <w:highlight w:val="none"/>
        </w:rPr>
        <w:instrText xml:space="preserve"> PAGEREF _Toc24251 \h </w:instrText>
      </w:r>
      <w:r>
        <w:rPr>
          <w:highlight w:val="none"/>
        </w:rPr>
        <w:fldChar w:fldCharType="separate"/>
      </w:r>
      <w:r>
        <w:rPr>
          <w:highlight w:val="none"/>
        </w:rPr>
        <w:t>81</w:t>
      </w:r>
      <w:r>
        <w:rPr>
          <w:highlight w:val="none"/>
        </w:rPr>
        <w:fldChar w:fldCharType="end"/>
      </w:r>
      <w:r>
        <w:rPr>
          <w:highlight w:val="none"/>
        </w:rPr>
        <w:fldChar w:fldCharType="end"/>
      </w:r>
    </w:p>
    <w:p w14:paraId="5E96AEA6">
      <w:pPr>
        <w:pStyle w:val="16"/>
        <w:tabs>
          <w:tab w:val="right" w:leader="dot" w:pos="9355"/>
          <w:tab w:val="clear" w:pos="9628"/>
        </w:tabs>
        <w:rPr>
          <w:highlight w:val="none"/>
        </w:rPr>
      </w:pPr>
      <w:r>
        <w:rPr>
          <w:highlight w:val="none"/>
        </w:rPr>
        <w:fldChar w:fldCharType="begin"/>
      </w:r>
      <w:r>
        <w:rPr>
          <w:highlight w:val="none"/>
        </w:rPr>
        <w:instrText xml:space="preserve"> HYPERLINK \l "_Toc20037" </w:instrText>
      </w:r>
      <w:r>
        <w:rPr>
          <w:highlight w:val="none"/>
        </w:rPr>
        <w:fldChar w:fldCharType="separate"/>
      </w:r>
      <w:r>
        <w:rPr>
          <w:rFonts w:hint="eastAsia" w:ascii="宋体" w:hAnsi="宋体" w:cs="宋体"/>
          <w:highlight w:val="none"/>
        </w:rPr>
        <w:t>第三部分 技术部分</w:t>
      </w:r>
      <w:r>
        <w:rPr>
          <w:highlight w:val="none"/>
        </w:rPr>
        <w:tab/>
      </w:r>
      <w:r>
        <w:rPr>
          <w:highlight w:val="none"/>
        </w:rPr>
        <w:fldChar w:fldCharType="begin"/>
      </w:r>
      <w:r>
        <w:rPr>
          <w:highlight w:val="none"/>
        </w:rPr>
        <w:instrText xml:space="preserve"> PAGEREF _Toc20037 \h </w:instrText>
      </w:r>
      <w:r>
        <w:rPr>
          <w:highlight w:val="none"/>
        </w:rPr>
        <w:fldChar w:fldCharType="separate"/>
      </w:r>
      <w:r>
        <w:rPr>
          <w:highlight w:val="none"/>
        </w:rPr>
        <w:t>83</w:t>
      </w:r>
      <w:r>
        <w:rPr>
          <w:highlight w:val="none"/>
        </w:rPr>
        <w:fldChar w:fldCharType="end"/>
      </w:r>
      <w:r>
        <w:rPr>
          <w:highlight w:val="none"/>
        </w:rPr>
        <w:fldChar w:fldCharType="end"/>
      </w:r>
    </w:p>
    <w:p w14:paraId="35D4AC0A">
      <w:pPr>
        <w:pStyle w:val="16"/>
        <w:tabs>
          <w:tab w:val="right" w:leader="dot" w:pos="9355"/>
          <w:tab w:val="clear" w:pos="9628"/>
        </w:tabs>
        <w:rPr>
          <w:highlight w:val="none"/>
        </w:rPr>
      </w:pPr>
      <w:r>
        <w:rPr>
          <w:highlight w:val="none"/>
        </w:rPr>
        <w:fldChar w:fldCharType="begin"/>
      </w:r>
      <w:r>
        <w:rPr>
          <w:highlight w:val="none"/>
        </w:rPr>
        <w:instrText xml:space="preserve"> HYPERLINK \l "_Toc22274" </w:instrText>
      </w:r>
      <w:r>
        <w:rPr>
          <w:highlight w:val="none"/>
        </w:rPr>
        <w:fldChar w:fldCharType="separate"/>
      </w:r>
      <w:r>
        <w:rPr>
          <w:rFonts w:hint="eastAsia"/>
          <w:highlight w:val="none"/>
        </w:rPr>
        <w:t>技术条款偏离表</w:t>
      </w:r>
      <w:r>
        <w:rPr>
          <w:highlight w:val="none"/>
        </w:rPr>
        <w:tab/>
      </w:r>
      <w:r>
        <w:rPr>
          <w:highlight w:val="none"/>
        </w:rPr>
        <w:fldChar w:fldCharType="begin"/>
      </w:r>
      <w:r>
        <w:rPr>
          <w:highlight w:val="none"/>
        </w:rPr>
        <w:instrText xml:space="preserve"> PAGEREF _Toc22274 \h </w:instrText>
      </w:r>
      <w:r>
        <w:rPr>
          <w:highlight w:val="none"/>
        </w:rPr>
        <w:fldChar w:fldCharType="separate"/>
      </w:r>
      <w:r>
        <w:rPr>
          <w:highlight w:val="none"/>
        </w:rPr>
        <w:t>83</w:t>
      </w:r>
      <w:r>
        <w:rPr>
          <w:highlight w:val="none"/>
        </w:rPr>
        <w:fldChar w:fldCharType="end"/>
      </w:r>
      <w:r>
        <w:rPr>
          <w:highlight w:val="none"/>
        </w:rPr>
        <w:fldChar w:fldCharType="end"/>
      </w:r>
    </w:p>
    <w:p w14:paraId="1710022E">
      <w:pPr>
        <w:pStyle w:val="16"/>
        <w:tabs>
          <w:tab w:val="right" w:leader="dot" w:pos="9355"/>
          <w:tab w:val="clear" w:pos="9628"/>
        </w:tabs>
        <w:rPr>
          <w:highlight w:val="none"/>
        </w:rPr>
      </w:pPr>
      <w:r>
        <w:rPr>
          <w:highlight w:val="none"/>
        </w:rPr>
        <w:fldChar w:fldCharType="begin"/>
      </w:r>
      <w:r>
        <w:rPr>
          <w:highlight w:val="none"/>
        </w:rPr>
        <w:instrText xml:space="preserve"> HYPERLINK \l "_Toc22574" </w:instrText>
      </w:r>
      <w:r>
        <w:rPr>
          <w:highlight w:val="none"/>
        </w:rPr>
        <w:fldChar w:fldCharType="separate"/>
      </w:r>
      <w:r>
        <w:rPr>
          <w:rFonts w:hint="eastAsia"/>
          <w:highlight w:val="none"/>
        </w:rPr>
        <w:t>商务条款偏离表</w:t>
      </w:r>
      <w:r>
        <w:rPr>
          <w:highlight w:val="none"/>
        </w:rPr>
        <w:tab/>
      </w:r>
      <w:r>
        <w:rPr>
          <w:highlight w:val="none"/>
        </w:rPr>
        <w:fldChar w:fldCharType="begin"/>
      </w:r>
      <w:r>
        <w:rPr>
          <w:highlight w:val="none"/>
        </w:rPr>
        <w:instrText xml:space="preserve"> PAGEREF _Toc22574 \h </w:instrText>
      </w:r>
      <w:r>
        <w:rPr>
          <w:highlight w:val="none"/>
        </w:rPr>
        <w:fldChar w:fldCharType="separate"/>
      </w:r>
      <w:r>
        <w:rPr>
          <w:highlight w:val="none"/>
        </w:rPr>
        <w:t>84</w:t>
      </w:r>
      <w:r>
        <w:rPr>
          <w:highlight w:val="none"/>
        </w:rPr>
        <w:fldChar w:fldCharType="end"/>
      </w:r>
      <w:r>
        <w:rPr>
          <w:highlight w:val="none"/>
        </w:rPr>
        <w:fldChar w:fldCharType="end"/>
      </w:r>
    </w:p>
    <w:p w14:paraId="69D1B316">
      <w:pPr>
        <w:pStyle w:val="16"/>
        <w:tabs>
          <w:tab w:val="right" w:leader="dot" w:pos="9355"/>
          <w:tab w:val="clear" w:pos="9628"/>
        </w:tabs>
        <w:rPr>
          <w:highlight w:val="none"/>
        </w:rPr>
      </w:pPr>
      <w:r>
        <w:rPr>
          <w:highlight w:val="none"/>
        </w:rPr>
        <w:fldChar w:fldCharType="begin"/>
      </w:r>
      <w:r>
        <w:rPr>
          <w:highlight w:val="none"/>
        </w:rPr>
        <w:instrText xml:space="preserve"> HYPERLINK \l "_Toc24114" </w:instrText>
      </w:r>
      <w:r>
        <w:rPr>
          <w:highlight w:val="none"/>
        </w:rPr>
        <w:fldChar w:fldCharType="separate"/>
      </w:r>
      <w:r>
        <w:rPr>
          <w:rFonts w:hint="eastAsia"/>
          <w:highlight w:val="none"/>
        </w:rPr>
        <w:t>技术方案</w:t>
      </w:r>
      <w:r>
        <w:rPr>
          <w:highlight w:val="none"/>
        </w:rPr>
        <w:tab/>
      </w:r>
      <w:r>
        <w:rPr>
          <w:highlight w:val="none"/>
        </w:rPr>
        <w:fldChar w:fldCharType="begin"/>
      </w:r>
      <w:r>
        <w:rPr>
          <w:highlight w:val="none"/>
        </w:rPr>
        <w:instrText xml:space="preserve"> PAGEREF _Toc24114 \h </w:instrText>
      </w:r>
      <w:r>
        <w:rPr>
          <w:highlight w:val="none"/>
        </w:rPr>
        <w:fldChar w:fldCharType="separate"/>
      </w:r>
      <w:r>
        <w:rPr>
          <w:highlight w:val="none"/>
        </w:rPr>
        <w:t>87</w:t>
      </w:r>
      <w:r>
        <w:rPr>
          <w:highlight w:val="none"/>
        </w:rPr>
        <w:fldChar w:fldCharType="end"/>
      </w:r>
      <w:r>
        <w:rPr>
          <w:highlight w:val="none"/>
        </w:rPr>
        <w:fldChar w:fldCharType="end"/>
      </w:r>
    </w:p>
    <w:p w14:paraId="52B7D501">
      <w:pPr>
        <w:pStyle w:val="16"/>
        <w:tabs>
          <w:tab w:val="right" w:leader="dot" w:pos="9355"/>
          <w:tab w:val="clear" w:pos="9628"/>
        </w:tabs>
        <w:rPr>
          <w:highlight w:val="none"/>
        </w:rPr>
      </w:pPr>
      <w:r>
        <w:rPr>
          <w:highlight w:val="none"/>
        </w:rPr>
        <w:fldChar w:fldCharType="begin"/>
      </w:r>
      <w:r>
        <w:rPr>
          <w:highlight w:val="none"/>
        </w:rPr>
        <w:instrText xml:space="preserve"> HYPERLINK \l "_Toc23681" </w:instrText>
      </w:r>
      <w:r>
        <w:rPr>
          <w:highlight w:val="none"/>
        </w:rPr>
        <w:fldChar w:fldCharType="separate"/>
      </w:r>
      <w:r>
        <w:rPr>
          <w:rFonts w:hint="eastAsia" w:ascii="宋体" w:hAnsi="宋体" w:cs="宋体"/>
          <w:highlight w:val="none"/>
        </w:rPr>
        <w:t>第四部分 商务部分</w:t>
      </w:r>
      <w:r>
        <w:rPr>
          <w:highlight w:val="none"/>
        </w:rPr>
        <w:tab/>
      </w:r>
      <w:r>
        <w:rPr>
          <w:highlight w:val="none"/>
        </w:rPr>
        <w:fldChar w:fldCharType="begin"/>
      </w:r>
      <w:r>
        <w:rPr>
          <w:highlight w:val="none"/>
        </w:rPr>
        <w:instrText xml:space="preserve"> PAGEREF _Toc23681 \h </w:instrText>
      </w:r>
      <w:r>
        <w:rPr>
          <w:highlight w:val="none"/>
        </w:rPr>
        <w:fldChar w:fldCharType="separate"/>
      </w:r>
      <w:r>
        <w:rPr>
          <w:highlight w:val="none"/>
        </w:rPr>
        <w:t>88</w:t>
      </w:r>
      <w:r>
        <w:rPr>
          <w:highlight w:val="none"/>
        </w:rPr>
        <w:fldChar w:fldCharType="end"/>
      </w:r>
      <w:r>
        <w:rPr>
          <w:highlight w:val="none"/>
        </w:rPr>
        <w:fldChar w:fldCharType="end"/>
      </w:r>
    </w:p>
    <w:p w14:paraId="1B7ADEEB">
      <w:pPr>
        <w:pStyle w:val="16"/>
        <w:tabs>
          <w:tab w:val="right" w:leader="dot" w:pos="9355"/>
          <w:tab w:val="clear" w:pos="9628"/>
        </w:tabs>
        <w:rPr>
          <w:highlight w:val="none"/>
        </w:rPr>
      </w:pPr>
      <w:r>
        <w:rPr>
          <w:highlight w:val="none"/>
        </w:rPr>
        <w:fldChar w:fldCharType="begin"/>
      </w:r>
      <w:r>
        <w:rPr>
          <w:highlight w:val="none"/>
        </w:rPr>
        <w:instrText xml:space="preserve"> HYPERLINK \l "_Toc27054" </w:instrText>
      </w:r>
      <w:r>
        <w:rPr>
          <w:highlight w:val="none"/>
        </w:rPr>
        <w:fldChar w:fldCharType="separate"/>
      </w:r>
      <w:r>
        <w:rPr>
          <w:rFonts w:hint="eastAsia" w:ascii="宋体" w:hAnsi="宋体" w:cs="宋体"/>
          <w:szCs w:val="28"/>
          <w:highlight w:val="none"/>
        </w:rPr>
        <w:t>1、拟投入本项目的人员情况（格式）</w:t>
      </w:r>
      <w:r>
        <w:rPr>
          <w:highlight w:val="none"/>
        </w:rPr>
        <w:tab/>
      </w:r>
      <w:r>
        <w:rPr>
          <w:highlight w:val="none"/>
        </w:rPr>
        <w:fldChar w:fldCharType="begin"/>
      </w:r>
      <w:r>
        <w:rPr>
          <w:highlight w:val="none"/>
        </w:rPr>
        <w:instrText xml:space="preserve"> PAGEREF _Toc27054 \h </w:instrText>
      </w:r>
      <w:r>
        <w:rPr>
          <w:highlight w:val="none"/>
        </w:rPr>
        <w:fldChar w:fldCharType="separate"/>
      </w:r>
      <w:r>
        <w:rPr>
          <w:highlight w:val="none"/>
        </w:rPr>
        <w:t>88</w:t>
      </w:r>
      <w:r>
        <w:rPr>
          <w:highlight w:val="none"/>
        </w:rPr>
        <w:fldChar w:fldCharType="end"/>
      </w:r>
      <w:r>
        <w:rPr>
          <w:highlight w:val="none"/>
        </w:rPr>
        <w:fldChar w:fldCharType="end"/>
      </w:r>
    </w:p>
    <w:p w14:paraId="71E155DD">
      <w:pPr>
        <w:pStyle w:val="16"/>
        <w:tabs>
          <w:tab w:val="right" w:leader="dot" w:pos="9355"/>
          <w:tab w:val="clear" w:pos="9628"/>
        </w:tabs>
        <w:rPr>
          <w:highlight w:val="none"/>
        </w:rPr>
      </w:pPr>
      <w:r>
        <w:rPr>
          <w:highlight w:val="none"/>
        </w:rPr>
        <w:fldChar w:fldCharType="begin"/>
      </w:r>
      <w:r>
        <w:rPr>
          <w:highlight w:val="none"/>
        </w:rPr>
        <w:instrText xml:space="preserve"> HYPERLINK \l "_Toc15944" </w:instrText>
      </w:r>
      <w:r>
        <w:rPr>
          <w:highlight w:val="none"/>
        </w:rPr>
        <w:fldChar w:fldCharType="separate"/>
      </w:r>
      <w:r>
        <w:rPr>
          <w:rFonts w:hint="eastAsia" w:ascii="宋体" w:hAnsi="宋体" w:cs="宋体"/>
          <w:szCs w:val="28"/>
          <w:highlight w:val="none"/>
        </w:rPr>
        <w:t>2、2022年1月1日至今类似业绩（如有）</w:t>
      </w:r>
      <w:r>
        <w:rPr>
          <w:highlight w:val="none"/>
        </w:rPr>
        <w:tab/>
      </w:r>
      <w:r>
        <w:rPr>
          <w:highlight w:val="none"/>
        </w:rPr>
        <w:fldChar w:fldCharType="begin"/>
      </w:r>
      <w:r>
        <w:rPr>
          <w:highlight w:val="none"/>
        </w:rPr>
        <w:instrText xml:space="preserve"> PAGEREF _Toc15944 \h </w:instrText>
      </w:r>
      <w:r>
        <w:rPr>
          <w:highlight w:val="none"/>
        </w:rPr>
        <w:fldChar w:fldCharType="separate"/>
      </w:r>
      <w:r>
        <w:rPr>
          <w:highlight w:val="none"/>
        </w:rPr>
        <w:t>89</w:t>
      </w:r>
      <w:r>
        <w:rPr>
          <w:highlight w:val="none"/>
        </w:rPr>
        <w:fldChar w:fldCharType="end"/>
      </w:r>
      <w:r>
        <w:rPr>
          <w:highlight w:val="none"/>
        </w:rPr>
        <w:fldChar w:fldCharType="end"/>
      </w:r>
    </w:p>
    <w:p w14:paraId="6481603F">
      <w:pPr>
        <w:pStyle w:val="16"/>
        <w:tabs>
          <w:tab w:val="right" w:leader="dot" w:pos="9355"/>
          <w:tab w:val="clear" w:pos="9628"/>
        </w:tabs>
        <w:rPr>
          <w:highlight w:val="none"/>
        </w:rPr>
      </w:pPr>
      <w:r>
        <w:rPr>
          <w:highlight w:val="none"/>
        </w:rPr>
        <w:fldChar w:fldCharType="begin"/>
      </w:r>
      <w:r>
        <w:rPr>
          <w:highlight w:val="none"/>
        </w:rPr>
        <w:instrText xml:space="preserve"> HYPERLINK \l "_Toc20167" </w:instrText>
      </w:r>
      <w:r>
        <w:rPr>
          <w:highlight w:val="none"/>
        </w:rPr>
        <w:fldChar w:fldCharType="separate"/>
      </w:r>
      <w:r>
        <w:rPr>
          <w:rFonts w:hint="eastAsia" w:ascii="宋体" w:hAnsi="宋体" w:cs="宋体"/>
          <w:highlight w:val="none"/>
        </w:rPr>
        <w:t>第五部分 其他资料</w:t>
      </w:r>
      <w:r>
        <w:rPr>
          <w:highlight w:val="none"/>
        </w:rPr>
        <w:tab/>
      </w:r>
      <w:r>
        <w:rPr>
          <w:highlight w:val="none"/>
        </w:rPr>
        <w:fldChar w:fldCharType="begin"/>
      </w:r>
      <w:r>
        <w:rPr>
          <w:highlight w:val="none"/>
        </w:rPr>
        <w:instrText xml:space="preserve"> PAGEREF _Toc20167 \h </w:instrText>
      </w:r>
      <w:r>
        <w:rPr>
          <w:highlight w:val="none"/>
        </w:rPr>
        <w:fldChar w:fldCharType="separate"/>
      </w:r>
      <w:r>
        <w:rPr>
          <w:highlight w:val="none"/>
        </w:rPr>
        <w:t>90</w:t>
      </w:r>
      <w:r>
        <w:rPr>
          <w:highlight w:val="none"/>
        </w:rPr>
        <w:fldChar w:fldCharType="end"/>
      </w:r>
      <w:r>
        <w:rPr>
          <w:highlight w:val="none"/>
        </w:rPr>
        <w:fldChar w:fldCharType="end"/>
      </w:r>
    </w:p>
    <w:p w14:paraId="27A56081">
      <w:pPr>
        <w:pStyle w:val="16"/>
        <w:tabs>
          <w:tab w:val="right" w:leader="dot" w:pos="9355"/>
          <w:tab w:val="clear" w:pos="9628"/>
        </w:tabs>
        <w:rPr>
          <w:highlight w:val="none"/>
        </w:rPr>
      </w:pPr>
      <w:r>
        <w:rPr>
          <w:highlight w:val="none"/>
        </w:rPr>
        <w:fldChar w:fldCharType="begin"/>
      </w:r>
      <w:r>
        <w:rPr>
          <w:highlight w:val="none"/>
        </w:rPr>
        <w:instrText xml:space="preserve"> HYPERLINK \l "_Toc10836" </w:instrText>
      </w:r>
      <w:r>
        <w:rPr>
          <w:highlight w:val="none"/>
        </w:rPr>
        <w:fldChar w:fldCharType="separate"/>
      </w:r>
      <w:r>
        <w:rPr>
          <w:rFonts w:hint="eastAsia" w:ascii="宋体" w:hAnsi="宋体" w:cs="宋体"/>
          <w:szCs w:val="28"/>
          <w:highlight w:val="none"/>
        </w:rPr>
        <w:t>1、承诺书（格式）</w:t>
      </w:r>
      <w:r>
        <w:rPr>
          <w:highlight w:val="none"/>
        </w:rPr>
        <w:tab/>
      </w:r>
      <w:r>
        <w:rPr>
          <w:highlight w:val="none"/>
        </w:rPr>
        <w:fldChar w:fldCharType="begin"/>
      </w:r>
      <w:r>
        <w:rPr>
          <w:highlight w:val="none"/>
        </w:rPr>
        <w:instrText xml:space="preserve"> PAGEREF _Toc10836 \h </w:instrText>
      </w:r>
      <w:r>
        <w:rPr>
          <w:highlight w:val="none"/>
        </w:rPr>
        <w:fldChar w:fldCharType="separate"/>
      </w:r>
      <w:r>
        <w:rPr>
          <w:highlight w:val="none"/>
        </w:rPr>
        <w:t>90</w:t>
      </w:r>
      <w:r>
        <w:rPr>
          <w:highlight w:val="none"/>
        </w:rPr>
        <w:fldChar w:fldCharType="end"/>
      </w:r>
      <w:r>
        <w:rPr>
          <w:highlight w:val="none"/>
        </w:rPr>
        <w:fldChar w:fldCharType="end"/>
      </w:r>
    </w:p>
    <w:p w14:paraId="73A5D948">
      <w:pPr>
        <w:pStyle w:val="16"/>
        <w:tabs>
          <w:tab w:val="right" w:leader="dot" w:pos="9355"/>
          <w:tab w:val="clear" w:pos="9628"/>
        </w:tabs>
        <w:rPr>
          <w:highlight w:val="none"/>
        </w:rPr>
      </w:pPr>
      <w:r>
        <w:rPr>
          <w:highlight w:val="none"/>
        </w:rPr>
        <w:fldChar w:fldCharType="begin"/>
      </w:r>
      <w:r>
        <w:rPr>
          <w:highlight w:val="none"/>
        </w:rPr>
        <w:instrText xml:space="preserve"> HYPERLINK \l "_Toc2242" </w:instrText>
      </w:r>
      <w:r>
        <w:rPr>
          <w:highlight w:val="none"/>
        </w:rPr>
        <w:fldChar w:fldCharType="separate"/>
      </w:r>
      <w:r>
        <w:rPr>
          <w:rFonts w:hint="eastAsia" w:ascii="宋体" w:hAnsi="宋体" w:cs="宋体"/>
          <w:szCs w:val="28"/>
          <w:highlight w:val="none"/>
        </w:rPr>
        <w:t>2、待解决的诉讼（格式）</w:t>
      </w:r>
      <w:r>
        <w:rPr>
          <w:highlight w:val="none"/>
        </w:rPr>
        <w:tab/>
      </w:r>
      <w:r>
        <w:rPr>
          <w:highlight w:val="none"/>
        </w:rPr>
        <w:fldChar w:fldCharType="begin"/>
      </w:r>
      <w:r>
        <w:rPr>
          <w:highlight w:val="none"/>
        </w:rPr>
        <w:instrText xml:space="preserve"> PAGEREF _Toc2242 \h </w:instrText>
      </w:r>
      <w:r>
        <w:rPr>
          <w:highlight w:val="none"/>
        </w:rPr>
        <w:fldChar w:fldCharType="separate"/>
      </w:r>
      <w:r>
        <w:rPr>
          <w:highlight w:val="none"/>
        </w:rPr>
        <w:t>91</w:t>
      </w:r>
      <w:r>
        <w:rPr>
          <w:highlight w:val="none"/>
        </w:rPr>
        <w:fldChar w:fldCharType="end"/>
      </w:r>
      <w:r>
        <w:rPr>
          <w:highlight w:val="none"/>
        </w:rPr>
        <w:fldChar w:fldCharType="end"/>
      </w:r>
    </w:p>
    <w:p w14:paraId="26A74E87">
      <w:pPr>
        <w:pStyle w:val="16"/>
        <w:tabs>
          <w:tab w:val="right" w:leader="dot" w:pos="9355"/>
          <w:tab w:val="clear" w:pos="9628"/>
        </w:tabs>
        <w:rPr>
          <w:highlight w:val="none"/>
        </w:rPr>
      </w:pPr>
      <w:r>
        <w:rPr>
          <w:highlight w:val="none"/>
        </w:rPr>
        <w:fldChar w:fldCharType="begin"/>
      </w:r>
      <w:r>
        <w:rPr>
          <w:highlight w:val="none"/>
        </w:rPr>
        <w:instrText xml:space="preserve"> HYPERLINK \l "_Toc4515" </w:instrText>
      </w:r>
      <w:r>
        <w:rPr>
          <w:highlight w:val="none"/>
        </w:rPr>
        <w:fldChar w:fldCharType="separate"/>
      </w:r>
      <w:r>
        <w:rPr>
          <w:rFonts w:hint="eastAsia" w:ascii="宋体" w:hAnsi="宋体" w:cs="宋体"/>
          <w:szCs w:val="28"/>
          <w:highlight w:val="none"/>
        </w:rPr>
        <w:t>3、投标人未处于被责令停业，财产被接管、冻结破产状态承诺书（格式）</w:t>
      </w:r>
      <w:r>
        <w:rPr>
          <w:highlight w:val="none"/>
        </w:rPr>
        <w:tab/>
      </w:r>
      <w:r>
        <w:rPr>
          <w:highlight w:val="none"/>
        </w:rPr>
        <w:fldChar w:fldCharType="begin"/>
      </w:r>
      <w:r>
        <w:rPr>
          <w:highlight w:val="none"/>
        </w:rPr>
        <w:instrText xml:space="preserve"> PAGEREF _Toc4515 \h </w:instrText>
      </w:r>
      <w:r>
        <w:rPr>
          <w:highlight w:val="none"/>
        </w:rPr>
        <w:fldChar w:fldCharType="separate"/>
      </w:r>
      <w:r>
        <w:rPr>
          <w:highlight w:val="none"/>
        </w:rPr>
        <w:t>92</w:t>
      </w:r>
      <w:r>
        <w:rPr>
          <w:highlight w:val="none"/>
        </w:rPr>
        <w:fldChar w:fldCharType="end"/>
      </w:r>
      <w:r>
        <w:rPr>
          <w:highlight w:val="none"/>
        </w:rPr>
        <w:fldChar w:fldCharType="end"/>
      </w:r>
    </w:p>
    <w:p w14:paraId="6A610C65">
      <w:pPr>
        <w:pStyle w:val="16"/>
        <w:tabs>
          <w:tab w:val="right" w:leader="dot" w:pos="9355"/>
          <w:tab w:val="clear" w:pos="9628"/>
        </w:tabs>
        <w:rPr>
          <w:highlight w:val="none"/>
        </w:rPr>
      </w:pPr>
      <w:r>
        <w:rPr>
          <w:highlight w:val="none"/>
        </w:rPr>
        <w:fldChar w:fldCharType="begin"/>
      </w:r>
      <w:r>
        <w:rPr>
          <w:highlight w:val="none"/>
        </w:rPr>
        <w:instrText xml:space="preserve"> HYPERLINK \l "_Toc25648" </w:instrText>
      </w:r>
      <w:r>
        <w:rPr>
          <w:highlight w:val="none"/>
        </w:rPr>
        <w:fldChar w:fldCharType="separate"/>
      </w:r>
      <w:r>
        <w:rPr>
          <w:rFonts w:hint="eastAsia" w:ascii="宋体" w:hAnsi="宋体" w:cs="宋体"/>
          <w:highlight w:val="none"/>
        </w:rPr>
        <w:t>4、投标人认为所需要的其他材料</w:t>
      </w:r>
      <w:r>
        <w:rPr>
          <w:highlight w:val="none"/>
        </w:rPr>
        <w:tab/>
      </w:r>
      <w:r>
        <w:rPr>
          <w:highlight w:val="none"/>
        </w:rPr>
        <w:fldChar w:fldCharType="begin"/>
      </w:r>
      <w:r>
        <w:rPr>
          <w:highlight w:val="none"/>
        </w:rPr>
        <w:instrText xml:space="preserve"> PAGEREF _Toc25648 \h </w:instrText>
      </w:r>
      <w:r>
        <w:rPr>
          <w:highlight w:val="none"/>
        </w:rPr>
        <w:fldChar w:fldCharType="separate"/>
      </w:r>
      <w:r>
        <w:rPr>
          <w:highlight w:val="none"/>
        </w:rPr>
        <w:t>93</w:t>
      </w:r>
      <w:r>
        <w:rPr>
          <w:highlight w:val="none"/>
        </w:rPr>
        <w:fldChar w:fldCharType="end"/>
      </w:r>
      <w:r>
        <w:rPr>
          <w:highlight w:val="none"/>
        </w:rPr>
        <w:fldChar w:fldCharType="end"/>
      </w:r>
    </w:p>
    <w:p w14:paraId="0D5894E1">
      <w:pPr>
        <w:pStyle w:val="21"/>
        <w:tabs>
          <w:tab w:val="right" w:leader="dot" w:pos="9355"/>
        </w:tabs>
        <w:rPr>
          <w:highlight w:val="none"/>
        </w:rPr>
      </w:pPr>
      <w:r>
        <w:rPr>
          <w:highlight w:val="none"/>
        </w:rPr>
        <w:fldChar w:fldCharType="begin"/>
      </w:r>
      <w:r>
        <w:rPr>
          <w:highlight w:val="none"/>
        </w:rPr>
        <w:instrText xml:space="preserve"> HYPERLINK \l "_Toc22507" </w:instrText>
      </w:r>
      <w:r>
        <w:rPr>
          <w:highlight w:val="none"/>
        </w:rPr>
        <w:fldChar w:fldCharType="separate"/>
      </w:r>
      <w:r>
        <w:rPr>
          <w:rFonts w:ascii="宋体" w:hAnsi="宋体" w:cs="宋体"/>
          <w:w w:val="90"/>
          <w:highlight w:val="none"/>
        </w:rPr>
        <w:t xml:space="preserve">第七章 </w:t>
      </w:r>
      <w:r>
        <w:rPr>
          <w:rFonts w:hint="eastAsia" w:ascii="宋体" w:hAnsi="宋体" w:cs="宋体"/>
          <w:w w:val="90"/>
          <w:highlight w:val="none"/>
        </w:rPr>
        <w:t>评标办法</w:t>
      </w:r>
      <w:r>
        <w:rPr>
          <w:highlight w:val="none"/>
        </w:rPr>
        <w:tab/>
      </w:r>
      <w:r>
        <w:rPr>
          <w:highlight w:val="none"/>
        </w:rPr>
        <w:fldChar w:fldCharType="begin"/>
      </w:r>
      <w:r>
        <w:rPr>
          <w:highlight w:val="none"/>
        </w:rPr>
        <w:instrText xml:space="preserve"> PAGEREF _Toc22507 \h </w:instrText>
      </w:r>
      <w:r>
        <w:rPr>
          <w:highlight w:val="none"/>
        </w:rPr>
        <w:fldChar w:fldCharType="separate"/>
      </w:r>
      <w:r>
        <w:rPr>
          <w:highlight w:val="none"/>
        </w:rPr>
        <w:t>94</w:t>
      </w:r>
      <w:r>
        <w:rPr>
          <w:highlight w:val="none"/>
        </w:rPr>
        <w:fldChar w:fldCharType="end"/>
      </w:r>
      <w:r>
        <w:rPr>
          <w:highlight w:val="none"/>
        </w:rPr>
        <w:fldChar w:fldCharType="end"/>
      </w:r>
    </w:p>
    <w:p w14:paraId="75CE3951">
      <w:pPr>
        <w:pStyle w:val="21"/>
        <w:tabs>
          <w:tab w:val="right" w:leader="dot" w:pos="9355"/>
        </w:tabs>
        <w:rPr>
          <w:highlight w:val="none"/>
        </w:rPr>
      </w:pPr>
      <w:r>
        <w:rPr>
          <w:highlight w:val="none"/>
        </w:rPr>
        <w:fldChar w:fldCharType="begin"/>
      </w:r>
      <w:r>
        <w:rPr>
          <w:highlight w:val="none"/>
        </w:rPr>
        <w:instrText xml:space="preserve"> HYPERLINK \l "_Toc25034" </w:instrText>
      </w:r>
      <w:r>
        <w:rPr>
          <w:highlight w:val="none"/>
        </w:rPr>
        <w:fldChar w:fldCharType="separate"/>
      </w:r>
      <w:r>
        <w:rPr>
          <w:rFonts w:hint="eastAsia" w:ascii="宋体" w:hAnsi="宋体" w:cs="宋体"/>
          <w:kern w:val="0"/>
          <w:szCs w:val="32"/>
          <w:highlight w:val="none"/>
        </w:rPr>
        <w:t>资格审查表</w:t>
      </w:r>
      <w:r>
        <w:rPr>
          <w:highlight w:val="none"/>
        </w:rPr>
        <w:tab/>
      </w:r>
      <w:r>
        <w:rPr>
          <w:highlight w:val="none"/>
        </w:rPr>
        <w:fldChar w:fldCharType="begin"/>
      </w:r>
      <w:r>
        <w:rPr>
          <w:highlight w:val="none"/>
        </w:rPr>
        <w:instrText xml:space="preserve"> PAGEREF _Toc25034 \h </w:instrText>
      </w:r>
      <w:r>
        <w:rPr>
          <w:highlight w:val="none"/>
        </w:rPr>
        <w:fldChar w:fldCharType="separate"/>
      </w:r>
      <w:r>
        <w:rPr>
          <w:highlight w:val="none"/>
        </w:rPr>
        <w:t>97</w:t>
      </w:r>
      <w:r>
        <w:rPr>
          <w:highlight w:val="none"/>
        </w:rPr>
        <w:fldChar w:fldCharType="end"/>
      </w:r>
      <w:r>
        <w:rPr>
          <w:highlight w:val="none"/>
        </w:rPr>
        <w:fldChar w:fldCharType="end"/>
      </w:r>
    </w:p>
    <w:p w14:paraId="0D7ADD46">
      <w:pPr>
        <w:pStyle w:val="21"/>
        <w:tabs>
          <w:tab w:val="right" w:leader="dot" w:pos="9355"/>
        </w:tabs>
        <w:rPr>
          <w:highlight w:val="none"/>
        </w:rPr>
      </w:pPr>
      <w:r>
        <w:rPr>
          <w:highlight w:val="none"/>
        </w:rPr>
        <w:fldChar w:fldCharType="begin"/>
      </w:r>
      <w:r>
        <w:rPr>
          <w:highlight w:val="none"/>
        </w:rPr>
        <w:instrText xml:space="preserve"> HYPERLINK \l "_Toc24429" </w:instrText>
      </w:r>
      <w:r>
        <w:rPr>
          <w:highlight w:val="none"/>
        </w:rPr>
        <w:fldChar w:fldCharType="separate"/>
      </w:r>
      <w:r>
        <w:rPr>
          <w:rFonts w:hint="eastAsia" w:ascii="宋体" w:hAnsi="宋体" w:cs="宋体"/>
          <w:kern w:val="0"/>
          <w:szCs w:val="32"/>
          <w:highlight w:val="none"/>
        </w:rPr>
        <w:t>符合性审查表</w:t>
      </w:r>
      <w:r>
        <w:rPr>
          <w:highlight w:val="none"/>
        </w:rPr>
        <w:tab/>
      </w:r>
      <w:r>
        <w:rPr>
          <w:highlight w:val="none"/>
        </w:rPr>
        <w:fldChar w:fldCharType="begin"/>
      </w:r>
      <w:r>
        <w:rPr>
          <w:highlight w:val="none"/>
        </w:rPr>
        <w:instrText xml:space="preserve"> PAGEREF _Toc24429 \h </w:instrText>
      </w:r>
      <w:r>
        <w:rPr>
          <w:highlight w:val="none"/>
        </w:rPr>
        <w:fldChar w:fldCharType="separate"/>
      </w:r>
      <w:r>
        <w:rPr>
          <w:highlight w:val="none"/>
        </w:rPr>
        <w:t>98</w:t>
      </w:r>
      <w:r>
        <w:rPr>
          <w:highlight w:val="none"/>
        </w:rPr>
        <w:fldChar w:fldCharType="end"/>
      </w:r>
      <w:r>
        <w:rPr>
          <w:highlight w:val="none"/>
        </w:rPr>
        <w:fldChar w:fldCharType="end"/>
      </w:r>
    </w:p>
    <w:p w14:paraId="2EE731B8">
      <w:pPr>
        <w:tabs>
          <w:tab w:val="right" w:leader="dot" w:pos="9628"/>
        </w:tabs>
        <w:snapToGrid w:val="0"/>
        <w:spacing w:line="360" w:lineRule="auto"/>
        <w:rPr>
          <w:rFonts w:ascii="宋体" w:hAnsi="宋体" w:cs="宋体"/>
          <w:sz w:val="30"/>
          <w:highlight w:val="none"/>
        </w:rPr>
        <w:sectPr>
          <w:headerReference r:id="rId5" w:type="first"/>
          <w:footerReference r:id="rId7" w:type="first"/>
          <w:footerReference r:id="rId6" w:type="default"/>
          <w:pgSz w:w="11906" w:h="16838"/>
          <w:pgMar w:top="1134" w:right="1133" w:bottom="1134" w:left="1418" w:header="454" w:footer="454" w:gutter="0"/>
          <w:pgNumType w:start="1"/>
          <w:cols w:space="720" w:num="1"/>
          <w:titlePg/>
          <w:docGrid w:type="lines" w:linePitch="312" w:charSpace="0"/>
        </w:sectPr>
      </w:pPr>
      <w:r>
        <w:rPr>
          <w:rFonts w:hint="eastAsia" w:ascii="宋体" w:hAnsi="宋体" w:cs="宋体"/>
          <w:szCs w:val="28"/>
          <w:highlight w:val="none"/>
        </w:rPr>
        <w:fldChar w:fldCharType="end"/>
      </w:r>
    </w:p>
    <w:p w14:paraId="7EE927D5">
      <w:pPr>
        <w:spacing w:line="360" w:lineRule="auto"/>
        <w:rPr>
          <w:rFonts w:ascii="宋体" w:hAnsi="宋体" w:cs="宋体"/>
          <w:highlight w:val="none"/>
        </w:rPr>
      </w:pPr>
    </w:p>
    <w:p w14:paraId="38356442">
      <w:pPr>
        <w:spacing w:line="360" w:lineRule="auto"/>
        <w:rPr>
          <w:rFonts w:ascii="宋体" w:hAnsi="宋体" w:cs="宋体"/>
          <w:sz w:val="24"/>
          <w:szCs w:val="24"/>
          <w:highlight w:val="none"/>
        </w:rPr>
      </w:pPr>
    </w:p>
    <w:p w14:paraId="5702DD39">
      <w:pPr>
        <w:spacing w:line="360" w:lineRule="auto"/>
        <w:rPr>
          <w:rFonts w:ascii="宋体" w:hAnsi="宋体" w:cs="宋体"/>
          <w:sz w:val="24"/>
          <w:szCs w:val="24"/>
          <w:highlight w:val="none"/>
        </w:rPr>
      </w:pPr>
    </w:p>
    <w:p w14:paraId="1B79BF90">
      <w:pPr>
        <w:spacing w:line="360" w:lineRule="auto"/>
        <w:rPr>
          <w:rFonts w:ascii="宋体" w:hAnsi="宋体" w:cs="宋体"/>
          <w:sz w:val="24"/>
          <w:szCs w:val="24"/>
          <w:highlight w:val="none"/>
        </w:rPr>
      </w:pPr>
    </w:p>
    <w:p w14:paraId="1C8FB816">
      <w:pPr>
        <w:spacing w:line="360" w:lineRule="auto"/>
        <w:rPr>
          <w:rFonts w:ascii="宋体" w:hAnsi="宋体" w:cs="宋体"/>
          <w:sz w:val="24"/>
          <w:szCs w:val="24"/>
          <w:highlight w:val="none"/>
        </w:rPr>
      </w:pPr>
    </w:p>
    <w:p w14:paraId="2ECF078C">
      <w:pPr>
        <w:spacing w:line="360" w:lineRule="auto"/>
        <w:rPr>
          <w:rFonts w:ascii="宋体" w:hAnsi="宋体" w:cs="宋体"/>
          <w:sz w:val="24"/>
          <w:szCs w:val="24"/>
          <w:highlight w:val="none"/>
        </w:rPr>
      </w:pPr>
    </w:p>
    <w:p w14:paraId="73C060BE">
      <w:pPr>
        <w:spacing w:line="360" w:lineRule="auto"/>
        <w:rPr>
          <w:rFonts w:ascii="宋体" w:hAnsi="宋体" w:cs="宋体"/>
          <w:sz w:val="24"/>
          <w:szCs w:val="24"/>
          <w:highlight w:val="none"/>
        </w:rPr>
      </w:pPr>
    </w:p>
    <w:p w14:paraId="5BE0FAA8">
      <w:pPr>
        <w:spacing w:line="360" w:lineRule="auto"/>
        <w:rPr>
          <w:rFonts w:ascii="宋体" w:hAnsi="宋体" w:cs="宋体"/>
          <w:sz w:val="24"/>
          <w:szCs w:val="24"/>
          <w:highlight w:val="none"/>
        </w:rPr>
      </w:pPr>
    </w:p>
    <w:p w14:paraId="769CBCD3">
      <w:pPr>
        <w:spacing w:line="360" w:lineRule="auto"/>
        <w:rPr>
          <w:rFonts w:ascii="宋体" w:hAnsi="宋体" w:cs="宋体"/>
          <w:sz w:val="24"/>
          <w:szCs w:val="24"/>
          <w:highlight w:val="none"/>
        </w:rPr>
      </w:pPr>
    </w:p>
    <w:p w14:paraId="6AFCE4E9">
      <w:pPr>
        <w:spacing w:line="360" w:lineRule="auto"/>
        <w:rPr>
          <w:rFonts w:ascii="宋体" w:hAnsi="宋体" w:cs="宋体"/>
          <w:sz w:val="24"/>
          <w:szCs w:val="24"/>
          <w:highlight w:val="none"/>
        </w:rPr>
      </w:pPr>
    </w:p>
    <w:p w14:paraId="5AFB0F4C">
      <w:pPr>
        <w:spacing w:line="360" w:lineRule="auto"/>
        <w:rPr>
          <w:rFonts w:ascii="宋体" w:hAnsi="宋体" w:cs="宋体"/>
          <w:sz w:val="24"/>
          <w:szCs w:val="24"/>
          <w:highlight w:val="none"/>
        </w:rPr>
      </w:pPr>
    </w:p>
    <w:p w14:paraId="2FD286BA">
      <w:pPr>
        <w:spacing w:line="360" w:lineRule="auto"/>
        <w:rPr>
          <w:rFonts w:ascii="宋体" w:hAnsi="宋体" w:cs="宋体"/>
          <w:sz w:val="24"/>
          <w:szCs w:val="24"/>
          <w:highlight w:val="none"/>
        </w:rPr>
      </w:pPr>
    </w:p>
    <w:p w14:paraId="3AA1D779">
      <w:pPr>
        <w:spacing w:line="360" w:lineRule="auto"/>
        <w:rPr>
          <w:rFonts w:ascii="宋体" w:hAnsi="宋体" w:cs="宋体"/>
          <w:sz w:val="24"/>
          <w:szCs w:val="24"/>
          <w:highlight w:val="none"/>
        </w:rPr>
      </w:pPr>
    </w:p>
    <w:p w14:paraId="14F9240C">
      <w:pPr>
        <w:spacing w:line="360" w:lineRule="auto"/>
        <w:rPr>
          <w:rFonts w:ascii="宋体" w:hAnsi="宋体" w:cs="宋体"/>
          <w:sz w:val="24"/>
          <w:szCs w:val="24"/>
          <w:highlight w:val="none"/>
        </w:rPr>
      </w:pPr>
    </w:p>
    <w:p w14:paraId="70CA1A18">
      <w:pPr>
        <w:pStyle w:val="3"/>
        <w:numPr>
          <w:ilvl w:val="0"/>
          <w:numId w:val="2"/>
        </w:numPr>
        <w:spacing w:line="360" w:lineRule="auto"/>
        <w:jc w:val="center"/>
        <w:rPr>
          <w:rFonts w:ascii="宋体" w:hAnsi="宋体" w:cs="宋体"/>
          <w:w w:val="90"/>
          <w:highlight w:val="none"/>
        </w:rPr>
      </w:pPr>
      <w:r>
        <w:rPr>
          <w:rFonts w:hint="eastAsia" w:ascii="宋体" w:hAnsi="宋体" w:cs="宋体"/>
          <w:w w:val="90"/>
          <w:highlight w:val="none"/>
        </w:rPr>
        <w:t xml:space="preserve">  </w:t>
      </w:r>
      <w:bookmarkStart w:id="0" w:name="_Toc344394137"/>
      <w:bookmarkStart w:id="1" w:name="_Toc17061"/>
      <w:bookmarkStart w:id="2" w:name="_Toc349568709"/>
      <w:bookmarkStart w:id="3" w:name="_Toc343510551"/>
      <w:bookmarkStart w:id="4" w:name="_Toc349568450"/>
      <w:bookmarkStart w:id="5" w:name="_Toc30943"/>
      <w:bookmarkStart w:id="6" w:name="_Toc350515646"/>
      <w:r>
        <w:rPr>
          <w:rFonts w:hint="eastAsia" w:ascii="宋体" w:hAnsi="宋体" w:cs="宋体"/>
          <w:highlight w:val="none"/>
        </w:rPr>
        <w:t>招标公告</w:t>
      </w:r>
      <w:bookmarkEnd w:id="0"/>
      <w:bookmarkEnd w:id="1"/>
      <w:bookmarkEnd w:id="2"/>
      <w:bookmarkEnd w:id="3"/>
      <w:bookmarkEnd w:id="4"/>
      <w:bookmarkEnd w:id="5"/>
      <w:bookmarkEnd w:id="6"/>
    </w:p>
    <w:p w14:paraId="500D1103">
      <w:pPr>
        <w:spacing w:line="360" w:lineRule="auto"/>
        <w:rPr>
          <w:rFonts w:ascii="宋体" w:hAnsi="宋体" w:cs="宋体"/>
          <w:highlight w:val="none"/>
        </w:rPr>
      </w:pPr>
    </w:p>
    <w:p w14:paraId="59B92F97">
      <w:pPr>
        <w:pStyle w:val="15"/>
        <w:spacing w:line="360" w:lineRule="auto"/>
        <w:jc w:val="center"/>
        <w:rPr>
          <w:rFonts w:ascii="宋体" w:hAnsi="宋体" w:cs="宋体"/>
          <w:b/>
          <w:sz w:val="30"/>
          <w:highlight w:val="none"/>
        </w:rPr>
      </w:pPr>
    </w:p>
    <w:p w14:paraId="5470FAEE">
      <w:pPr>
        <w:spacing w:line="360" w:lineRule="auto"/>
        <w:rPr>
          <w:rFonts w:ascii="宋体" w:hAnsi="宋体" w:cs="宋体"/>
          <w:highlight w:val="none"/>
        </w:rPr>
      </w:pPr>
    </w:p>
    <w:p w14:paraId="2C747E93">
      <w:pPr>
        <w:spacing w:line="360" w:lineRule="auto"/>
        <w:rPr>
          <w:rFonts w:ascii="宋体" w:hAnsi="宋体" w:cs="宋体"/>
          <w:highlight w:val="none"/>
        </w:rPr>
      </w:pPr>
    </w:p>
    <w:p w14:paraId="5B3E595D">
      <w:pPr>
        <w:spacing w:line="360" w:lineRule="auto"/>
        <w:rPr>
          <w:rFonts w:ascii="宋体" w:hAnsi="宋体" w:cs="宋体"/>
          <w:highlight w:val="none"/>
        </w:rPr>
      </w:pPr>
    </w:p>
    <w:p w14:paraId="43C6BD20">
      <w:pPr>
        <w:spacing w:line="360" w:lineRule="auto"/>
        <w:rPr>
          <w:rFonts w:ascii="宋体" w:hAnsi="宋体" w:cs="宋体"/>
          <w:highlight w:val="none"/>
        </w:rPr>
      </w:pPr>
    </w:p>
    <w:p w14:paraId="213F6D28">
      <w:pPr>
        <w:spacing w:line="360" w:lineRule="auto"/>
        <w:jc w:val="center"/>
        <w:rPr>
          <w:rFonts w:ascii="宋体" w:hAnsi="宋体" w:cs="宋体"/>
          <w:sz w:val="28"/>
          <w:szCs w:val="24"/>
          <w:highlight w:val="none"/>
        </w:rPr>
      </w:pPr>
      <w:r>
        <w:rPr>
          <w:rFonts w:hint="eastAsia" w:ascii="宋体" w:hAnsi="宋体" w:cs="宋体"/>
          <w:b/>
          <w:bCs/>
          <w:sz w:val="32"/>
          <w:szCs w:val="24"/>
          <w:highlight w:val="none"/>
        </w:rPr>
        <w:br w:type="page"/>
      </w:r>
      <w:r>
        <w:rPr>
          <w:rFonts w:hint="eastAsia" w:ascii="宋体" w:hAnsi="宋体" w:cs="宋体"/>
          <w:b/>
          <w:bCs/>
          <w:sz w:val="32"/>
          <w:szCs w:val="24"/>
          <w:highlight w:val="none"/>
        </w:rPr>
        <w:t>辽宁省营口市海洋生态保护修复工程项目管护能力建设及浒苔处置监测预报服务</w:t>
      </w:r>
    </w:p>
    <w:p w14:paraId="25433190">
      <w:pPr>
        <w:spacing w:line="360" w:lineRule="auto"/>
        <w:jc w:val="center"/>
        <w:rPr>
          <w:rFonts w:ascii="宋体" w:hAnsi="宋体" w:cs="宋体"/>
          <w:b/>
          <w:bCs/>
          <w:sz w:val="40"/>
          <w:szCs w:val="24"/>
          <w:highlight w:val="none"/>
        </w:rPr>
      </w:pPr>
      <w:bookmarkStart w:id="7" w:name="资格预审合格通知书"/>
      <w:bookmarkEnd w:id="7"/>
      <w:r>
        <w:rPr>
          <w:rFonts w:hint="eastAsia" w:ascii="宋体" w:hAnsi="宋体" w:cs="宋体"/>
          <w:b/>
          <w:bCs/>
          <w:sz w:val="40"/>
          <w:szCs w:val="24"/>
          <w:highlight w:val="none"/>
        </w:rPr>
        <w:t>招标公告</w:t>
      </w:r>
    </w:p>
    <w:p w14:paraId="4D15C2CF">
      <w:pPr>
        <w:spacing w:after="120" w:line="360" w:lineRule="auto"/>
        <w:rPr>
          <w:rFonts w:ascii="宋体" w:hAnsi="宋体" w:cs="宋体"/>
          <w:b/>
          <w:bCs/>
          <w:sz w:val="20"/>
          <w:szCs w:val="24"/>
          <w:highlight w:val="none"/>
        </w:rPr>
      </w:pPr>
    </w:p>
    <w:p w14:paraId="23BC1BA5">
      <w:pPr>
        <w:spacing w:line="360" w:lineRule="auto"/>
        <w:ind w:firstLine="566" w:firstLineChars="236"/>
        <w:rPr>
          <w:rFonts w:ascii="宋体" w:hAnsi="宋体" w:cs="宋体"/>
          <w:sz w:val="24"/>
          <w:szCs w:val="24"/>
          <w:highlight w:val="none"/>
        </w:rPr>
      </w:pPr>
      <w:r>
        <w:rPr>
          <w:rFonts w:hint="eastAsia" w:ascii="宋体" w:hAnsi="宋体" w:cs="宋体"/>
          <w:sz w:val="24"/>
          <w:szCs w:val="24"/>
          <w:highlight w:val="none"/>
          <w:u w:val="single"/>
        </w:rPr>
        <w:t>辽宁金誉建设工程造价咨询有限责任公司</w:t>
      </w:r>
      <w:r>
        <w:rPr>
          <w:rFonts w:hint="eastAsia" w:ascii="宋体" w:hAnsi="宋体" w:cs="宋体"/>
          <w:sz w:val="24"/>
          <w:szCs w:val="24"/>
          <w:highlight w:val="none"/>
        </w:rPr>
        <w:t>受</w:t>
      </w:r>
      <w:r>
        <w:rPr>
          <w:rFonts w:hint="eastAsia" w:ascii="宋体" w:hAnsi="宋体" w:cs="宋体"/>
          <w:sz w:val="24"/>
          <w:szCs w:val="24"/>
          <w:highlight w:val="none"/>
          <w:u w:val="single"/>
        </w:rPr>
        <w:t>营口市海洋与渔业局</w:t>
      </w:r>
      <w:r>
        <w:rPr>
          <w:rFonts w:hint="eastAsia" w:ascii="宋体" w:hAnsi="宋体" w:cs="宋体"/>
          <w:sz w:val="24"/>
          <w:szCs w:val="24"/>
          <w:highlight w:val="none"/>
        </w:rPr>
        <w:t>委托对</w:t>
      </w:r>
      <w:r>
        <w:rPr>
          <w:rFonts w:hint="eastAsia" w:ascii="宋体" w:hAnsi="宋体" w:cs="宋体"/>
          <w:sz w:val="24"/>
          <w:szCs w:val="24"/>
          <w:highlight w:val="none"/>
          <w:u w:val="single"/>
        </w:rPr>
        <w:t>辽宁省营口市海洋生态保护修复工程项目管护能力建设及浒苔处置监测预报服务</w:t>
      </w:r>
      <w:r>
        <w:rPr>
          <w:rFonts w:hint="eastAsia" w:ascii="宋体" w:hAnsi="宋体" w:cs="宋体"/>
          <w:sz w:val="24"/>
          <w:szCs w:val="24"/>
          <w:highlight w:val="none"/>
        </w:rPr>
        <w:t>（招标编号：LNJY2025002）进行国内公开招标，欢迎有意愿、有合格资质条件的投标单位参加投标。</w:t>
      </w:r>
    </w:p>
    <w:p w14:paraId="0727DBFD">
      <w:pPr>
        <w:numPr>
          <w:ilvl w:val="0"/>
          <w:numId w:val="3"/>
        </w:numPr>
        <w:tabs>
          <w:tab w:val="left" w:pos="709"/>
          <w:tab w:val="left" w:pos="1134"/>
        </w:tabs>
        <w:spacing w:line="360" w:lineRule="auto"/>
        <w:ind w:left="0" w:firstLine="567"/>
        <w:rPr>
          <w:rFonts w:ascii="宋体" w:hAnsi="宋体" w:cs="宋体"/>
          <w:sz w:val="24"/>
          <w:szCs w:val="24"/>
          <w:highlight w:val="none"/>
        </w:rPr>
      </w:pPr>
      <w:r>
        <w:rPr>
          <w:rFonts w:hint="eastAsia" w:ascii="宋体" w:hAnsi="宋体" w:cs="宋体"/>
          <w:b/>
          <w:sz w:val="24"/>
          <w:szCs w:val="24"/>
          <w:highlight w:val="none"/>
        </w:rPr>
        <w:t>项目名称：</w:t>
      </w:r>
      <w:r>
        <w:rPr>
          <w:rFonts w:hint="eastAsia" w:ascii="宋体" w:hAnsi="宋体" w:cs="宋体"/>
          <w:sz w:val="24"/>
          <w:szCs w:val="24"/>
          <w:highlight w:val="none"/>
        </w:rPr>
        <w:t>辽宁省营口市海洋生态保护修复工程项目管护能力建设及浒苔处置监测预报服务。</w:t>
      </w:r>
    </w:p>
    <w:p w14:paraId="384E5FE9">
      <w:pPr>
        <w:adjustRightInd w:val="0"/>
        <w:spacing w:line="360" w:lineRule="auto"/>
        <w:ind w:firstLine="482" w:firstLineChars="200"/>
        <w:jc w:val="left"/>
        <w:textAlignment w:val="baseline"/>
        <w:rPr>
          <w:rFonts w:ascii="宋体" w:hAnsi="宋体" w:cs="宋体"/>
          <w:b/>
          <w:sz w:val="24"/>
          <w:szCs w:val="24"/>
          <w:highlight w:val="none"/>
        </w:rPr>
      </w:pPr>
      <w:r>
        <w:rPr>
          <w:rFonts w:hint="eastAsia" w:ascii="宋体" w:hAnsi="宋体" w:cs="宋体"/>
          <w:b/>
          <w:sz w:val="24"/>
          <w:szCs w:val="24"/>
          <w:highlight w:val="none"/>
        </w:rPr>
        <w:t>招标范围：</w:t>
      </w:r>
    </w:p>
    <w:p w14:paraId="3374B0AA">
      <w:pPr>
        <w:adjustRightInd w:val="0"/>
        <w:spacing w:line="360" w:lineRule="auto"/>
        <w:ind w:firstLine="480" w:firstLineChars="200"/>
        <w:jc w:val="left"/>
        <w:textAlignment w:val="baseline"/>
        <w:rPr>
          <w:rFonts w:ascii="宋体" w:hAnsi="宋体"/>
          <w:sz w:val="24"/>
          <w:highlight w:val="none"/>
        </w:rPr>
      </w:pPr>
      <w:r>
        <w:rPr>
          <w:rFonts w:hint="eastAsia" w:ascii="宋体" w:hAnsi="宋体"/>
          <w:sz w:val="24"/>
          <w:highlight w:val="none"/>
        </w:rPr>
        <w:t>修复项目管护能力建设：</w:t>
      </w:r>
      <w:r>
        <w:rPr>
          <w:rFonts w:hint="eastAsia" w:ascii="宋体" w:hAnsi="宋体" w:cs="宋体"/>
          <w:sz w:val="24"/>
          <w:szCs w:val="24"/>
          <w:highlight w:val="none"/>
        </w:rPr>
        <w:t>完成生态修复总面积1630.34ha，岸线整治修复长度2951.90m，砂质岸线整治修复长度1287.00m，生态护岸长度1664.90m，海岸侵蚀防护长度2951.90m，滨海湿地整治修复面积1555.22ha，保育修复芦苇/碱蓬面积139.49ha，新种植芦苇/碱蓬面积129.20ha，底栖生物修复面积260.91ha，浒苔防治面积1006.83ha，潮沟疏通面积21.81ha，海岸湿地修复面积69.87ha。其中大辽河口拟开展海基水动力监测系统、岸基水动力监测系统、岸基水质监测系统及生态数字影像系统建设；民兴河口拟开展岸基水动力监测系统建设；团山拟开展海基水动力监测系统、沙滩视频观测系统及生态数字影像系统建设；月亮湾拟开展海基水动力监测系统及岸基水质监测系统建设。构建基于Web GIS具有海洋水文动力及生态环境数据管理、生态修复效果评估、生态风险预警监管等功能的生态监测预警与修复管理平台。</w:t>
      </w:r>
    </w:p>
    <w:p w14:paraId="7D4475E3">
      <w:pPr>
        <w:tabs>
          <w:tab w:val="left" w:pos="993"/>
          <w:tab w:val="left" w:pos="1134"/>
        </w:tabs>
        <w:spacing w:line="360" w:lineRule="auto"/>
        <w:ind w:firstLine="480" w:firstLineChars="200"/>
        <w:rPr>
          <w:rFonts w:ascii="宋体" w:hAnsi="宋体" w:cs="宋体"/>
          <w:sz w:val="24"/>
          <w:szCs w:val="24"/>
          <w:highlight w:val="none"/>
        </w:rPr>
      </w:pPr>
      <w:r>
        <w:rPr>
          <w:rFonts w:hint="eastAsia" w:ascii="宋体" w:hAnsi="宋体"/>
          <w:sz w:val="24"/>
          <w:highlight w:val="none"/>
        </w:rPr>
        <w:t>浒苔处置监测预报服务：服务内容包括但不限于水文监测、环境监测、生物监测、遥感监测、预测预报模型及平台、成果报告编制及提交审核、报告内容修改及复核、资料归档、过程技术咨询及根据招标人对项目的要求所进行的其他工作。所编制的成果报告须遵照法规及规范要求。</w:t>
      </w:r>
    </w:p>
    <w:p w14:paraId="09799A10">
      <w:pPr>
        <w:numPr>
          <w:ilvl w:val="0"/>
          <w:numId w:val="3"/>
        </w:numPr>
        <w:tabs>
          <w:tab w:val="left" w:pos="993"/>
          <w:tab w:val="left" w:pos="1134"/>
        </w:tabs>
        <w:spacing w:line="360" w:lineRule="auto"/>
        <w:ind w:left="0" w:firstLine="567"/>
        <w:rPr>
          <w:rFonts w:ascii="宋体" w:hAnsi="宋体" w:cs="宋体"/>
          <w:sz w:val="24"/>
          <w:szCs w:val="24"/>
          <w:highlight w:val="none"/>
        </w:rPr>
      </w:pPr>
      <w:r>
        <w:rPr>
          <w:rFonts w:hint="eastAsia" w:ascii="宋体" w:hAnsi="宋体" w:cs="宋体"/>
          <w:b/>
          <w:sz w:val="24"/>
          <w:szCs w:val="24"/>
          <w:highlight w:val="none"/>
        </w:rPr>
        <w:t>交货地点：</w:t>
      </w:r>
      <w:r>
        <w:rPr>
          <w:rFonts w:hint="eastAsia" w:ascii="宋体" w:hAnsi="宋体" w:cs="宋体"/>
          <w:sz w:val="24"/>
          <w:szCs w:val="24"/>
          <w:highlight w:val="none"/>
        </w:rPr>
        <w:t>招标人</w:t>
      </w:r>
      <w:r>
        <w:rPr>
          <w:rFonts w:hint="eastAsia" w:ascii="宋体" w:hAnsi="宋体" w:cs="宋体"/>
          <w:kern w:val="0"/>
          <w:sz w:val="24"/>
          <w:highlight w:val="none"/>
        </w:rPr>
        <w:t>指定地点。</w:t>
      </w:r>
    </w:p>
    <w:p w14:paraId="5330153D">
      <w:pPr>
        <w:numPr>
          <w:ilvl w:val="0"/>
          <w:numId w:val="3"/>
        </w:numPr>
        <w:tabs>
          <w:tab w:val="left" w:pos="993"/>
          <w:tab w:val="left" w:pos="1134"/>
        </w:tabs>
        <w:spacing w:line="360" w:lineRule="auto"/>
        <w:ind w:left="0" w:firstLine="567"/>
        <w:rPr>
          <w:rFonts w:ascii="宋体" w:hAnsi="宋体" w:cs="宋体"/>
          <w:sz w:val="24"/>
          <w:szCs w:val="24"/>
          <w:highlight w:val="none"/>
        </w:rPr>
      </w:pPr>
      <w:r>
        <w:rPr>
          <w:rFonts w:hint="eastAsia" w:ascii="宋体" w:hAnsi="宋体" w:cs="宋体"/>
          <w:b/>
          <w:sz w:val="24"/>
          <w:szCs w:val="24"/>
          <w:highlight w:val="none"/>
        </w:rPr>
        <w:t>资金来源及落实情况：</w:t>
      </w:r>
      <w:r>
        <w:rPr>
          <w:rFonts w:hint="eastAsia" w:ascii="宋体" w:hAnsi="宋体" w:cs="宋体"/>
          <w:sz w:val="24"/>
          <w:szCs w:val="24"/>
          <w:highlight w:val="none"/>
        </w:rPr>
        <w:t>中央资金及地方财政资金，已落实。估算价：</w:t>
      </w:r>
      <w:bookmarkStart w:id="8" w:name="OLE_LINK32"/>
      <w:r>
        <w:rPr>
          <w:rFonts w:hint="eastAsia" w:ascii="宋体" w:hAnsi="宋体" w:cs="宋体"/>
          <w:sz w:val="24"/>
          <w:szCs w:val="24"/>
          <w:highlight w:val="none"/>
        </w:rPr>
        <w:t>2340万元</w:t>
      </w:r>
      <w:bookmarkEnd w:id="8"/>
      <w:r>
        <w:rPr>
          <w:rFonts w:hint="eastAsia" w:ascii="宋体" w:hAnsi="宋体" w:cs="宋体"/>
          <w:sz w:val="24"/>
          <w:szCs w:val="24"/>
          <w:highlight w:val="none"/>
        </w:rPr>
        <w:t xml:space="preserve">。 </w:t>
      </w:r>
    </w:p>
    <w:p w14:paraId="7028FD25">
      <w:pPr>
        <w:numPr>
          <w:ilvl w:val="0"/>
          <w:numId w:val="3"/>
        </w:numPr>
        <w:tabs>
          <w:tab w:val="left" w:pos="1134"/>
        </w:tabs>
        <w:spacing w:line="360" w:lineRule="auto"/>
        <w:ind w:left="0" w:firstLine="567"/>
        <w:rPr>
          <w:rFonts w:ascii="宋体" w:hAnsi="宋体" w:cs="宋体"/>
          <w:sz w:val="24"/>
          <w:szCs w:val="24"/>
          <w:highlight w:val="none"/>
        </w:rPr>
      </w:pPr>
      <w:bookmarkStart w:id="9" w:name="OLE_LINK33"/>
      <w:r>
        <w:rPr>
          <w:rFonts w:hint="eastAsia" w:ascii="宋体" w:hAnsi="宋体" w:cs="宋体"/>
          <w:b/>
          <w:sz w:val="24"/>
          <w:szCs w:val="24"/>
          <w:highlight w:val="none"/>
        </w:rPr>
        <w:t>服务期限：</w:t>
      </w:r>
      <w:bookmarkStart w:id="10" w:name="OLE_LINK5"/>
      <w:r>
        <w:rPr>
          <w:rFonts w:hint="eastAsia" w:ascii="宋体" w:hAnsi="宋体" w:cs="宋体"/>
          <w:bCs/>
          <w:sz w:val="24"/>
          <w:szCs w:val="24"/>
          <w:highlight w:val="none"/>
        </w:rPr>
        <w:t>合同签订后两年，完成全部服务内容。（具体时间以合同签订为准）。</w:t>
      </w:r>
      <w:bookmarkEnd w:id="9"/>
      <w:bookmarkEnd w:id="10"/>
    </w:p>
    <w:p w14:paraId="649961F9">
      <w:pPr>
        <w:numPr>
          <w:ilvl w:val="0"/>
          <w:numId w:val="3"/>
        </w:numPr>
        <w:tabs>
          <w:tab w:val="left" w:pos="1134"/>
        </w:tabs>
        <w:spacing w:line="360" w:lineRule="auto"/>
        <w:ind w:left="0" w:firstLine="567"/>
        <w:rPr>
          <w:rFonts w:ascii="宋体" w:hAnsi="宋体" w:cs="宋体"/>
          <w:sz w:val="24"/>
          <w:szCs w:val="24"/>
          <w:highlight w:val="none"/>
        </w:rPr>
      </w:pPr>
      <w:r>
        <w:rPr>
          <w:rFonts w:hint="eastAsia" w:ascii="宋体" w:hAnsi="宋体" w:cs="宋体"/>
          <w:b/>
          <w:sz w:val="24"/>
          <w:szCs w:val="24"/>
          <w:highlight w:val="none"/>
        </w:rPr>
        <w:t>投标资格要求：</w:t>
      </w:r>
    </w:p>
    <w:p w14:paraId="6ED564B8">
      <w:pPr>
        <w:numPr>
          <w:ilvl w:val="0"/>
          <w:numId w:val="4"/>
        </w:numPr>
        <w:snapToGrid w:val="0"/>
        <w:spacing w:line="360" w:lineRule="auto"/>
        <w:ind w:left="540"/>
        <w:rPr>
          <w:rFonts w:ascii="宋体" w:hAnsi="宋体" w:cs="宋体"/>
          <w:sz w:val="24"/>
          <w:szCs w:val="24"/>
          <w:highlight w:val="none"/>
        </w:rPr>
      </w:pPr>
      <w:r>
        <w:rPr>
          <w:rFonts w:hint="eastAsia" w:ascii="宋体" w:hAnsi="宋体" w:cs="宋体"/>
          <w:sz w:val="24"/>
          <w:szCs w:val="24"/>
          <w:highlight w:val="none"/>
        </w:rPr>
        <w:t>投标人须</w:t>
      </w:r>
      <w:r>
        <w:rPr>
          <w:rFonts w:hint="eastAsia" w:ascii="宋体" w:hAnsi="宋体" w:cs="宋体"/>
          <w:sz w:val="24"/>
          <w:highlight w:val="none"/>
        </w:rPr>
        <w:t>具有独立承担民事责任能力的在中华人民共和国境内注册的法人或其他组织，具有从事本项目的能力</w:t>
      </w:r>
      <w:r>
        <w:rPr>
          <w:rFonts w:hint="eastAsia" w:ascii="宋体" w:hAnsi="宋体" w:cs="宋体"/>
          <w:sz w:val="24"/>
          <w:szCs w:val="24"/>
          <w:highlight w:val="none"/>
        </w:rPr>
        <w:t>；</w:t>
      </w:r>
    </w:p>
    <w:p w14:paraId="01CBA546">
      <w:pPr>
        <w:snapToGrid w:val="0"/>
        <w:spacing w:line="360" w:lineRule="auto"/>
        <w:ind w:firstLine="480" w:firstLineChars="200"/>
        <w:rPr>
          <w:rFonts w:ascii="宋体" w:hAnsi="宋体" w:cs="宋体"/>
          <w:kern w:val="0"/>
          <w:sz w:val="24"/>
          <w:szCs w:val="28"/>
          <w:highlight w:val="none"/>
        </w:rPr>
      </w:pPr>
      <w:r>
        <w:rPr>
          <w:rFonts w:hint="eastAsia" w:ascii="宋体" w:hAnsi="宋体" w:cs="宋体"/>
          <w:sz w:val="24"/>
          <w:szCs w:val="24"/>
          <w:highlight w:val="none"/>
        </w:rPr>
        <w:t>2.</w:t>
      </w:r>
      <w:bookmarkStart w:id="11" w:name="OLE_LINK13"/>
      <w:r>
        <w:rPr>
          <w:rFonts w:hint="eastAsia" w:ascii="宋体" w:hAnsi="宋体" w:cs="宋体"/>
          <w:sz w:val="24"/>
          <w:szCs w:val="24"/>
          <w:highlight w:val="none"/>
        </w:rPr>
        <w:t>项目负责人需具备</w:t>
      </w:r>
      <w:r>
        <w:rPr>
          <w:rFonts w:hint="eastAsia" w:ascii="宋体" w:hAnsi="宋体" w:cs="宋体"/>
          <w:kern w:val="0"/>
          <w:sz w:val="24"/>
          <w:szCs w:val="21"/>
          <w:highlight w:val="none"/>
        </w:rPr>
        <w:t>物理海洋、海洋生物或海洋化学专业高级职称</w:t>
      </w:r>
      <w:bookmarkEnd w:id="11"/>
    </w:p>
    <w:p w14:paraId="1E8221AA">
      <w:pPr>
        <w:snapToGrid w:val="0"/>
        <w:spacing w:line="360" w:lineRule="auto"/>
        <w:ind w:left="540"/>
        <w:rPr>
          <w:rFonts w:ascii="宋体" w:hAnsi="宋体" w:cs="宋体"/>
          <w:kern w:val="0"/>
          <w:sz w:val="24"/>
          <w:szCs w:val="28"/>
          <w:highlight w:val="none"/>
        </w:rPr>
      </w:pPr>
      <w:r>
        <w:rPr>
          <w:rFonts w:hint="eastAsia" w:ascii="宋体" w:hAnsi="宋体" w:cs="宋体"/>
          <w:kern w:val="0"/>
          <w:sz w:val="24"/>
          <w:szCs w:val="28"/>
          <w:highlight w:val="none"/>
        </w:rPr>
        <w:t>3.投标人</w:t>
      </w:r>
      <w:r>
        <w:rPr>
          <w:rFonts w:hint="eastAsia" w:ascii="宋体" w:hAnsi="宋体" w:cs="宋体"/>
          <w:sz w:val="24"/>
          <w:highlight w:val="none"/>
        </w:rPr>
        <w:t>不得被列入“失信被执行人”或“失信惩戒对象”或“重大税收违法案件当事人”，以“信用中国”网站（www.creditchina.gov.cn）查询为准。（需在招标公告发布后从“信用中国”网站打印查询结果并加盖公章）；</w:t>
      </w:r>
    </w:p>
    <w:p w14:paraId="75D24498">
      <w:pPr>
        <w:tabs>
          <w:tab w:val="left" w:pos="993"/>
        </w:tabs>
        <w:snapToGrid w:val="0"/>
        <w:spacing w:line="360" w:lineRule="auto"/>
        <w:ind w:left="540"/>
        <w:rPr>
          <w:rFonts w:ascii="宋体" w:hAnsi="宋体" w:cs="宋体"/>
          <w:kern w:val="0"/>
          <w:sz w:val="24"/>
          <w:szCs w:val="28"/>
          <w:highlight w:val="none"/>
        </w:rPr>
      </w:pPr>
      <w:r>
        <w:rPr>
          <w:rFonts w:hint="eastAsia" w:ascii="宋体" w:hAnsi="宋体" w:cs="宋体"/>
          <w:kern w:val="0"/>
          <w:sz w:val="24"/>
          <w:szCs w:val="28"/>
          <w:highlight w:val="none"/>
        </w:rPr>
        <w:t>4.本项目不接受联合体投标。</w:t>
      </w:r>
    </w:p>
    <w:p w14:paraId="4BB81E56">
      <w:pPr>
        <w:snapToGrid w:val="0"/>
        <w:spacing w:line="360" w:lineRule="auto"/>
        <w:ind w:left="540"/>
        <w:rPr>
          <w:rFonts w:ascii="宋体" w:hAnsi="宋体" w:cs="宋体"/>
          <w:kern w:val="0"/>
          <w:sz w:val="24"/>
          <w:szCs w:val="28"/>
          <w:highlight w:val="none"/>
        </w:rPr>
      </w:pPr>
      <w:r>
        <w:rPr>
          <w:rFonts w:hint="eastAsia" w:ascii="宋体" w:hAnsi="宋体" w:cs="宋体"/>
          <w:kern w:val="0"/>
          <w:sz w:val="24"/>
          <w:szCs w:val="28"/>
          <w:highlight w:val="none"/>
        </w:rPr>
        <w:t>5.单位负责人为同一人或者存在控股、管理关系的不同单位，不得参加同一招标项目投标。</w:t>
      </w:r>
    </w:p>
    <w:p w14:paraId="5E865E07">
      <w:pPr>
        <w:numPr>
          <w:ilvl w:val="0"/>
          <w:numId w:val="3"/>
        </w:numPr>
        <w:tabs>
          <w:tab w:val="left" w:pos="1134"/>
        </w:tabs>
        <w:spacing w:line="360" w:lineRule="auto"/>
        <w:ind w:left="0" w:firstLine="567"/>
        <w:rPr>
          <w:rFonts w:ascii="宋体" w:hAnsi="宋体" w:cs="宋体"/>
          <w:b/>
          <w:sz w:val="24"/>
          <w:szCs w:val="24"/>
          <w:highlight w:val="none"/>
        </w:rPr>
      </w:pPr>
      <w:r>
        <w:rPr>
          <w:rFonts w:hint="eastAsia" w:ascii="宋体" w:hAnsi="宋体" w:cs="宋体"/>
          <w:b/>
          <w:sz w:val="24"/>
          <w:szCs w:val="24"/>
          <w:highlight w:val="none"/>
        </w:rPr>
        <w:t>资格审查方式：资格后审。</w:t>
      </w:r>
    </w:p>
    <w:p w14:paraId="72266B2A">
      <w:pPr>
        <w:numPr>
          <w:ilvl w:val="0"/>
          <w:numId w:val="3"/>
        </w:numPr>
        <w:tabs>
          <w:tab w:val="left" w:pos="1134"/>
        </w:tabs>
        <w:spacing w:line="360" w:lineRule="auto"/>
        <w:ind w:left="0" w:firstLine="567"/>
        <w:rPr>
          <w:rFonts w:ascii="宋体" w:hAnsi="宋体" w:cs="宋体"/>
          <w:b/>
          <w:sz w:val="24"/>
          <w:szCs w:val="24"/>
          <w:highlight w:val="none"/>
        </w:rPr>
      </w:pPr>
      <w:r>
        <w:rPr>
          <w:rFonts w:hint="eastAsia" w:ascii="宋体" w:hAnsi="宋体" w:cs="宋体"/>
          <w:b/>
          <w:sz w:val="24"/>
          <w:szCs w:val="24"/>
          <w:highlight w:val="none"/>
        </w:rPr>
        <w:t>招标文件的获取：</w:t>
      </w:r>
    </w:p>
    <w:p w14:paraId="691897C9">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凡有意参加投标者，在“辽宁省公共资源交易一张网电子化平台（https://www.lnsggzy.com/EpointSSO/login/oauth2login）”上进行投标确认，自行下载招标文件。投标人在投标的全过程中要随时关注辽宁省公共资源交易一张网电子化平台，及时获取相关信息，否则，由此造成的一切后果，由投标人自行负责。</w:t>
      </w:r>
    </w:p>
    <w:p w14:paraId="04C61402">
      <w:pPr>
        <w:spacing w:line="360" w:lineRule="auto"/>
        <w:ind w:firstLine="480" w:firstLineChars="200"/>
        <w:rPr>
          <w:rFonts w:ascii="宋体" w:hAnsi="宋体" w:cs="宋体"/>
          <w:b/>
          <w:sz w:val="24"/>
          <w:szCs w:val="24"/>
          <w:highlight w:val="none"/>
        </w:rPr>
      </w:pPr>
      <w:r>
        <w:rPr>
          <w:rFonts w:hint="eastAsia" w:ascii="宋体" w:hAnsi="宋体" w:cs="宋体"/>
          <w:sz w:val="24"/>
          <w:szCs w:val="24"/>
          <w:highlight w:val="none"/>
        </w:rPr>
        <w:t>2.领取招标文件时间：自</w:t>
      </w:r>
      <w:r>
        <w:rPr>
          <w:rFonts w:hint="eastAsia" w:ascii="宋体" w:hAnsi="宋体" w:cs="宋体"/>
          <w:sz w:val="24"/>
          <w:szCs w:val="24"/>
          <w:highlight w:val="none"/>
          <w:u w:val="single"/>
        </w:rPr>
        <w:t>2025年XX月XX日17:00</w:t>
      </w:r>
      <w:r>
        <w:rPr>
          <w:rFonts w:hint="eastAsia" w:ascii="宋体" w:hAnsi="宋体" w:cs="宋体"/>
          <w:sz w:val="24"/>
          <w:szCs w:val="24"/>
          <w:highlight w:val="none"/>
        </w:rPr>
        <w:t>起至</w:t>
      </w:r>
      <w:r>
        <w:rPr>
          <w:rFonts w:hint="eastAsia" w:ascii="宋体" w:hAnsi="宋体" w:cs="宋体"/>
          <w:sz w:val="24"/>
          <w:szCs w:val="24"/>
          <w:highlight w:val="none"/>
          <w:u w:val="single"/>
        </w:rPr>
        <w:t>2025年XX月XX日17:00</w:t>
      </w:r>
      <w:r>
        <w:rPr>
          <w:rFonts w:hint="eastAsia" w:ascii="宋体" w:hAnsi="宋体" w:cs="宋体"/>
          <w:sz w:val="24"/>
          <w:szCs w:val="24"/>
          <w:highlight w:val="none"/>
        </w:rPr>
        <w:t>止。</w:t>
      </w:r>
    </w:p>
    <w:p w14:paraId="61584DF7">
      <w:pPr>
        <w:numPr>
          <w:ilvl w:val="0"/>
          <w:numId w:val="3"/>
        </w:numPr>
        <w:tabs>
          <w:tab w:val="left" w:pos="1134"/>
        </w:tabs>
        <w:spacing w:line="360" w:lineRule="auto"/>
        <w:ind w:left="0" w:firstLine="567"/>
        <w:rPr>
          <w:rFonts w:ascii="宋体" w:hAnsi="宋体" w:cs="宋体"/>
          <w:b/>
          <w:sz w:val="24"/>
          <w:szCs w:val="24"/>
          <w:highlight w:val="none"/>
        </w:rPr>
      </w:pPr>
      <w:r>
        <w:rPr>
          <w:rFonts w:hint="eastAsia" w:ascii="宋体" w:hAnsi="宋体" w:cs="宋体"/>
          <w:b/>
          <w:sz w:val="24"/>
          <w:szCs w:val="24"/>
          <w:highlight w:val="none"/>
        </w:rPr>
        <w:t xml:space="preserve">投标文件的递交及开标： </w:t>
      </w:r>
    </w:p>
    <w:p w14:paraId="16336250">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1.投标文件递交的截止时间和开标时间：</w:t>
      </w:r>
      <w:r>
        <w:rPr>
          <w:rFonts w:hint="eastAsia" w:ascii="宋体" w:hAnsi="宋体" w:cs="宋体"/>
          <w:sz w:val="24"/>
          <w:szCs w:val="24"/>
          <w:highlight w:val="none"/>
          <w:u w:val="single"/>
        </w:rPr>
        <w:t>2025年XX月XX日上午XX时XX分</w:t>
      </w:r>
      <w:r>
        <w:rPr>
          <w:rFonts w:hint="eastAsia" w:ascii="宋体" w:hAnsi="宋体" w:cs="宋体"/>
          <w:sz w:val="24"/>
          <w:szCs w:val="24"/>
          <w:highlight w:val="none"/>
        </w:rPr>
        <w:t>（北京时间）。届时请参加投标的代表出席开标仪式。</w:t>
      </w:r>
    </w:p>
    <w:p w14:paraId="6EF925E3">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2.投标文件递交地址：在“辽宁省公共资源交易一张网电子化平台（https://www.lnsggzy.com/EpointSSO/login/oauth2login）”上传投标文件。</w:t>
      </w:r>
    </w:p>
    <w:p w14:paraId="3F0A93EA">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3.开标方式：远程开标（不见面交易）。</w:t>
      </w:r>
    </w:p>
    <w:p w14:paraId="01893495">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4.开标网址：</w:t>
      </w:r>
      <w:r>
        <w:rPr>
          <w:rFonts w:hint="eastAsia" w:ascii="宋体" w:hAnsi="宋体" w:cs="宋体"/>
          <w:sz w:val="24"/>
          <w:szCs w:val="24"/>
          <w:highlight w:val="none"/>
          <w:u w:val="single"/>
        </w:rPr>
        <w:t>https://www.lnsggzy.com/BidOpeningHall/bidhall/dqliaoning/login</w:t>
      </w:r>
      <w:r>
        <w:rPr>
          <w:rFonts w:hint="eastAsia" w:ascii="宋体" w:hAnsi="宋体" w:cs="宋体"/>
          <w:sz w:val="24"/>
          <w:szCs w:val="24"/>
          <w:highlight w:val="none"/>
        </w:rPr>
        <w:t>。投标文件需要用实体CA数字证书或移动CA数字证书生成上传。并在递交投标文件截止时间起30分钟内（因开标系统发生不可抗力产生延误解密时间的，招标人将延长相应的解密时长，其他原因不予延长解密时间），登录交易系统进入所投开标项目，使用CA 数字证书解密投标文件，未在规定时间内完成解密的投标人，视为放弃本次投标。</w:t>
      </w:r>
    </w:p>
    <w:p w14:paraId="65801660">
      <w:pPr>
        <w:numPr>
          <w:ilvl w:val="0"/>
          <w:numId w:val="3"/>
        </w:numPr>
        <w:tabs>
          <w:tab w:val="left" w:pos="1418"/>
        </w:tabs>
        <w:spacing w:line="360" w:lineRule="auto"/>
        <w:ind w:left="0" w:firstLine="482" w:firstLineChars="200"/>
        <w:rPr>
          <w:rFonts w:ascii="宋体" w:hAnsi="宋体" w:cs="宋体"/>
          <w:sz w:val="24"/>
          <w:highlight w:val="none"/>
        </w:rPr>
      </w:pPr>
      <w:r>
        <w:rPr>
          <w:rFonts w:hint="eastAsia" w:ascii="宋体" w:hAnsi="宋体" w:cs="宋体"/>
          <w:b/>
          <w:sz w:val="24"/>
          <w:szCs w:val="24"/>
          <w:highlight w:val="none"/>
        </w:rPr>
        <w:t>发布公告的媒介：</w:t>
      </w:r>
      <w:r>
        <w:rPr>
          <w:rFonts w:hint="eastAsia" w:ascii="宋体" w:hAnsi="宋体" w:cs="宋体"/>
          <w:sz w:val="24"/>
          <w:szCs w:val="24"/>
          <w:highlight w:val="none"/>
        </w:rPr>
        <w:t>本次招标公告同时在辽宁省招标投标监管网、辽宁省公共资源交易网、中国招标投标公共服务平台及营口市公共资源交易网上发布。</w:t>
      </w:r>
    </w:p>
    <w:p w14:paraId="2F888D05">
      <w:pPr>
        <w:numPr>
          <w:ilvl w:val="0"/>
          <w:numId w:val="3"/>
        </w:numPr>
        <w:tabs>
          <w:tab w:val="left" w:pos="1418"/>
        </w:tabs>
        <w:spacing w:line="360" w:lineRule="auto"/>
        <w:ind w:left="0" w:firstLine="482" w:firstLineChars="200"/>
        <w:rPr>
          <w:rFonts w:ascii="宋体" w:hAnsi="宋体" w:cs="宋体"/>
          <w:sz w:val="24"/>
          <w:highlight w:val="none"/>
        </w:rPr>
      </w:pPr>
      <w:r>
        <w:rPr>
          <w:rFonts w:hint="eastAsia" w:ascii="宋体" w:hAnsi="宋体" w:cs="宋体"/>
          <w:b/>
          <w:sz w:val="24"/>
          <w:szCs w:val="24"/>
          <w:highlight w:val="none"/>
        </w:rPr>
        <w:t>联系方式</w:t>
      </w:r>
    </w:p>
    <w:p w14:paraId="578D22B2">
      <w:pPr>
        <w:spacing w:line="360" w:lineRule="auto"/>
        <w:rPr>
          <w:rFonts w:ascii="宋体" w:hAnsi="宋体" w:cs="宋体"/>
          <w:sz w:val="24"/>
          <w:highlight w:val="none"/>
        </w:rPr>
      </w:pPr>
      <w:r>
        <w:rPr>
          <w:rFonts w:hint="eastAsia" w:ascii="宋体" w:hAnsi="宋体" w:cs="宋体"/>
          <w:sz w:val="24"/>
          <w:highlight w:val="none"/>
        </w:rPr>
        <w:t>招标人：营口市海洋与渔业局</w:t>
      </w:r>
    </w:p>
    <w:p w14:paraId="339F3C90">
      <w:pPr>
        <w:spacing w:line="360" w:lineRule="auto"/>
        <w:rPr>
          <w:rFonts w:ascii="宋体" w:hAnsi="宋体" w:cs="宋体"/>
          <w:sz w:val="24"/>
          <w:highlight w:val="none"/>
        </w:rPr>
      </w:pPr>
      <w:r>
        <w:rPr>
          <w:rFonts w:hint="eastAsia" w:ascii="宋体" w:hAnsi="宋体" w:cs="宋体"/>
          <w:sz w:val="24"/>
          <w:highlight w:val="none"/>
        </w:rPr>
        <w:t>地址：辽宁省营口市站前区富强里学府园A4</w:t>
      </w:r>
    </w:p>
    <w:p w14:paraId="12FBFCCD">
      <w:pPr>
        <w:spacing w:line="360" w:lineRule="auto"/>
        <w:rPr>
          <w:rFonts w:ascii="宋体" w:hAnsi="宋体" w:cs="宋体"/>
          <w:sz w:val="24"/>
          <w:highlight w:val="none"/>
        </w:rPr>
      </w:pPr>
      <w:r>
        <w:rPr>
          <w:rFonts w:hint="eastAsia" w:ascii="宋体" w:hAnsi="宋体" w:cs="宋体"/>
          <w:sz w:val="24"/>
          <w:highlight w:val="none"/>
        </w:rPr>
        <w:t>联系人：雷先生</w:t>
      </w:r>
    </w:p>
    <w:p w14:paraId="427433D7">
      <w:pPr>
        <w:spacing w:line="360" w:lineRule="auto"/>
        <w:rPr>
          <w:rFonts w:ascii="宋体" w:hAnsi="宋体" w:cs="宋体"/>
          <w:sz w:val="24"/>
          <w:highlight w:val="none"/>
        </w:rPr>
      </w:pPr>
      <w:r>
        <w:rPr>
          <w:rFonts w:hint="eastAsia" w:ascii="宋体" w:hAnsi="宋体" w:cs="宋体"/>
          <w:sz w:val="24"/>
          <w:highlight w:val="none"/>
        </w:rPr>
        <w:t>联系电话：0417-2146066</w:t>
      </w:r>
    </w:p>
    <w:p w14:paraId="6F381F5B">
      <w:pPr>
        <w:spacing w:line="360" w:lineRule="auto"/>
        <w:rPr>
          <w:rFonts w:ascii="宋体" w:hAnsi="宋体" w:cs="宋体"/>
          <w:sz w:val="24"/>
          <w:highlight w:val="none"/>
        </w:rPr>
      </w:pPr>
    </w:p>
    <w:p w14:paraId="1409210D">
      <w:pPr>
        <w:spacing w:line="360" w:lineRule="auto"/>
        <w:rPr>
          <w:rFonts w:ascii="宋体" w:hAnsi="宋体" w:cs="宋体"/>
          <w:sz w:val="24"/>
          <w:highlight w:val="none"/>
        </w:rPr>
      </w:pPr>
      <w:r>
        <w:rPr>
          <w:rFonts w:hint="eastAsia" w:ascii="宋体" w:hAnsi="宋体" w:cs="宋体"/>
          <w:sz w:val="24"/>
          <w:highlight w:val="none"/>
        </w:rPr>
        <w:t>招标代理机构：辽宁金誉建设工程造价咨询有限责任公司</w:t>
      </w:r>
    </w:p>
    <w:p w14:paraId="47F386F0">
      <w:pPr>
        <w:spacing w:line="360" w:lineRule="auto"/>
        <w:rPr>
          <w:rFonts w:ascii="宋体" w:hAnsi="宋体" w:cs="宋体"/>
          <w:sz w:val="24"/>
          <w:highlight w:val="none"/>
        </w:rPr>
      </w:pPr>
      <w:r>
        <w:rPr>
          <w:rFonts w:hint="eastAsia" w:ascii="宋体" w:hAnsi="宋体" w:cs="宋体"/>
          <w:sz w:val="24"/>
          <w:highlight w:val="none"/>
        </w:rPr>
        <w:t>联系地址：营口市站前区永红街7-甲11号</w:t>
      </w:r>
    </w:p>
    <w:p w14:paraId="28BD5724">
      <w:pPr>
        <w:spacing w:line="360" w:lineRule="auto"/>
        <w:rPr>
          <w:rFonts w:ascii="宋体" w:hAnsi="宋体" w:cs="宋体"/>
          <w:sz w:val="24"/>
          <w:highlight w:val="none"/>
        </w:rPr>
      </w:pPr>
      <w:r>
        <w:rPr>
          <w:rFonts w:hint="eastAsia" w:ascii="宋体" w:hAnsi="宋体" w:cs="宋体"/>
          <w:sz w:val="24"/>
          <w:highlight w:val="none"/>
        </w:rPr>
        <w:t>联系人：苏女士</w:t>
      </w:r>
    </w:p>
    <w:p w14:paraId="19AE1233">
      <w:pPr>
        <w:spacing w:line="360" w:lineRule="auto"/>
        <w:rPr>
          <w:rFonts w:ascii="宋体" w:hAnsi="宋体" w:cs="宋体"/>
          <w:sz w:val="24"/>
          <w:highlight w:val="none"/>
        </w:rPr>
      </w:pPr>
      <w:r>
        <w:rPr>
          <w:rFonts w:hint="eastAsia" w:ascii="宋体" w:hAnsi="宋体" w:cs="宋体"/>
          <w:sz w:val="24"/>
          <w:highlight w:val="none"/>
        </w:rPr>
        <w:t>联系电话：0417-2829979</w:t>
      </w:r>
    </w:p>
    <w:p w14:paraId="7414F9ED">
      <w:pPr>
        <w:spacing w:line="360" w:lineRule="auto"/>
        <w:rPr>
          <w:rFonts w:ascii="宋体" w:hAnsi="宋体" w:cs="宋体"/>
          <w:sz w:val="24"/>
          <w:highlight w:val="none"/>
        </w:rPr>
      </w:pPr>
      <w:r>
        <w:rPr>
          <w:rFonts w:hint="eastAsia" w:ascii="宋体" w:hAnsi="宋体" w:cs="宋体"/>
          <w:sz w:val="24"/>
          <w:highlight w:val="none"/>
        </w:rPr>
        <w:t>电子信箱：jy2829979@163.com</w:t>
      </w:r>
    </w:p>
    <w:p w14:paraId="30C2B4BF">
      <w:pPr>
        <w:rPr>
          <w:rFonts w:ascii="宋体" w:hAnsi="宋体" w:cs="宋体"/>
          <w:highlight w:val="none"/>
        </w:rPr>
      </w:pPr>
    </w:p>
    <w:p w14:paraId="6D8CEBB9">
      <w:pPr>
        <w:spacing w:line="360" w:lineRule="auto"/>
        <w:rPr>
          <w:rFonts w:ascii="宋体" w:hAnsi="宋体" w:cs="宋体"/>
          <w:sz w:val="24"/>
          <w:szCs w:val="24"/>
          <w:highlight w:val="none"/>
        </w:rPr>
      </w:pPr>
    </w:p>
    <w:p w14:paraId="3B8514EA">
      <w:pPr>
        <w:spacing w:line="360" w:lineRule="auto"/>
        <w:rPr>
          <w:rFonts w:ascii="宋体" w:hAnsi="宋体" w:cs="宋体"/>
          <w:sz w:val="24"/>
          <w:szCs w:val="24"/>
          <w:highlight w:val="none"/>
        </w:rPr>
      </w:pPr>
    </w:p>
    <w:p w14:paraId="3DE83181">
      <w:pPr>
        <w:spacing w:line="360" w:lineRule="auto"/>
        <w:rPr>
          <w:rFonts w:ascii="宋体" w:hAnsi="宋体" w:cs="宋体"/>
          <w:sz w:val="24"/>
          <w:szCs w:val="24"/>
          <w:highlight w:val="none"/>
        </w:rPr>
      </w:pPr>
    </w:p>
    <w:p w14:paraId="6950193B">
      <w:pPr>
        <w:spacing w:line="360" w:lineRule="auto"/>
        <w:rPr>
          <w:rFonts w:ascii="宋体" w:hAnsi="宋体" w:cs="宋体"/>
          <w:sz w:val="24"/>
          <w:szCs w:val="24"/>
          <w:highlight w:val="none"/>
        </w:rPr>
      </w:pPr>
    </w:p>
    <w:p w14:paraId="62F68EBA">
      <w:pPr>
        <w:spacing w:line="360" w:lineRule="auto"/>
        <w:rPr>
          <w:rFonts w:ascii="宋体" w:hAnsi="宋体" w:cs="宋体"/>
          <w:sz w:val="24"/>
          <w:szCs w:val="24"/>
          <w:highlight w:val="none"/>
        </w:rPr>
      </w:pPr>
    </w:p>
    <w:p w14:paraId="0C8A644A">
      <w:pPr>
        <w:spacing w:line="360" w:lineRule="auto"/>
        <w:rPr>
          <w:rFonts w:ascii="宋体" w:hAnsi="宋体" w:cs="宋体"/>
          <w:sz w:val="24"/>
          <w:szCs w:val="24"/>
          <w:highlight w:val="none"/>
        </w:rPr>
      </w:pPr>
    </w:p>
    <w:p w14:paraId="2FC59E05">
      <w:pPr>
        <w:spacing w:line="360" w:lineRule="auto"/>
        <w:rPr>
          <w:rFonts w:ascii="宋体" w:hAnsi="宋体" w:cs="宋体"/>
          <w:sz w:val="24"/>
          <w:szCs w:val="24"/>
          <w:highlight w:val="none"/>
        </w:rPr>
      </w:pPr>
    </w:p>
    <w:p w14:paraId="41E23AF2">
      <w:pPr>
        <w:spacing w:line="360" w:lineRule="auto"/>
        <w:rPr>
          <w:rFonts w:ascii="宋体" w:hAnsi="宋体" w:cs="宋体"/>
          <w:sz w:val="24"/>
          <w:szCs w:val="24"/>
          <w:highlight w:val="none"/>
        </w:rPr>
      </w:pPr>
    </w:p>
    <w:p w14:paraId="3E821596">
      <w:pPr>
        <w:pStyle w:val="2"/>
        <w:rPr>
          <w:rFonts w:ascii="宋体" w:hAnsi="宋体" w:cs="宋体"/>
          <w:sz w:val="24"/>
          <w:szCs w:val="24"/>
          <w:highlight w:val="none"/>
        </w:rPr>
      </w:pPr>
    </w:p>
    <w:p w14:paraId="570404F5">
      <w:pPr>
        <w:rPr>
          <w:rFonts w:ascii="宋体" w:hAnsi="宋体" w:cs="宋体"/>
          <w:sz w:val="24"/>
          <w:szCs w:val="24"/>
          <w:highlight w:val="none"/>
        </w:rPr>
      </w:pPr>
    </w:p>
    <w:p w14:paraId="1FE78B8C">
      <w:pPr>
        <w:pStyle w:val="2"/>
        <w:rPr>
          <w:rFonts w:ascii="宋体" w:hAnsi="宋体" w:cs="宋体"/>
          <w:sz w:val="24"/>
          <w:szCs w:val="24"/>
          <w:highlight w:val="none"/>
        </w:rPr>
      </w:pPr>
    </w:p>
    <w:p w14:paraId="0F47D132">
      <w:pPr>
        <w:rPr>
          <w:rFonts w:ascii="宋体" w:hAnsi="宋体" w:cs="宋体"/>
          <w:sz w:val="24"/>
          <w:szCs w:val="24"/>
          <w:highlight w:val="none"/>
        </w:rPr>
      </w:pPr>
    </w:p>
    <w:p w14:paraId="6B4B99AA">
      <w:pPr>
        <w:pStyle w:val="2"/>
        <w:rPr>
          <w:rFonts w:ascii="宋体" w:hAnsi="宋体" w:cs="宋体"/>
          <w:sz w:val="24"/>
          <w:szCs w:val="24"/>
          <w:highlight w:val="none"/>
        </w:rPr>
      </w:pPr>
    </w:p>
    <w:p w14:paraId="2D42C3D7">
      <w:pPr>
        <w:rPr>
          <w:rFonts w:ascii="宋体" w:hAnsi="宋体" w:cs="宋体"/>
          <w:sz w:val="24"/>
          <w:szCs w:val="24"/>
          <w:highlight w:val="none"/>
        </w:rPr>
      </w:pPr>
    </w:p>
    <w:p w14:paraId="19FF5764">
      <w:pPr>
        <w:pStyle w:val="2"/>
        <w:rPr>
          <w:rFonts w:ascii="宋体" w:hAnsi="宋体" w:cs="宋体"/>
          <w:sz w:val="24"/>
          <w:szCs w:val="24"/>
          <w:highlight w:val="none"/>
        </w:rPr>
      </w:pPr>
    </w:p>
    <w:p w14:paraId="6BC23F8E">
      <w:pPr>
        <w:rPr>
          <w:rFonts w:ascii="宋体" w:hAnsi="宋体" w:cs="宋体"/>
          <w:sz w:val="24"/>
          <w:szCs w:val="24"/>
          <w:highlight w:val="none"/>
        </w:rPr>
      </w:pPr>
    </w:p>
    <w:p w14:paraId="5DD0AC62">
      <w:pPr>
        <w:pStyle w:val="2"/>
        <w:rPr>
          <w:rFonts w:ascii="宋体" w:hAnsi="宋体" w:cs="宋体"/>
          <w:sz w:val="24"/>
          <w:szCs w:val="24"/>
          <w:highlight w:val="none"/>
        </w:rPr>
      </w:pPr>
    </w:p>
    <w:p w14:paraId="3B5BAAF8">
      <w:pPr>
        <w:rPr>
          <w:rFonts w:ascii="宋体" w:hAnsi="宋体" w:cs="宋体"/>
          <w:sz w:val="24"/>
          <w:szCs w:val="24"/>
          <w:highlight w:val="none"/>
        </w:rPr>
      </w:pPr>
    </w:p>
    <w:p w14:paraId="4452F643">
      <w:pPr>
        <w:pStyle w:val="2"/>
        <w:rPr>
          <w:rFonts w:ascii="宋体" w:hAnsi="宋体" w:cs="宋体"/>
          <w:sz w:val="24"/>
          <w:szCs w:val="24"/>
          <w:highlight w:val="none"/>
        </w:rPr>
      </w:pPr>
    </w:p>
    <w:p w14:paraId="01901176">
      <w:pPr>
        <w:rPr>
          <w:rFonts w:ascii="宋体" w:hAnsi="宋体" w:cs="宋体"/>
          <w:sz w:val="24"/>
          <w:szCs w:val="24"/>
          <w:highlight w:val="none"/>
        </w:rPr>
      </w:pPr>
    </w:p>
    <w:p w14:paraId="17EF48DA">
      <w:pPr>
        <w:pStyle w:val="2"/>
        <w:rPr>
          <w:rFonts w:ascii="宋体" w:hAnsi="宋体" w:cs="宋体"/>
          <w:sz w:val="24"/>
          <w:szCs w:val="24"/>
          <w:highlight w:val="none"/>
        </w:rPr>
      </w:pPr>
    </w:p>
    <w:p w14:paraId="28491E85">
      <w:pPr>
        <w:rPr>
          <w:rFonts w:ascii="宋体" w:hAnsi="宋体" w:cs="宋体"/>
          <w:sz w:val="24"/>
          <w:szCs w:val="24"/>
          <w:highlight w:val="none"/>
        </w:rPr>
      </w:pPr>
    </w:p>
    <w:p w14:paraId="21783EC2">
      <w:pPr>
        <w:pStyle w:val="2"/>
        <w:rPr>
          <w:rFonts w:ascii="宋体" w:hAnsi="宋体" w:cs="宋体"/>
          <w:sz w:val="24"/>
          <w:szCs w:val="24"/>
          <w:highlight w:val="none"/>
        </w:rPr>
      </w:pPr>
    </w:p>
    <w:p w14:paraId="12695A00">
      <w:pPr>
        <w:rPr>
          <w:rFonts w:ascii="宋体" w:hAnsi="宋体" w:cs="宋体"/>
          <w:sz w:val="24"/>
          <w:szCs w:val="24"/>
          <w:highlight w:val="none"/>
        </w:rPr>
      </w:pPr>
    </w:p>
    <w:p w14:paraId="39624DBC">
      <w:pPr>
        <w:pStyle w:val="2"/>
        <w:rPr>
          <w:rFonts w:ascii="宋体" w:hAnsi="宋体" w:cs="宋体"/>
          <w:sz w:val="24"/>
          <w:szCs w:val="24"/>
          <w:highlight w:val="none"/>
        </w:rPr>
      </w:pPr>
    </w:p>
    <w:p w14:paraId="6F11F665">
      <w:pPr>
        <w:rPr>
          <w:rFonts w:ascii="宋体" w:hAnsi="宋体" w:cs="宋体"/>
          <w:sz w:val="24"/>
          <w:szCs w:val="24"/>
          <w:highlight w:val="none"/>
        </w:rPr>
      </w:pPr>
    </w:p>
    <w:p w14:paraId="25590E1E">
      <w:pPr>
        <w:pStyle w:val="2"/>
        <w:rPr>
          <w:rFonts w:ascii="宋体" w:hAnsi="宋体" w:cs="宋体"/>
          <w:sz w:val="24"/>
          <w:szCs w:val="24"/>
          <w:highlight w:val="none"/>
        </w:rPr>
      </w:pPr>
    </w:p>
    <w:p w14:paraId="24A9C5DB">
      <w:pPr>
        <w:rPr>
          <w:rFonts w:ascii="宋体" w:hAnsi="宋体" w:cs="宋体"/>
          <w:sz w:val="24"/>
          <w:szCs w:val="24"/>
          <w:highlight w:val="none"/>
        </w:rPr>
      </w:pPr>
    </w:p>
    <w:p w14:paraId="779ED8E8">
      <w:pPr>
        <w:pStyle w:val="2"/>
        <w:rPr>
          <w:rFonts w:ascii="宋体" w:hAnsi="宋体" w:cs="宋体"/>
          <w:sz w:val="24"/>
          <w:szCs w:val="24"/>
          <w:highlight w:val="none"/>
        </w:rPr>
      </w:pPr>
    </w:p>
    <w:p w14:paraId="4DF06DB8">
      <w:pPr>
        <w:rPr>
          <w:rFonts w:ascii="宋体" w:hAnsi="宋体" w:cs="宋体"/>
          <w:sz w:val="24"/>
          <w:szCs w:val="24"/>
          <w:highlight w:val="none"/>
        </w:rPr>
      </w:pPr>
    </w:p>
    <w:p w14:paraId="22280EC3">
      <w:pPr>
        <w:pStyle w:val="2"/>
        <w:rPr>
          <w:rFonts w:ascii="宋体" w:hAnsi="宋体" w:cs="宋体"/>
          <w:sz w:val="24"/>
          <w:szCs w:val="24"/>
          <w:highlight w:val="none"/>
        </w:rPr>
      </w:pPr>
    </w:p>
    <w:p w14:paraId="2CE2EF0C">
      <w:pPr>
        <w:rPr>
          <w:rFonts w:ascii="宋体" w:hAnsi="宋体" w:cs="宋体"/>
          <w:sz w:val="24"/>
          <w:szCs w:val="24"/>
          <w:highlight w:val="none"/>
        </w:rPr>
      </w:pPr>
    </w:p>
    <w:p w14:paraId="3991E863">
      <w:pPr>
        <w:pStyle w:val="2"/>
        <w:rPr>
          <w:rFonts w:ascii="宋体" w:hAnsi="宋体" w:cs="宋体"/>
          <w:sz w:val="24"/>
          <w:szCs w:val="24"/>
          <w:highlight w:val="none"/>
        </w:rPr>
      </w:pPr>
    </w:p>
    <w:p w14:paraId="57126B3D">
      <w:pPr>
        <w:rPr>
          <w:rFonts w:ascii="宋体" w:hAnsi="宋体" w:cs="宋体"/>
          <w:sz w:val="24"/>
          <w:szCs w:val="24"/>
          <w:highlight w:val="none"/>
        </w:rPr>
      </w:pPr>
    </w:p>
    <w:p w14:paraId="357E9D4D">
      <w:pPr>
        <w:pStyle w:val="2"/>
        <w:rPr>
          <w:rFonts w:ascii="宋体" w:hAnsi="宋体" w:cs="宋体"/>
          <w:sz w:val="24"/>
          <w:szCs w:val="24"/>
          <w:highlight w:val="none"/>
        </w:rPr>
      </w:pPr>
    </w:p>
    <w:p w14:paraId="5DA708FD">
      <w:pPr>
        <w:rPr>
          <w:rFonts w:ascii="宋体" w:hAnsi="宋体" w:cs="宋体"/>
          <w:sz w:val="24"/>
          <w:szCs w:val="24"/>
          <w:highlight w:val="none"/>
        </w:rPr>
      </w:pPr>
    </w:p>
    <w:p w14:paraId="038D453F">
      <w:pPr>
        <w:pStyle w:val="2"/>
        <w:rPr>
          <w:rFonts w:ascii="宋体" w:hAnsi="宋体" w:cs="宋体"/>
          <w:sz w:val="24"/>
          <w:szCs w:val="24"/>
          <w:highlight w:val="none"/>
        </w:rPr>
      </w:pPr>
    </w:p>
    <w:p w14:paraId="0262B02E">
      <w:pPr>
        <w:rPr>
          <w:rFonts w:ascii="宋体" w:hAnsi="宋体" w:cs="宋体"/>
          <w:sz w:val="24"/>
          <w:szCs w:val="24"/>
          <w:highlight w:val="none"/>
        </w:rPr>
      </w:pPr>
    </w:p>
    <w:p w14:paraId="71BB6F1B">
      <w:pPr>
        <w:pStyle w:val="2"/>
        <w:rPr>
          <w:rFonts w:ascii="宋体" w:hAnsi="宋体" w:cs="宋体"/>
          <w:sz w:val="24"/>
          <w:szCs w:val="24"/>
          <w:highlight w:val="none"/>
        </w:rPr>
      </w:pPr>
    </w:p>
    <w:p w14:paraId="6C676CB0">
      <w:pPr>
        <w:rPr>
          <w:rFonts w:ascii="宋体" w:hAnsi="宋体" w:cs="宋体"/>
          <w:sz w:val="24"/>
          <w:szCs w:val="24"/>
          <w:highlight w:val="none"/>
        </w:rPr>
      </w:pPr>
    </w:p>
    <w:p w14:paraId="3850D4CF">
      <w:pPr>
        <w:pStyle w:val="2"/>
        <w:rPr>
          <w:rFonts w:ascii="宋体" w:hAnsi="宋体" w:cs="宋体"/>
          <w:sz w:val="24"/>
          <w:szCs w:val="24"/>
          <w:highlight w:val="none"/>
        </w:rPr>
      </w:pPr>
    </w:p>
    <w:p w14:paraId="3D680D4F">
      <w:pPr>
        <w:rPr>
          <w:rFonts w:ascii="宋体" w:hAnsi="宋体" w:cs="宋体"/>
          <w:sz w:val="24"/>
          <w:szCs w:val="24"/>
          <w:highlight w:val="none"/>
        </w:rPr>
      </w:pPr>
    </w:p>
    <w:p w14:paraId="380E66CD">
      <w:pPr>
        <w:pStyle w:val="2"/>
        <w:rPr>
          <w:rFonts w:ascii="宋体" w:hAnsi="宋体" w:cs="宋体"/>
          <w:sz w:val="24"/>
          <w:szCs w:val="24"/>
          <w:highlight w:val="none"/>
        </w:rPr>
      </w:pPr>
    </w:p>
    <w:p w14:paraId="71BC9174">
      <w:pPr>
        <w:rPr>
          <w:rFonts w:ascii="宋体" w:hAnsi="宋体" w:cs="宋体"/>
          <w:sz w:val="24"/>
          <w:szCs w:val="24"/>
          <w:highlight w:val="none"/>
        </w:rPr>
      </w:pPr>
    </w:p>
    <w:p w14:paraId="1EC3D2A4">
      <w:pPr>
        <w:pStyle w:val="2"/>
        <w:rPr>
          <w:rFonts w:ascii="宋体" w:hAnsi="宋体" w:cs="宋体"/>
          <w:sz w:val="24"/>
          <w:szCs w:val="24"/>
          <w:highlight w:val="none"/>
        </w:rPr>
      </w:pPr>
    </w:p>
    <w:p w14:paraId="4F9DA5D3">
      <w:pPr>
        <w:rPr>
          <w:rFonts w:ascii="宋体" w:hAnsi="宋体" w:cs="宋体"/>
          <w:sz w:val="24"/>
          <w:szCs w:val="24"/>
          <w:highlight w:val="none"/>
        </w:rPr>
      </w:pPr>
    </w:p>
    <w:p w14:paraId="039FD0B5">
      <w:pPr>
        <w:pStyle w:val="2"/>
        <w:rPr>
          <w:rFonts w:ascii="宋体" w:hAnsi="宋体" w:cs="宋体"/>
          <w:sz w:val="24"/>
          <w:szCs w:val="24"/>
          <w:highlight w:val="none"/>
        </w:rPr>
      </w:pPr>
    </w:p>
    <w:p w14:paraId="391D95D0">
      <w:pPr>
        <w:rPr>
          <w:rFonts w:ascii="宋体" w:hAnsi="宋体" w:cs="宋体"/>
          <w:sz w:val="24"/>
          <w:szCs w:val="24"/>
          <w:highlight w:val="none"/>
        </w:rPr>
      </w:pPr>
    </w:p>
    <w:p w14:paraId="2CD48FCC">
      <w:pPr>
        <w:pStyle w:val="2"/>
        <w:rPr>
          <w:highlight w:val="none"/>
        </w:rPr>
      </w:pPr>
    </w:p>
    <w:p w14:paraId="6CA212DE">
      <w:pPr>
        <w:spacing w:line="360" w:lineRule="auto"/>
        <w:rPr>
          <w:rFonts w:ascii="宋体" w:hAnsi="宋体" w:cs="宋体"/>
          <w:sz w:val="24"/>
          <w:szCs w:val="24"/>
          <w:highlight w:val="none"/>
        </w:rPr>
      </w:pPr>
    </w:p>
    <w:p w14:paraId="26CA5B83">
      <w:pPr>
        <w:spacing w:line="360" w:lineRule="auto"/>
        <w:rPr>
          <w:rFonts w:ascii="宋体" w:hAnsi="宋体" w:cs="宋体"/>
          <w:sz w:val="24"/>
          <w:szCs w:val="24"/>
          <w:highlight w:val="none"/>
        </w:rPr>
      </w:pPr>
    </w:p>
    <w:p w14:paraId="211FFC29">
      <w:pPr>
        <w:spacing w:line="360" w:lineRule="auto"/>
        <w:rPr>
          <w:rFonts w:ascii="宋体" w:hAnsi="宋体" w:cs="宋体"/>
          <w:sz w:val="24"/>
          <w:szCs w:val="24"/>
          <w:highlight w:val="none"/>
        </w:rPr>
      </w:pPr>
    </w:p>
    <w:p w14:paraId="4C2DABF5">
      <w:pPr>
        <w:spacing w:line="360" w:lineRule="auto"/>
        <w:rPr>
          <w:rFonts w:ascii="宋体" w:hAnsi="宋体" w:cs="宋体"/>
          <w:sz w:val="24"/>
          <w:szCs w:val="24"/>
          <w:highlight w:val="none"/>
        </w:rPr>
      </w:pPr>
    </w:p>
    <w:p w14:paraId="37E6043C">
      <w:pPr>
        <w:pStyle w:val="3"/>
        <w:numPr>
          <w:ilvl w:val="0"/>
          <w:numId w:val="2"/>
        </w:numPr>
        <w:spacing w:line="360" w:lineRule="auto"/>
        <w:jc w:val="center"/>
        <w:rPr>
          <w:rFonts w:ascii="宋体" w:hAnsi="宋体" w:cs="宋体"/>
          <w:w w:val="90"/>
          <w:highlight w:val="none"/>
        </w:rPr>
      </w:pPr>
      <w:r>
        <w:rPr>
          <w:rFonts w:hint="eastAsia" w:ascii="宋体" w:hAnsi="宋体" w:cs="宋体"/>
          <w:w w:val="90"/>
          <w:highlight w:val="none"/>
        </w:rPr>
        <w:t xml:space="preserve">  </w:t>
      </w:r>
      <w:bookmarkStart w:id="12" w:name="_Toc344394138"/>
      <w:bookmarkStart w:id="13" w:name="_Toc19585"/>
      <w:bookmarkStart w:id="14" w:name="_Toc349568710"/>
      <w:bookmarkStart w:id="15" w:name="_Toc343510552"/>
      <w:bookmarkStart w:id="16" w:name="_Toc30573"/>
      <w:bookmarkStart w:id="17" w:name="_Toc349568451"/>
      <w:bookmarkStart w:id="18" w:name="_Toc350515647"/>
      <w:r>
        <w:rPr>
          <w:rFonts w:hint="eastAsia" w:ascii="宋体" w:hAnsi="宋体" w:cs="宋体"/>
          <w:szCs w:val="24"/>
          <w:highlight w:val="none"/>
        </w:rPr>
        <w:t>投标人须知</w:t>
      </w:r>
      <w:r>
        <w:rPr>
          <w:rFonts w:hint="eastAsia" w:ascii="宋体" w:hAnsi="宋体" w:cs="宋体"/>
          <w:w w:val="90"/>
          <w:highlight w:val="none"/>
        </w:rPr>
        <w:t>前附表</w:t>
      </w:r>
      <w:bookmarkEnd w:id="12"/>
      <w:bookmarkEnd w:id="13"/>
      <w:bookmarkEnd w:id="14"/>
      <w:bookmarkEnd w:id="15"/>
      <w:bookmarkEnd w:id="16"/>
      <w:bookmarkEnd w:id="17"/>
      <w:bookmarkEnd w:id="18"/>
    </w:p>
    <w:p w14:paraId="2AB94A35">
      <w:pPr>
        <w:tabs>
          <w:tab w:val="left" w:pos="7770"/>
        </w:tabs>
        <w:autoSpaceDE w:val="0"/>
        <w:autoSpaceDN w:val="0"/>
        <w:spacing w:line="360" w:lineRule="auto"/>
        <w:rPr>
          <w:rFonts w:ascii="宋体" w:hAnsi="宋体" w:cs="宋体"/>
          <w:sz w:val="24"/>
          <w:highlight w:val="none"/>
        </w:rPr>
      </w:pPr>
    </w:p>
    <w:p w14:paraId="44CD0A45">
      <w:pPr>
        <w:tabs>
          <w:tab w:val="left" w:pos="7770"/>
        </w:tabs>
        <w:autoSpaceDE w:val="0"/>
        <w:autoSpaceDN w:val="0"/>
        <w:spacing w:line="360" w:lineRule="auto"/>
        <w:rPr>
          <w:rFonts w:ascii="宋体" w:hAnsi="宋体" w:cs="宋体"/>
          <w:sz w:val="24"/>
          <w:highlight w:val="none"/>
        </w:rPr>
      </w:pPr>
    </w:p>
    <w:p w14:paraId="70A8B7F4">
      <w:pPr>
        <w:tabs>
          <w:tab w:val="left" w:pos="7770"/>
        </w:tabs>
        <w:autoSpaceDE w:val="0"/>
        <w:autoSpaceDN w:val="0"/>
        <w:spacing w:line="360" w:lineRule="auto"/>
        <w:rPr>
          <w:rFonts w:ascii="宋体" w:hAnsi="宋体" w:cs="宋体"/>
          <w:sz w:val="24"/>
          <w:highlight w:val="none"/>
        </w:rPr>
      </w:pPr>
    </w:p>
    <w:p w14:paraId="796719F4">
      <w:pPr>
        <w:tabs>
          <w:tab w:val="left" w:pos="7770"/>
        </w:tabs>
        <w:autoSpaceDE w:val="0"/>
        <w:autoSpaceDN w:val="0"/>
        <w:spacing w:line="360" w:lineRule="auto"/>
        <w:rPr>
          <w:rFonts w:ascii="宋体" w:hAnsi="宋体" w:cs="宋体"/>
          <w:sz w:val="24"/>
          <w:highlight w:val="none"/>
        </w:rPr>
      </w:pPr>
    </w:p>
    <w:p w14:paraId="005D53A6">
      <w:pPr>
        <w:tabs>
          <w:tab w:val="left" w:pos="7770"/>
        </w:tabs>
        <w:autoSpaceDE w:val="0"/>
        <w:autoSpaceDN w:val="0"/>
        <w:spacing w:line="360" w:lineRule="auto"/>
        <w:rPr>
          <w:rFonts w:ascii="宋体" w:hAnsi="宋体" w:cs="宋体"/>
          <w:sz w:val="24"/>
          <w:highlight w:val="none"/>
        </w:rPr>
      </w:pPr>
    </w:p>
    <w:p w14:paraId="53A68890">
      <w:pPr>
        <w:tabs>
          <w:tab w:val="left" w:pos="7770"/>
        </w:tabs>
        <w:autoSpaceDE w:val="0"/>
        <w:autoSpaceDN w:val="0"/>
        <w:spacing w:line="360" w:lineRule="auto"/>
        <w:rPr>
          <w:rFonts w:ascii="宋体" w:hAnsi="宋体" w:cs="宋体"/>
          <w:sz w:val="24"/>
          <w:highlight w:val="none"/>
        </w:rPr>
      </w:pPr>
    </w:p>
    <w:p w14:paraId="70D64F5A">
      <w:pPr>
        <w:tabs>
          <w:tab w:val="left" w:pos="7770"/>
        </w:tabs>
        <w:autoSpaceDE w:val="0"/>
        <w:autoSpaceDN w:val="0"/>
        <w:spacing w:line="360" w:lineRule="auto"/>
        <w:rPr>
          <w:rFonts w:ascii="宋体" w:hAnsi="宋体" w:cs="宋体"/>
          <w:sz w:val="24"/>
          <w:highlight w:val="none"/>
        </w:rPr>
      </w:pPr>
    </w:p>
    <w:p w14:paraId="24E0E2A6">
      <w:pPr>
        <w:tabs>
          <w:tab w:val="left" w:pos="7770"/>
        </w:tabs>
        <w:autoSpaceDE w:val="0"/>
        <w:autoSpaceDN w:val="0"/>
        <w:spacing w:line="360" w:lineRule="auto"/>
        <w:rPr>
          <w:rFonts w:ascii="宋体" w:hAnsi="宋体" w:cs="宋体"/>
          <w:sz w:val="24"/>
          <w:highlight w:val="none"/>
        </w:rPr>
      </w:pPr>
    </w:p>
    <w:p w14:paraId="72A36C19">
      <w:pPr>
        <w:tabs>
          <w:tab w:val="left" w:pos="7770"/>
        </w:tabs>
        <w:autoSpaceDE w:val="0"/>
        <w:autoSpaceDN w:val="0"/>
        <w:spacing w:line="360" w:lineRule="auto"/>
        <w:rPr>
          <w:rFonts w:ascii="宋体" w:hAnsi="宋体" w:cs="宋体"/>
          <w:sz w:val="24"/>
          <w:highlight w:val="none"/>
        </w:rPr>
      </w:pPr>
    </w:p>
    <w:p w14:paraId="4AF828EF">
      <w:pPr>
        <w:tabs>
          <w:tab w:val="left" w:pos="7770"/>
        </w:tabs>
        <w:autoSpaceDE w:val="0"/>
        <w:autoSpaceDN w:val="0"/>
        <w:spacing w:line="360" w:lineRule="auto"/>
        <w:rPr>
          <w:rFonts w:ascii="宋体" w:hAnsi="宋体" w:cs="宋体"/>
          <w:sz w:val="24"/>
          <w:highlight w:val="none"/>
        </w:rPr>
      </w:pPr>
    </w:p>
    <w:p w14:paraId="5969DEBF">
      <w:pPr>
        <w:tabs>
          <w:tab w:val="left" w:pos="7770"/>
        </w:tabs>
        <w:autoSpaceDE w:val="0"/>
        <w:autoSpaceDN w:val="0"/>
        <w:spacing w:line="360" w:lineRule="auto"/>
        <w:rPr>
          <w:rFonts w:ascii="宋体" w:hAnsi="宋体" w:cs="宋体"/>
          <w:sz w:val="24"/>
          <w:highlight w:val="none"/>
        </w:rPr>
      </w:pPr>
    </w:p>
    <w:p w14:paraId="5D029E16">
      <w:pPr>
        <w:tabs>
          <w:tab w:val="left" w:pos="7770"/>
        </w:tabs>
        <w:autoSpaceDE w:val="0"/>
        <w:autoSpaceDN w:val="0"/>
        <w:spacing w:line="360" w:lineRule="auto"/>
        <w:rPr>
          <w:rFonts w:ascii="宋体" w:hAnsi="宋体" w:cs="宋体"/>
          <w:sz w:val="24"/>
          <w:highlight w:val="none"/>
        </w:rPr>
      </w:pPr>
    </w:p>
    <w:p w14:paraId="767FF2E7">
      <w:pPr>
        <w:tabs>
          <w:tab w:val="left" w:pos="7770"/>
        </w:tabs>
        <w:autoSpaceDE w:val="0"/>
        <w:autoSpaceDN w:val="0"/>
        <w:spacing w:line="360" w:lineRule="auto"/>
        <w:rPr>
          <w:rFonts w:ascii="宋体" w:hAnsi="宋体" w:cs="宋体"/>
          <w:sz w:val="24"/>
          <w:highlight w:val="none"/>
        </w:rPr>
      </w:pPr>
    </w:p>
    <w:p w14:paraId="7D43E15B">
      <w:pPr>
        <w:spacing w:afterLines="50" w:line="360" w:lineRule="auto"/>
        <w:ind w:firstLine="442"/>
        <w:jc w:val="center"/>
        <w:rPr>
          <w:rFonts w:ascii="宋体" w:hAnsi="宋体" w:cs="宋体"/>
          <w:b/>
          <w:w w:val="90"/>
          <w:sz w:val="36"/>
          <w:highlight w:val="none"/>
        </w:rPr>
      </w:pPr>
      <w:r>
        <w:rPr>
          <w:rFonts w:hint="eastAsia" w:ascii="宋体" w:hAnsi="宋体" w:cs="宋体"/>
          <w:b/>
          <w:w w:val="90"/>
          <w:sz w:val="36"/>
          <w:highlight w:val="none"/>
        </w:rPr>
        <w:br w:type="page"/>
      </w:r>
      <w:r>
        <w:rPr>
          <w:rFonts w:hint="eastAsia" w:ascii="宋体" w:hAnsi="宋体" w:cs="宋体"/>
          <w:b/>
          <w:w w:val="90"/>
          <w:sz w:val="36"/>
          <w:highlight w:val="none"/>
        </w:rPr>
        <w:t>一、投标人须知前附表</w:t>
      </w:r>
    </w:p>
    <w:p w14:paraId="5B0C83DB">
      <w:pPr>
        <w:tabs>
          <w:tab w:val="left" w:pos="7770"/>
        </w:tabs>
        <w:autoSpaceDE w:val="0"/>
        <w:autoSpaceDN w:val="0"/>
        <w:spacing w:line="360" w:lineRule="auto"/>
        <w:rPr>
          <w:rFonts w:ascii="宋体" w:hAnsi="宋体" w:cs="宋体"/>
          <w:highlight w:val="none"/>
        </w:rPr>
      </w:pPr>
    </w:p>
    <w:tbl>
      <w:tblPr>
        <w:tblStyle w:val="28"/>
        <w:tblW w:w="100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0"/>
        <w:gridCol w:w="815"/>
        <w:gridCol w:w="8647"/>
      </w:tblGrid>
      <w:tr w14:paraId="4AAAF9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2" w:hRule="atLeast"/>
          <w:tblHeader/>
          <w:jc w:val="center"/>
        </w:trPr>
        <w:tc>
          <w:tcPr>
            <w:tcW w:w="560" w:type="dxa"/>
            <w:vAlign w:val="center"/>
          </w:tcPr>
          <w:p w14:paraId="3425673B">
            <w:pPr>
              <w:snapToGrid w:val="0"/>
              <w:spacing w:line="360" w:lineRule="auto"/>
              <w:jc w:val="center"/>
              <w:rPr>
                <w:rFonts w:ascii="宋体" w:hAnsi="宋体" w:cs="宋体"/>
                <w:b/>
                <w:sz w:val="24"/>
                <w:szCs w:val="24"/>
                <w:highlight w:val="none"/>
              </w:rPr>
            </w:pPr>
            <w:r>
              <w:rPr>
                <w:rFonts w:hint="eastAsia" w:ascii="宋体" w:hAnsi="宋体" w:cs="宋体"/>
                <w:b/>
                <w:sz w:val="24"/>
                <w:szCs w:val="24"/>
                <w:highlight w:val="none"/>
              </w:rPr>
              <w:t>项号</w:t>
            </w:r>
          </w:p>
        </w:tc>
        <w:tc>
          <w:tcPr>
            <w:tcW w:w="815" w:type="dxa"/>
            <w:vAlign w:val="center"/>
          </w:tcPr>
          <w:p w14:paraId="35AB3BCF">
            <w:pPr>
              <w:snapToGrid w:val="0"/>
              <w:spacing w:line="360" w:lineRule="auto"/>
              <w:jc w:val="center"/>
              <w:rPr>
                <w:rFonts w:ascii="宋体" w:hAnsi="宋体" w:cs="宋体"/>
                <w:b/>
                <w:sz w:val="24"/>
                <w:szCs w:val="24"/>
                <w:highlight w:val="none"/>
              </w:rPr>
            </w:pPr>
            <w:r>
              <w:rPr>
                <w:rFonts w:hint="eastAsia" w:ascii="宋体" w:hAnsi="宋体" w:cs="宋体"/>
                <w:b/>
                <w:sz w:val="24"/>
                <w:szCs w:val="24"/>
                <w:highlight w:val="none"/>
              </w:rPr>
              <w:t>条款号</w:t>
            </w:r>
          </w:p>
        </w:tc>
        <w:tc>
          <w:tcPr>
            <w:tcW w:w="8647" w:type="dxa"/>
            <w:vAlign w:val="center"/>
          </w:tcPr>
          <w:p w14:paraId="69526538">
            <w:pPr>
              <w:snapToGrid w:val="0"/>
              <w:spacing w:line="360" w:lineRule="auto"/>
              <w:jc w:val="center"/>
              <w:rPr>
                <w:rFonts w:ascii="宋体" w:hAnsi="宋体" w:cs="宋体"/>
                <w:b/>
                <w:sz w:val="24"/>
                <w:szCs w:val="24"/>
                <w:highlight w:val="none"/>
              </w:rPr>
            </w:pPr>
            <w:r>
              <w:rPr>
                <w:rFonts w:hint="eastAsia" w:ascii="宋体" w:hAnsi="宋体" w:cs="宋体"/>
                <w:b/>
                <w:sz w:val="24"/>
                <w:szCs w:val="24"/>
                <w:highlight w:val="none"/>
              </w:rPr>
              <w:t>内      容</w:t>
            </w:r>
          </w:p>
        </w:tc>
      </w:tr>
      <w:tr w14:paraId="1F43F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98" w:hRule="atLeast"/>
          <w:jc w:val="center"/>
        </w:trPr>
        <w:tc>
          <w:tcPr>
            <w:tcW w:w="10022" w:type="dxa"/>
            <w:gridSpan w:val="3"/>
            <w:shd w:val="clear" w:color="auto" w:fill="E6E6E6"/>
            <w:vAlign w:val="center"/>
          </w:tcPr>
          <w:p w14:paraId="1004AAB9">
            <w:pPr>
              <w:snapToGrid w:val="0"/>
              <w:spacing w:line="360" w:lineRule="auto"/>
              <w:jc w:val="center"/>
              <w:rPr>
                <w:rFonts w:ascii="宋体" w:hAnsi="宋体" w:cs="宋体"/>
                <w:b/>
                <w:sz w:val="24"/>
                <w:szCs w:val="24"/>
                <w:highlight w:val="none"/>
              </w:rPr>
            </w:pPr>
            <w:r>
              <w:rPr>
                <w:rFonts w:hint="eastAsia" w:ascii="宋体" w:hAnsi="宋体" w:cs="宋体"/>
                <w:b/>
                <w:sz w:val="24"/>
                <w:szCs w:val="24"/>
                <w:highlight w:val="none"/>
              </w:rPr>
              <w:t>内 容 和 说  明</w:t>
            </w:r>
          </w:p>
        </w:tc>
      </w:tr>
      <w:tr w14:paraId="386E4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shd w:val="clear" w:color="auto" w:fill="FFFFFF"/>
            <w:vAlign w:val="center"/>
          </w:tcPr>
          <w:p w14:paraId="08B2D4B7">
            <w:pPr>
              <w:pStyle w:val="35"/>
              <w:numPr>
                <w:ilvl w:val="0"/>
                <w:numId w:val="5"/>
              </w:numPr>
              <w:snapToGrid w:val="0"/>
              <w:spacing w:line="360" w:lineRule="auto"/>
              <w:ind w:firstLineChars="0"/>
              <w:jc w:val="center"/>
              <w:rPr>
                <w:rFonts w:ascii="宋体" w:hAnsi="宋体" w:cs="宋体"/>
                <w:b/>
                <w:sz w:val="24"/>
                <w:highlight w:val="none"/>
              </w:rPr>
            </w:pPr>
            <w:r>
              <w:rPr>
                <w:rFonts w:hint="eastAsia" w:ascii="宋体" w:hAnsi="宋体" w:cs="宋体"/>
                <w:sz w:val="24"/>
                <w:highlight w:val="none"/>
              </w:rPr>
              <w:t>2</w:t>
            </w:r>
          </w:p>
        </w:tc>
        <w:tc>
          <w:tcPr>
            <w:tcW w:w="815" w:type="dxa"/>
            <w:tcBorders>
              <w:bottom w:val="single" w:color="auto" w:sz="6" w:space="0"/>
            </w:tcBorders>
            <w:shd w:val="clear" w:color="auto" w:fill="FFFFFF"/>
            <w:vAlign w:val="center"/>
          </w:tcPr>
          <w:p w14:paraId="574A6936">
            <w:pPr>
              <w:snapToGrid w:val="0"/>
              <w:spacing w:line="360" w:lineRule="auto"/>
              <w:jc w:val="center"/>
              <w:rPr>
                <w:rFonts w:ascii="宋体" w:hAnsi="宋体" w:cs="宋体"/>
                <w:b/>
                <w:sz w:val="24"/>
                <w:szCs w:val="24"/>
                <w:highlight w:val="none"/>
              </w:rPr>
            </w:pPr>
            <w:r>
              <w:rPr>
                <w:rFonts w:hint="eastAsia" w:ascii="宋体" w:hAnsi="宋体" w:cs="宋体"/>
                <w:bCs/>
                <w:sz w:val="24"/>
                <w:szCs w:val="24"/>
                <w:highlight w:val="none"/>
              </w:rPr>
              <w:t>3.1</w:t>
            </w:r>
          </w:p>
        </w:tc>
        <w:tc>
          <w:tcPr>
            <w:tcW w:w="8647" w:type="dxa"/>
            <w:shd w:val="clear" w:color="auto" w:fill="FFFFFF"/>
            <w:vAlign w:val="center"/>
          </w:tcPr>
          <w:p w14:paraId="4AE31A88">
            <w:pPr>
              <w:snapToGrid w:val="0"/>
              <w:spacing w:line="360" w:lineRule="auto"/>
              <w:rPr>
                <w:rFonts w:ascii="宋体" w:hAnsi="宋体" w:cs="宋体"/>
                <w:b/>
                <w:sz w:val="24"/>
                <w:szCs w:val="24"/>
                <w:highlight w:val="none"/>
              </w:rPr>
            </w:pPr>
            <w:r>
              <w:rPr>
                <w:rFonts w:hint="eastAsia" w:ascii="宋体" w:hAnsi="宋体" w:cs="宋体"/>
                <w:sz w:val="24"/>
                <w:szCs w:val="24"/>
                <w:highlight w:val="none"/>
              </w:rPr>
              <w:t>资金来源：中央资金及地方财政资金，已落实。估算价：2340万元。</w:t>
            </w:r>
          </w:p>
        </w:tc>
      </w:tr>
      <w:tr w14:paraId="77B2AE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shd w:val="clear" w:color="auto" w:fill="FFFFFF"/>
            <w:vAlign w:val="center"/>
          </w:tcPr>
          <w:p w14:paraId="4F5815BD">
            <w:pPr>
              <w:pStyle w:val="35"/>
              <w:numPr>
                <w:ilvl w:val="0"/>
                <w:numId w:val="5"/>
              </w:numPr>
              <w:snapToGrid w:val="0"/>
              <w:spacing w:line="360" w:lineRule="auto"/>
              <w:ind w:firstLineChars="0"/>
              <w:jc w:val="center"/>
              <w:rPr>
                <w:rFonts w:ascii="宋体" w:hAnsi="宋体" w:cs="宋体"/>
                <w:b/>
                <w:sz w:val="24"/>
                <w:highlight w:val="none"/>
              </w:rPr>
            </w:pPr>
            <w:r>
              <w:rPr>
                <w:rFonts w:hint="eastAsia" w:ascii="宋体" w:hAnsi="宋体" w:cs="宋体"/>
                <w:sz w:val="24"/>
                <w:highlight w:val="none"/>
              </w:rPr>
              <w:t>2</w:t>
            </w:r>
          </w:p>
        </w:tc>
        <w:tc>
          <w:tcPr>
            <w:tcW w:w="815" w:type="dxa"/>
            <w:tcBorders>
              <w:top w:val="single" w:color="auto" w:sz="6" w:space="0"/>
              <w:bottom w:val="single" w:color="auto" w:sz="6" w:space="0"/>
            </w:tcBorders>
            <w:shd w:val="clear" w:color="auto" w:fill="FFFFFF"/>
            <w:vAlign w:val="center"/>
          </w:tcPr>
          <w:p w14:paraId="5E173782">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1.1</w:t>
            </w:r>
          </w:p>
        </w:tc>
        <w:tc>
          <w:tcPr>
            <w:tcW w:w="8647" w:type="dxa"/>
            <w:shd w:val="clear" w:color="auto" w:fill="FFFFFF"/>
            <w:vAlign w:val="center"/>
          </w:tcPr>
          <w:p w14:paraId="78C8D177">
            <w:pPr>
              <w:snapToGrid w:val="0"/>
              <w:spacing w:line="360" w:lineRule="auto"/>
              <w:rPr>
                <w:rFonts w:ascii="宋体" w:hAnsi="宋体" w:cs="宋体"/>
                <w:sz w:val="24"/>
                <w:szCs w:val="24"/>
                <w:highlight w:val="none"/>
              </w:rPr>
            </w:pPr>
            <w:r>
              <w:rPr>
                <w:rFonts w:hint="eastAsia" w:ascii="宋体" w:hAnsi="宋体" w:cs="宋体"/>
                <w:sz w:val="24"/>
                <w:highlight w:val="none"/>
              </w:rPr>
              <w:t>招标方式：公开招标</w:t>
            </w:r>
          </w:p>
        </w:tc>
      </w:tr>
      <w:tr w14:paraId="0ADC2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vAlign w:val="center"/>
          </w:tcPr>
          <w:p w14:paraId="49D2248E">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3</w:t>
            </w:r>
          </w:p>
        </w:tc>
        <w:tc>
          <w:tcPr>
            <w:tcW w:w="815" w:type="dxa"/>
            <w:tcBorders>
              <w:top w:val="single" w:color="auto" w:sz="6" w:space="0"/>
            </w:tcBorders>
            <w:vAlign w:val="center"/>
          </w:tcPr>
          <w:p w14:paraId="04FCBBA4">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1.2</w:t>
            </w:r>
          </w:p>
        </w:tc>
        <w:tc>
          <w:tcPr>
            <w:tcW w:w="8647" w:type="dxa"/>
            <w:vAlign w:val="center"/>
          </w:tcPr>
          <w:p w14:paraId="2835322D">
            <w:pPr>
              <w:snapToGrid w:val="0"/>
              <w:spacing w:line="360" w:lineRule="auto"/>
              <w:rPr>
                <w:rFonts w:ascii="宋体" w:hAnsi="宋体" w:cs="宋体"/>
                <w:sz w:val="24"/>
                <w:szCs w:val="24"/>
                <w:highlight w:val="none"/>
              </w:rPr>
            </w:pPr>
            <w:r>
              <w:rPr>
                <w:rFonts w:hint="eastAsia" w:ascii="宋体" w:hAnsi="宋体" w:cs="宋体"/>
                <w:sz w:val="24"/>
                <w:szCs w:val="24"/>
                <w:highlight w:val="none"/>
              </w:rPr>
              <w:t>项目名称：</w:t>
            </w:r>
            <w:r>
              <w:rPr>
                <w:rFonts w:hint="eastAsia" w:ascii="宋体" w:hAnsi="宋体" w:cs="宋体"/>
                <w:sz w:val="24"/>
                <w:highlight w:val="none"/>
              </w:rPr>
              <w:t>辽宁省营口市海洋生态保护修复工程项目管护能力建设及浒苔处置监测预报服务</w:t>
            </w:r>
          </w:p>
        </w:tc>
      </w:tr>
      <w:tr w14:paraId="7C5B7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vAlign w:val="center"/>
          </w:tcPr>
          <w:p w14:paraId="12B520BD">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4</w:t>
            </w:r>
          </w:p>
        </w:tc>
        <w:tc>
          <w:tcPr>
            <w:tcW w:w="815" w:type="dxa"/>
            <w:vAlign w:val="center"/>
          </w:tcPr>
          <w:p w14:paraId="35F0E0C4">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1.3</w:t>
            </w:r>
          </w:p>
        </w:tc>
        <w:tc>
          <w:tcPr>
            <w:tcW w:w="8647" w:type="dxa"/>
            <w:vAlign w:val="center"/>
          </w:tcPr>
          <w:p w14:paraId="510BDA5B">
            <w:pPr>
              <w:snapToGrid w:val="0"/>
              <w:spacing w:line="360" w:lineRule="auto"/>
              <w:rPr>
                <w:rFonts w:ascii="宋体" w:hAnsi="宋体" w:cs="宋体"/>
                <w:bCs/>
                <w:kern w:val="0"/>
                <w:sz w:val="24"/>
                <w:highlight w:val="none"/>
              </w:rPr>
            </w:pPr>
            <w:r>
              <w:rPr>
                <w:rFonts w:hint="eastAsia" w:ascii="宋体" w:hAnsi="宋体" w:cs="宋体"/>
                <w:sz w:val="24"/>
                <w:szCs w:val="24"/>
                <w:highlight w:val="none"/>
              </w:rPr>
              <w:t>招标人名称：</w:t>
            </w:r>
            <w:r>
              <w:rPr>
                <w:rFonts w:hint="eastAsia" w:ascii="宋体" w:hAnsi="宋体" w:cs="宋体"/>
                <w:bCs/>
                <w:kern w:val="0"/>
                <w:sz w:val="24"/>
                <w:highlight w:val="none"/>
              </w:rPr>
              <w:t>营口市海洋与渔业局</w:t>
            </w:r>
          </w:p>
        </w:tc>
      </w:tr>
      <w:tr w14:paraId="22524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2" w:hRule="atLeast"/>
          <w:jc w:val="center"/>
        </w:trPr>
        <w:tc>
          <w:tcPr>
            <w:tcW w:w="560" w:type="dxa"/>
            <w:vAlign w:val="center"/>
          </w:tcPr>
          <w:p w14:paraId="326386F1">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5</w:t>
            </w:r>
          </w:p>
        </w:tc>
        <w:tc>
          <w:tcPr>
            <w:tcW w:w="815" w:type="dxa"/>
            <w:vAlign w:val="center"/>
          </w:tcPr>
          <w:p w14:paraId="420AF882">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1.4</w:t>
            </w:r>
          </w:p>
        </w:tc>
        <w:tc>
          <w:tcPr>
            <w:tcW w:w="8647" w:type="dxa"/>
            <w:vAlign w:val="center"/>
          </w:tcPr>
          <w:p w14:paraId="630A7A69">
            <w:pPr>
              <w:snapToGrid w:val="0"/>
              <w:spacing w:line="360" w:lineRule="auto"/>
              <w:rPr>
                <w:rFonts w:ascii="宋体" w:hAnsi="宋体" w:cs="宋体"/>
                <w:sz w:val="24"/>
                <w:szCs w:val="24"/>
                <w:highlight w:val="none"/>
              </w:rPr>
            </w:pPr>
            <w:r>
              <w:rPr>
                <w:rFonts w:hint="eastAsia" w:ascii="宋体" w:hAnsi="宋体" w:cs="宋体"/>
                <w:sz w:val="24"/>
                <w:szCs w:val="24"/>
                <w:highlight w:val="none"/>
              </w:rPr>
              <w:t>招标代理机构名称：</w:t>
            </w:r>
            <w:r>
              <w:rPr>
                <w:rFonts w:hint="eastAsia" w:ascii="宋体" w:hAnsi="宋体" w:cs="宋体"/>
                <w:sz w:val="24"/>
                <w:highlight w:val="none"/>
              </w:rPr>
              <w:t>辽宁金誉建设工程造价咨询有限责任公司</w:t>
            </w:r>
          </w:p>
          <w:p w14:paraId="784AFB60">
            <w:pPr>
              <w:snapToGrid w:val="0"/>
              <w:spacing w:line="360" w:lineRule="auto"/>
              <w:rPr>
                <w:rFonts w:ascii="宋体" w:hAnsi="宋体" w:cs="宋体"/>
                <w:sz w:val="24"/>
                <w:szCs w:val="24"/>
                <w:highlight w:val="none"/>
              </w:rPr>
            </w:pPr>
            <w:r>
              <w:rPr>
                <w:rFonts w:hint="eastAsia" w:ascii="宋体" w:hAnsi="宋体" w:cs="宋体"/>
                <w:sz w:val="24"/>
                <w:szCs w:val="24"/>
                <w:highlight w:val="none"/>
              </w:rPr>
              <w:t>地址：</w:t>
            </w:r>
            <w:r>
              <w:rPr>
                <w:rFonts w:hint="eastAsia" w:ascii="宋体" w:hAnsi="宋体" w:cs="宋体"/>
                <w:sz w:val="24"/>
                <w:highlight w:val="none"/>
              </w:rPr>
              <w:t>营口市站前区永红街7-甲11号</w:t>
            </w:r>
          </w:p>
        </w:tc>
      </w:tr>
      <w:tr w14:paraId="7CA09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6" w:hRule="atLeast"/>
          <w:jc w:val="center"/>
        </w:trPr>
        <w:tc>
          <w:tcPr>
            <w:tcW w:w="560" w:type="dxa"/>
            <w:vAlign w:val="center"/>
          </w:tcPr>
          <w:p w14:paraId="7B879FF9">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6</w:t>
            </w:r>
          </w:p>
        </w:tc>
        <w:tc>
          <w:tcPr>
            <w:tcW w:w="815" w:type="dxa"/>
            <w:vAlign w:val="center"/>
          </w:tcPr>
          <w:p w14:paraId="2B3A8D32">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1.5</w:t>
            </w:r>
          </w:p>
        </w:tc>
        <w:tc>
          <w:tcPr>
            <w:tcW w:w="8647" w:type="dxa"/>
            <w:vAlign w:val="center"/>
          </w:tcPr>
          <w:p w14:paraId="78EE06DD">
            <w:pPr>
              <w:snapToGrid w:val="0"/>
              <w:spacing w:line="360" w:lineRule="auto"/>
              <w:rPr>
                <w:rFonts w:ascii="宋体" w:hAnsi="宋体" w:cs="宋体"/>
                <w:sz w:val="24"/>
                <w:szCs w:val="24"/>
                <w:highlight w:val="none"/>
              </w:rPr>
            </w:pPr>
            <w:r>
              <w:rPr>
                <w:rFonts w:hint="eastAsia" w:ascii="宋体" w:hAnsi="宋体" w:cs="宋体"/>
                <w:sz w:val="24"/>
                <w:highlight w:val="none"/>
              </w:rPr>
              <w:t>交货地点：</w:t>
            </w:r>
            <w:r>
              <w:rPr>
                <w:rFonts w:hint="eastAsia" w:ascii="宋体" w:hAnsi="宋体" w:cs="宋体"/>
                <w:sz w:val="24"/>
                <w:szCs w:val="24"/>
                <w:highlight w:val="none"/>
              </w:rPr>
              <w:t>招标人</w:t>
            </w:r>
            <w:r>
              <w:rPr>
                <w:rFonts w:hint="eastAsia" w:ascii="宋体" w:hAnsi="宋体" w:cs="宋体"/>
                <w:kern w:val="0"/>
                <w:sz w:val="24"/>
                <w:highlight w:val="none"/>
              </w:rPr>
              <w:t>指定地点。</w:t>
            </w:r>
            <w:r>
              <w:rPr>
                <w:rFonts w:hint="eastAsia" w:ascii="宋体" w:hAnsi="宋体" w:cs="宋体"/>
                <w:sz w:val="24"/>
                <w:szCs w:val="24"/>
                <w:highlight w:val="none"/>
              </w:rPr>
              <w:t xml:space="preserve"> </w:t>
            </w:r>
          </w:p>
        </w:tc>
      </w:tr>
      <w:tr w14:paraId="499BDF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2" w:hRule="atLeast"/>
          <w:jc w:val="center"/>
        </w:trPr>
        <w:tc>
          <w:tcPr>
            <w:tcW w:w="560" w:type="dxa"/>
            <w:vAlign w:val="center"/>
          </w:tcPr>
          <w:p w14:paraId="38871AF8">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7</w:t>
            </w:r>
          </w:p>
        </w:tc>
        <w:tc>
          <w:tcPr>
            <w:tcW w:w="815" w:type="dxa"/>
            <w:vAlign w:val="center"/>
          </w:tcPr>
          <w:p w14:paraId="47468EED">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1.6</w:t>
            </w:r>
          </w:p>
        </w:tc>
        <w:tc>
          <w:tcPr>
            <w:tcW w:w="8647" w:type="dxa"/>
            <w:vAlign w:val="center"/>
          </w:tcPr>
          <w:p w14:paraId="5B227A0C">
            <w:pPr>
              <w:snapToGrid w:val="0"/>
              <w:spacing w:line="360" w:lineRule="auto"/>
              <w:jc w:val="left"/>
              <w:rPr>
                <w:rFonts w:ascii="宋体" w:hAnsi="宋体" w:cs="宋体"/>
                <w:sz w:val="24"/>
                <w:highlight w:val="none"/>
              </w:rPr>
            </w:pPr>
            <w:r>
              <w:rPr>
                <w:rFonts w:hint="eastAsia" w:ascii="宋体" w:hAnsi="宋体" w:cs="宋体"/>
                <w:sz w:val="24"/>
                <w:highlight w:val="none"/>
              </w:rPr>
              <w:t>质量要求：合格</w:t>
            </w:r>
          </w:p>
        </w:tc>
      </w:tr>
      <w:tr w14:paraId="07A35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vAlign w:val="center"/>
          </w:tcPr>
          <w:p w14:paraId="3A3C650D">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3</w:t>
            </w:r>
          </w:p>
        </w:tc>
        <w:tc>
          <w:tcPr>
            <w:tcW w:w="815" w:type="dxa"/>
            <w:vAlign w:val="center"/>
          </w:tcPr>
          <w:p w14:paraId="30BF63A7">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2.1</w:t>
            </w:r>
          </w:p>
        </w:tc>
        <w:tc>
          <w:tcPr>
            <w:tcW w:w="8647" w:type="dxa"/>
            <w:vAlign w:val="center"/>
          </w:tcPr>
          <w:p w14:paraId="30E3655E">
            <w:pPr>
              <w:tabs>
                <w:tab w:val="left" w:pos="993"/>
                <w:tab w:val="left" w:pos="1134"/>
              </w:tabs>
              <w:spacing w:line="360" w:lineRule="auto"/>
              <w:rPr>
                <w:rFonts w:ascii="宋体" w:hAnsi="宋体" w:cs="宋体"/>
                <w:sz w:val="24"/>
                <w:szCs w:val="24"/>
                <w:highlight w:val="none"/>
              </w:rPr>
            </w:pPr>
            <w:r>
              <w:rPr>
                <w:rFonts w:hint="eastAsia" w:ascii="宋体" w:hAnsi="宋体" w:cs="宋体"/>
                <w:sz w:val="24"/>
                <w:szCs w:val="24"/>
                <w:highlight w:val="none"/>
              </w:rPr>
              <w:t>招标范围：</w:t>
            </w:r>
          </w:p>
          <w:p w14:paraId="14DAC4C3">
            <w:pPr>
              <w:adjustRightInd w:val="0"/>
              <w:spacing w:line="360" w:lineRule="auto"/>
              <w:ind w:firstLine="480" w:firstLineChars="200"/>
              <w:jc w:val="left"/>
              <w:textAlignment w:val="baseline"/>
              <w:rPr>
                <w:rFonts w:ascii="宋体" w:hAnsi="宋体"/>
                <w:sz w:val="24"/>
                <w:highlight w:val="none"/>
              </w:rPr>
            </w:pPr>
            <w:r>
              <w:rPr>
                <w:rFonts w:hint="eastAsia" w:ascii="宋体" w:hAnsi="宋体"/>
                <w:sz w:val="24"/>
                <w:highlight w:val="none"/>
              </w:rPr>
              <w:t>修复项目管护能力建设：</w:t>
            </w:r>
            <w:bookmarkStart w:id="19" w:name="OLE_LINK38"/>
            <w:r>
              <w:rPr>
                <w:rFonts w:hint="eastAsia" w:ascii="宋体" w:hAnsi="宋体" w:cs="宋体"/>
                <w:sz w:val="24"/>
                <w:szCs w:val="24"/>
                <w:highlight w:val="none"/>
              </w:rPr>
              <w:t>完成生态修复总面积1630.34ha，岸线整治修复长度2951.90m，砂质岸线整治修复长度1287.00m，生态护岸长度1664.90m，海岸侵蚀防护长度2951.90m，滨海湿地整治修复面积1555.22ha，保育修复芦苇/碱蓬面积139.49ha，新种植芦苇/碱蓬面积129.20ha，底栖生物修复面积260.91ha，浒苔防治面积1006.83ha，潮沟疏通面积21.81ha，海岸湿地修复面积69.87ha。其中大辽河口拟开展海基水动力监测系统、岸基水动力监测系统、岸基水质监测系统及生态数字影像系统建设；民兴河口拟开展岸基水动力监测系统建设；团山拟开展海基水动力监测系统、沙滩视频观测系统及生态数字影像系统建设；月亮湾拟开展海基水动力监测系统及岸基水质监测系统建设。构建基于Web GIS具有海洋水文动力及生态环境数据管理、生态修复效果评估、生态风险预警监管等功能的生态监测预警与修复管理平台。</w:t>
            </w:r>
            <w:bookmarkEnd w:id="19"/>
          </w:p>
          <w:p w14:paraId="323E8B98">
            <w:pPr>
              <w:tabs>
                <w:tab w:val="left" w:pos="993"/>
                <w:tab w:val="left" w:pos="1134"/>
              </w:tabs>
              <w:spacing w:line="360" w:lineRule="auto"/>
              <w:ind w:firstLine="480" w:firstLineChars="200"/>
              <w:rPr>
                <w:rFonts w:ascii="宋体" w:hAnsi="宋体" w:cs="宋体"/>
                <w:sz w:val="24"/>
                <w:highlight w:val="none"/>
              </w:rPr>
            </w:pPr>
            <w:r>
              <w:rPr>
                <w:rFonts w:hint="eastAsia" w:ascii="宋体" w:hAnsi="宋体"/>
                <w:sz w:val="24"/>
                <w:highlight w:val="none"/>
              </w:rPr>
              <w:t>浒苔处置监测预报服务：服务内容包括但不限于水文监测、环境监测、生物监测、遥感监测、预测预报模型及平台、成果报告编制及提交审核、报告内容修改及复核、资料归档、过程技术咨询及根据招标人对项目的要求所进行的其他工作。所编制的成果报告须遵照法规及规范要求。</w:t>
            </w:r>
          </w:p>
        </w:tc>
      </w:tr>
      <w:tr w14:paraId="7E5E1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vAlign w:val="center"/>
          </w:tcPr>
          <w:p w14:paraId="5E96E3CC">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5</w:t>
            </w:r>
          </w:p>
        </w:tc>
        <w:tc>
          <w:tcPr>
            <w:tcW w:w="815" w:type="dxa"/>
            <w:vAlign w:val="center"/>
          </w:tcPr>
          <w:p w14:paraId="218E4947">
            <w:pPr>
              <w:snapToGrid w:val="0"/>
              <w:spacing w:line="360" w:lineRule="auto"/>
              <w:jc w:val="center"/>
              <w:rPr>
                <w:rFonts w:ascii="宋体" w:hAnsi="宋体" w:cs="宋体"/>
                <w:sz w:val="24"/>
                <w:szCs w:val="24"/>
                <w:highlight w:val="none"/>
              </w:rPr>
            </w:pPr>
            <w:r>
              <w:rPr>
                <w:rFonts w:hint="eastAsia" w:ascii="宋体" w:hAnsi="宋体" w:cs="宋体"/>
                <w:sz w:val="24"/>
                <w:highlight w:val="none"/>
              </w:rPr>
              <w:t>2.2</w:t>
            </w:r>
          </w:p>
        </w:tc>
        <w:tc>
          <w:tcPr>
            <w:tcW w:w="8647" w:type="dxa"/>
            <w:vAlign w:val="center"/>
          </w:tcPr>
          <w:p w14:paraId="35A69986">
            <w:pPr>
              <w:snapToGrid w:val="0"/>
              <w:spacing w:line="360" w:lineRule="auto"/>
              <w:rPr>
                <w:rFonts w:ascii="宋体" w:hAnsi="宋体" w:cs="宋体"/>
                <w:sz w:val="24"/>
                <w:szCs w:val="24"/>
                <w:highlight w:val="none"/>
              </w:rPr>
            </w:pPr>
            <w:r>
              <w:rPr>
                <w:rFonts w:hint="eastAsia" w:ascii="宋体" w:hAnsi="宋体" w:cs="宋体"/>
                <w:sz w:val="24"/>
                <w:szCs w:val="24"/>
                <w:highlight w:val="none"/>
              </w:rPr>
              <w:t>服务期限：合同签订后两年，完成全部服务内容。（具体时间以合同签订为准）。</w:t>
            </w:r>
          </w:p>
          <w:p w14:paraId="397431B3">
            <w:pPr>
              <w:snapToGrid w:val="0"/>
              <w:spacing w:line="360" w:lineRule="auto"/>
              <w:rPr>
                <w:rFonts w:ascii="宋体" w:hAnsi="宋体" w:cs="宋体"/>
                <w:sz w:val="24"/>
                <w:highlight w:val="none"/>
              </w:rPr>
            </w:pPr>
            <w:r>
              <w:rPr>
                <w:rFonts w:hint="eastAsia" w:ascii="宋体" w:hAnsi="宋体" w:cs="宋体"/>
                <w:sz w:val="24"/>
                <w:szCs w:val="24"/>
                <w:highlight w:val="none"/>
              </w:rPr>
              <w:t>供货及安装调试完成时间：合同签订后（ 60 ）日内完成仪器设备供货安装。仪器设备调试完成，保证仪器设备正常运行。（具体时间以合同签订为准）</w:t>
            </w:r>
          </w:p>
        </w:tc>
      </w:tr>
      <w:tr w14:paraId="276D6D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vAlign w:val="center"/>
          </w:tcPr>
          <w:p w14:paraId="62D32749">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6</w:t>
            </w:r>
          </w:p>
        </w:tc>
        <w:tc>
          <w:tcPr>
            <w:tcW w:w="815" w:type="dxa"/>
            <w:vAlign w:val="center"/>
          </w:tcPr>
          <w:p w14:paraId="5F0EC3E1">
            <w:pPr>
              <w:snapToGrid w:val="0"/>
              <w:spacing w:line="360" w:lineRule="auto"/>
              <w:jc w:val="center"/>
              <w:rPr>
                <w:rFonts w:ascii="宋体" w:hAnsi="宋体" w:cs="宋体"/>
                <w:sz w:val="24"/>
                <w:highlight w:val="none"/>
              </w:rPr>
            </w:pPr>
            <w:r>
              <w:rPr>
                <w:rFonts w:hint="eastAsia" w:ascii="宋体" w:hAnsi="宋体" w:cs="宋体"/>
                <w:sz w:val="24"/>
                <w:highlight w:val="none"/>
              </w:rPr>
              <w:t>5.1</w:t>
            </w:r>
          </w:p>
        </w:tc>
        <w:tc>
          <w:tcPr>
            <w:tcW w:w="8647" w:type="dxa"/>
            <w:vAlign w:val="center"/>
          </w:tcPr>
          <w:p w14:paraId="2000D3C9">
            <w:pPr>
              <w:snapToGrid w:val="0"/>
              <w:spacing w:line="360" w:lineRule="auto"/>
              <w:rPr>
                <w:rFonts w:ascii="宋体" w:hAnsi="宋体" w:cs="宋体"/>
                <w:sz w:val="24"/>
                <w:highlight w:val="none"/>
              </w:rPr>
            </w:pPr>
            <w:r>
              <w:rPr>
                <w:rFonts w:hint="eastAsia" w:ascii="宋体" w:hAnsi="宋体" w:cs="宋体"/>
                <w:sz w:val="24"/>
                <w:szCs w:val="24"/>
                <w:highlight w:val="none"/>
              </w:rPr>
              <w:t>资格审查方式：资格后审。</w:t>
            </w:r>
          </w:p>
        </w:tc>
      </w:tr>
      <w:tr w14:paraId="4774B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022" w:type="dxa"/>
            <w:gridSpan w:val="3"/>
            <w:tcBorders>
              <w:top w:val="single" w:color="auto" w:sz="6" w:space="0"/>
              <w:bottom w:val="single" w:color="auto" w:sz="6" w:space="0"/>
            </w:tcBorders>
            <w:shd w:val="clear" w:color="auto" w:fill="D9D9D9"/>
            <w:vAlign w:val="center"/>
          </w:tcPr>
          <w:p w14:paraId="6055DB5A">
            <w:pPr>
              <w:snapToGrid w:val="0"/>
              <w:spacing w:line="360" w:lineRule="auto"/>
              <w:jc w:val="center"/>
              <w:rPr>
                <w:rFonts w:ascii="宋体" w:hAnsi="宋体" w:cs="宋体"/>
                <w:b/>
                <w:sz w:val="24"/>
                <w:szCs w:val="24"/>
                <w:highlight w:val="none"/>
              </w:rPr>
            </w:pPr>
            <w:r>
              <w:rPr>
                <w:rFonts w:hint="eastAsia" w:ascii="宋体" w:hAnsi="宋体" w:cs="宋体"/>
                <w:b/>
                <w:sz w:val="24"/>
                <w:szCs w:val="24"/>
                <w:highlight w:val="none"/>
              </w:rPr>
              <w:t>投标人资格条件</w:t>
            </w:r>
          </w:p>
        </w:tc>
      </w:tr>
      <w:tr w14:paraId="340E0A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560" w:type="dxa"/>
            <w:tcBorders>
              <w:top w:val="single" w:color="auto" w:sz="6" w:space="0"/>
              <w:bottom w:val="single" w:color="auto" w:sz="6" w:space="0"/>
            </w:tcBorders>
            <w:vAlign w:val="center"/>
          </w:tcPr>
          <w:p w14:paraId="47FF2C2B">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11</w:t>
            </w:r>
          </w:p>
        </w:tc>
        <w:tc>
          <w:tcPr>
            <w:tcW w:w="815" w:type="dxa"/>
            <w:tcBorders>
              <w:top w:val="single" w:color="auto" w:sz="6" w:space="0"/>
              <w:bottom w:val="single" w:color="auto" w:sz="6" w:space="0"/>
            </w:tcBorders>
            <w:vAlign w:val="center"/>
          </w:tcPr>
          <w:p w14:paraId="0DB54ABB">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4</w:t>
            </w:r>
          </w:p>
        </w:tc>
        <w:tc>
          <w:tcPr>
            <w:tcW w:w="8647" w:type="dxa"/>
            <w:tcBorders>
              <w:top w:val="single" w:color="auto" w:sz="6" w:space="0"/>
              <w:bottom w:val="single" w:color="auto" w:sz="6" w:space="0"/>
            </w:tcBorders>
            <w:vAlign w:val="center"/>
          </w:tcPr>
          <w:p w14:paraId="0153A1AF">
            <w:pPr>
              <w:snapToGrid w:val="0"/>
              <w:spacing w:line="360" w:lineRule="auto"/>
              <w:rPr>
                <w:rFonts w:ascii="宋体" w:hAnsi="宋体" w:cs="宋体"/>
                <w:sz w:val="24"/>
                <w:szCs w:val="24"/>
                <w:highlight w:val="none"/>
              </w:rPr>
            </w:pPr>
            <w:r>
              <w:rPr>
                <w:rFonts w:hint="eastAsia" w:ascii="宋体" w:hAnsi="宋体" w:cs="宋体"/>
                <w:sz w:val="24"/>
                <w:szCs w:val="24"/>
                <w:highlight w:val="none"/>
              </w:rPr>
              <w:t>本次招标实行资格后审，投标人的资格要求同本项目招标公告《投标资格要求》</w:t>
            </w:r>
          </w:p>
        </w:tc>
      </w:tr>
      <w:tr w14:paraId="362A06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022" w:type="dxa"/>
            <w:gridSpan w:val="3"/>
            <w:tcBorders>
              <w:top w:val="single" w:color="auto" w:sz="6" w:space="0"/>
              <w:bottom w:val="single" w:color="auto" w:sz="6" w:space="0"/>
            </w:tcBorders>
            <w:shd w:val="clear" w:color="auto" w:fill="D9D9D9"/>
            <w:vAlign w:val="center"/>
          </w:tcPr>
          <w:p w14:paraId="44ED10AE">
            <w:pPr>
              <w:snapToGrid w:val="0"/>
              <w:spacing w:line="360" w:lineRule="auto"/>
              <w:jc w:val="center"/>
              <w:rPr>
                <w:rFonts w:ascii="宋体" w:hAnsi="宋体" w:cs="宋体"/>
                <w:b/>
                <w:sz w:val="24"/>
                <w:szCs w:val="24"/>
                <w:highlight w:val="none"/>
              </w:rPr>
            </w:pPr>
            <w:r>
              <w:rPr>
                <w:rFonts w:hint="eastAsia" w:ascii="宋体" w:hAnsi="宋体" w:cs="宋体"/>
                <w:b/>
                <w:sz w:val="24"/>
                <w:szCs w:val="24"/>
                <w:highlight w:val="none"/>
              </w:rPr>
              <w:t>现场踏勘</w:t>
            </w:r>
          </w:p>
        </w:tc>
      </w:tr>
      <w:tr w14:paraId="62C56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1" w:hRule="atLeast"/>
          <w:jc w:val="center"/>
        </w:trPr>
        <w:tc>
          <w:tcPr>
            <w:tcW w:w="560" w:type="dxa"/>
            <w:tcBorders>
              <w:top w:val="single" w:color="auto" w:sz="6" w:space="0"/>
              <w:bottom w:val="single" w:color="auto" w:sz="6" w:space="0"/>
            </w:tcBorders>
            <w:vAlign w:val="center"/>
          </w:tcPr>
          <w:p w14:paraId="121CDE54">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12</w:t>
            </w:r>
          </w:p>
        </w:tc>
        <w:tc>
          <w:tcPr>
            <w:tcW w:w="815" w:type="dxa"/>
            <w:tcBorders>
              <w:top w:val="single" w:color="auto" w:sz="6" w:space="0"/>
              <w:bottom w:val="single" w:color="auto" w:sz="6" w:space="0"/>
            </w:tcBorders>
            <w:vAlign w:val="center"/>
          </w:tcPr>
          <w:p w14:paraId="41F4A573">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6.1</w:t>
            </w:r>
          </w:p>
        </w:tc>
        <w:tc>
          <w:tcPr>
            <w:tcW w:w="8647" w:type="dxa"/>
            <w:tcBorders>
              <w:top w:val="single" w:color="auto" w:sz="6" w:space="0"/>
              <w:bottom w:val="single" w:color="auto" w:sz="6" w:space="0"/>
            </w:tcBorders>
            <w:vAlign w:val="center"/>
          </w:tcPr>
          <w:p w14:paraId="4E650AA8">
            <w:pPr>
              <w:snapToGrid w:val="0"/>
              <w:spacing w:line="360" w:lineRule="auto"/>
              <w:rPr>
                <w:rFonts w:ascii="宋体" w:hAnsi="宋体" w:cs="宋体"/>
                <w:sz w:val="24"/>
                <w:szCs w:val="24"/>
                <w:highlight w:val="none"/>
              </w:rPr>
            </w:pPr>
            <w:r>
              <w:rPr>
                <w:rFonts w:hint="eastAsia" w:ascii="宋体" w:hAnsi="宋体" w:cs="宋体"/>
                <w:sz w:val="24"/>
                <w:szCs w:val="24"/>
                <w:highlight w:val="none"/>
              </w:rPr>
              <w:t>招标人不统一组织踏勘。</w:t>
            </w:r>
          </w:p>
        </w:tc>
      </w:tr>
      <w:tr w14:paraId="5A43E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5" w:hRule="atLeast"/>
          <w:jc w:val="center"/>
        </w:trPr>
        <w:tc>
          <w:tcPr>
            <w:tcW w:w="10022" w:type="dxa"/>
            <w:gridSpan w:val="3"/>
            <w:tcBorders>
              <w:top w:val="single" w:color="auto" w:sz="6" w:space="0"/>
              <w:bottom w:val="single" w:color="auto" w:sz="6" w:space="0"/>
            </w:tcBorders>
            <w:shd w:val="clear" w:color="auto" w:fill="D9D9D9"/>
            <w:vAlign w:val="center"/>
          </w:tcPr>
          <w:p w14:paraId="2A6F391F">
            <w:pPr>
              <w:snapToGrid w:val="0"/>
              <w:spacing w:line="360" w:lineRule="auto"/>
              <w:jc w:val="center"/>
              <w:rPr>
                <w:rFonts w:ascii="宋体" w:hAnsi="宋体" w:cs="宋体"/>
                <w:b/>
                <w:sz w:val="24"/>
                <w:szCs w:val="24"/>
                <w:highlight w:val="none"/>
              </w:rPr>
            </w:pPr>
            <w:r>
              <w:rPr>
                <w:rFonts w:hint="eastAsia" w:ascii="宋体" w:hAnsi="宋体" w:cs="宋体"/>
                <w:b/>
                <w:sz w:val="24"/>
                <w:szCs w:val="24"/>
                <w:highlight w:val="none"/>
              </w:rPr>
              <w:t>投标人对招标文件提出的异议及要求澄清的截止时间</w:t>
            </w:r>
          </w:p>
        </w:tc>
      </w:tr>
      <w:tr w14:paraId="328FC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560" w:type="dxa"/>
            <w:tcBorders>
              <w:top w:val="single" w:color="auto" w:sz="6" w:space="0"/>
            </w:tcBorders>
            <w:vAlign w:val="center"/>
          </w:tcPr>
          <w:p w14:paraId="48F32ABD">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13</w:t>
            </w:r>
          </w:p>
        </w:tc>
        <w:tc>
          <w:tcPr>
            <w:tcW w:w="815" w:type="dxa"/>
            <w:tcBorders>
              <w:top w:val="single" w:color="auto" w:sz="6" w:space="0"/>
            </w:tcBorders>
            <w:vAlign w:val="center"/>
          </w:tcPr>
          <w:p w14:paraId="110D1372">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9</w:t>
            </w:r>
          </w:p>
        </w:tc>
        <w:tc>
          <w:tcPr>
            <w:tcW w:w="8647" w:type="dxa"/>
            <w:tcBorders>
              <w:top w:val="single" w:color="auto" w:sz="6" w:space="0"/>
            </w:tcBorders>
            <w:vAlign w:val="center"/>
          </w:tcPr>
          <w:p w14:paraId="3004DC14">
            <w:pPr>
              <w:snapToGrid w:val="0"/>
              <w:spacing w:line="360" w:lineRule="auto"/>
              <w:jc w:val="left"/>
              <w:rPr>
                <w:rFonts w:ascii="宋体" w:hAnsi="宋体" w:cs="宋体"/>
                <w:sz w:val="24"/>
                <w:highlight w:val="none"/>
              </w:rPr>
            </w:pPr>
            <w:r>
              <w:rPr>
                <w:rFonts w:hint="eastAsia" w:ascii="宋体" w:hAnsi="宋体" w:cs="宋体"/>
                <w:sz w:val="24"/>
                <w:highlight w:val="none"/>
              </w:rPr>
              <w:t>1、投标人对招标文件提出异议的截止时间：各投标人应在投标截止时间十（10）天前以书面形式向招标代理提出（电话0417-2829979）。对各投标人提出的疑问，招标人以书面形式回答。</w:t>
            </w:r>
          </w:p>
          <w:p w14:paraId="163F8773">
            <w:pPr>
              <w:snapToGrid w:val="0"/>
              <w:spacing w:line="360" w:lineRule="auto"/>
              <w:rPr>
                <w:rFonts w:ascii="宋体" w:hAnsi="宋体" w:cs="宋体"/>
                <w:sz w:val="24"/>
                <w:szCs w:val="24"/>
                <w:highlight w:val="none"/>
              </w:rPr>
            </w:pPr>
            <w:r>
              <w:rPr>
                <w:rFonts w:hint="eastAsia" w:ascii="宋体" w:hAnsi="宋体" w:cs="宋体"/>
                <w:sz w:val="24"/>
                <w:highlight w:val="none"/>
              </w:rPr>
              <w:t>2、投标人要求澄清招标文件的截止时间为投标截止时间15日前。</w:t>
            </w:r>
          </w:p>
        </w:tc>
      </w:tr>
      <w:tr w14:paraId="3BA3B6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0022" w:type="dxa"/>
            <w:gridSpan w:val="3"/>
            <w:tcBorders>
              <w:top w:val="single" w:color="auto" w:sz="6" w:space="0"/>
            </w:tcBorders>
            <w:shd w:val="clear" w:color="auto" w:fill="D9D9D9"/>
            <w:vAlign w:val="center"/>
          </w:tcPr>
          <w:p w14:paraId="075173F4">
            <w:pPr>
              <w:snapToGrid w:val="0"/>
              <w:spacing w:line="360" w:lineRule="auto"/>
              <w:jc w:val="center"/>
              <w:rPr>
                <w:rFonts w:ascii="宋体" w:hAnsi="宋体" w:cs="宋体"/>
                <w:sz w:val="24"/>
                <w:highlight w:val="none"/>
              </w:rPr>
            </w:pPr>
            <w:r>
              <w:rPr>
                <w:rFonts w:hint="eastAsia" w:ascii="宋体" w:hAnsi="宋体" w:cs="宋体"/>
                <w:b/>
                <w:sz w:val="24"/>
                <w:szCs w:val="24"/>
                <w:highlight w:val="none"/>
              </w:rPr>
              <w:t>投  标  报  价  和  货  币</w:t>
            </w:r>
          </w:p>
        </w:tc>
      </w:tr>
      <w:tr w14:paraId="160AAD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560" w:type="dxa"/>
            <w:tcBorders>
              <w:top w:val="single" w:color="auto" w:sz="6" w:space="0"/>
            </w:tcBorders>
            <w:vAlign w:val="center"/>
          </w:tcPr>
          <w:p w14:paraId="300688C2">
            <w:pPr>
              <w:pStyle w:val="35"/>
              <w:numPr>
                <w:ilvl w:val="0"/>
                <w:numId w:val="5"/>
              </w:numPr>
              <w:snapToGrid w:val="0"/>
              <w:spacing w:line="360" w:lineRule="auto"/>
              <w:ind w:firstLineChars="0"/>
              <w:jc w:val="center"/>
              <w:rPr>
                <w:rFonts w:ascii="宋体" w:hAnsi="宋体" w:cs="宋体"/>
                <w:sz w:val="24"/>
                <w:highlight w:val="none"/>
              </w:rPr>
            </w:pPr>
          </w:p>
        </w:tc>
        <w:tc>
          <w:tcPr>
            <w:tcW w:w="815" w:type="dxa"/>
            <w:tcBorders>
              <w:top w:val="single" w:color="auto" w:sz="6" w:space="0"/>
            </w:tcBorders>
            <w:vAlign w:val="center"/>
          </w:tcPr>
          <w:p w14:paraId="64E91A42">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14.1</w:t>
            </w:r>
          </w:p>
        </w:tc>
        <w:tc>
          <w:tcPr>
            <w:tcW w:w="8647" w:type="dxa"/>
            <w:tcBorders>
              <w:top w:val="single" w:color="auto" w:sz="6" w:space="0"/>
            </w:tcBorders>
            <w:vAlign w:val="center"/>
          </w:tcPr>
          <w:p w14:paraId="2FB0FDCD">
            <w:pPr>
              <w:snapToGrid w:val="0"/>
              <w:spacing w:line="360" w:lineRule="auto"/>
              <w:jc w:val="left"/>
              <w:rPr>
                <w:rFonts w:ascii="宋体" w:hAnsi="宋体" w:cs="宋体"/>
                <w:sz w:val="24"/>
                <w:highlight w:val="none"/>
              </w:rPr>
            </w:pPr>
            <w:r>
              <w:rPr>
                <w:rFonts w:hint="eastAsia" w:ascii="宋体" w:hAnsi="宋体" w:cs="宋体"/>
                <w:sz w:val="24"/>
                <w:highlight w:val="none"/>
              </w:rPr>
              <w:t>投标报价方式：投标报价应为固定总价的报价方式，投标人根据招标人提供的资料自行填报固定总价，投标</w:t>
            </w:r>
            <w:r>
              <w:rPr>
                <w:rFonts w:hint="eastAsia" w:ascii="宋体" w:hAnsi="宋体" w:cs="宋体"/>
                <w:color w:val="000000"/>
                <w:sz w:val="24"/>
                <w:highlight w:val="none"/>
              </w:rPr>
              <w:t>报价应包括</w:t>
            </w:r>
            <w:r>
              <w:rPr>
                <w:rFonts w:hint="eastAsia" w:ascii="宋体" w:hAnsi="宋体" w:cs="宋体"/>
                <w:sz w:val="24"/>
                <w:highlight w:val="none"/>
              </w:rPr>
              <w:t>人员工资、福利、办公费、服装、设备、相关技术支持及培训等在内的一切与服务有关的费用。按可调整价格报价的投标文件将被视为不响应招标文件。</w:t>
            </w:r>
          </w:p>
          <w:p w14:paraId="4D70B435">
            <w:pPr>
              <w:snapToGrid w:val="0"/>
              <w:spacing w:line="360" w:lineRule="auto"/>
              <w:jc w:val="left"/>
              <w:rPr>
                <w:rFonts w:ascii="宋体" w:hAnsi="宋体" w:cs="宋体"/>
                <w:highlight w:val="none"/>
              </w:rPr>
            </w:pPr>
            <w:r>
              <w:rPr>
                <w:rFonts w:hint="eastAsia" w:ascii="宋体" w:hAnsi="宋体" w:cs="宋体"/>
                <w:sz w:val="24"/>
                <w:highlight w:val="none"/>
              </w:rPr>
              <w:t>本项目最高投标限价：</w:t>
            </w:r>
            <w:r>
              <w:rPr>
                <w:rFonts w:hint="eastAsia" w:ascii="宋体" w:hAnsi="宋体" w:cs="宋体"/>
                <w:sz w:val="24"/>
                <w:szCs w:val="24"/>
                <w:highlight w:val="none"/>
              </w:rPr>
              <w:t>2340万元</w:t>
            </w:r>
            <w:r>
              <w:rPr>
                <w:rFonts w:hint="eastAsia" w:ascii="宋体" w:hAnsi="宋体" w:cs="宋体"/>
                <w:sz w:val="24"/>
                <w:highlight w:val="none"/>
              </w:rPr>
              <w:t>。投标人所填报价不得高于上述最高限价，否则按废标处理。</w:t>
            </w:r>
          </w:p>
        </w:tc>
      </w:tr>
      <w:tr w14:paraId="62F9C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tcBorders>
              <w:top w:val="single" w:color="auto" w:sz="6" w:space="0"/>
            </w:tcBorders>
            <w:vAlign w:val="center"/>
          </w:tcPr>
          <w:p w14:paraId="376DA669">
            <w:pPr>
              <w:pStyle w:val="35"/>
              <w:numPr>
                <w:ilvl w:val="0"/>
                <w:numId w:val="5"/>
              </w:numPr>
              <w:snapToGrid w:val="0"/>
              <w:spacing w:line="360" w:lineRule="auto"/>
              <w:ind w:firstLineChars="0"/>
              <w:jc w:val="center"/>
              <w:rPr>
                <w:rFonts w:ascii="宋体" w:hAnsi="宋体" w:cs="宋体"/>
                <w:sz w:val="24"/>
                <w:highlight w:val="none"/>
              </w:rPr>
            </w:pPr>
          </w:p>
        </w:tc>
        <w:tc>
          <w:tcPr>
            <w:tcW w:w="815" w:type="dxa"/>
            <w:tcBorders>
              <w:top w:val="single" w:color="auto" w:sz="6" w:space="0"/>
            </w:tcBorders>
            <w:vAlign w:val="center"/>
          </w:tcPr>
          <w:p w14:paraId="561F44DD">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15.1</w:t>
            </w:r>
          </w:p>
        </w:tc>
        <w:tc>
          <w:tcPr>
            <w:tcW w:w="8647" w:type="dxa"/>
            <w:tcBorders>
              <w:top w:val="single" w:color="auto" w:sz="6" w:space="0"/>
            </w:tcBorders>
            <w:vAlign w:val="center"/>
          </w:tcPr>
          <w:p w14:paraId="6CD6054B">
            <w:pPr>
              <w:snapToGrid w:val="0"/>
              <w:spacing w:line="360" w:lineRule="auto"/>
              <w:jc w:val="left"/>
              <w:rPr>
                <w:rFonts w:ascii="宋体" w:hAnsi="宋体" w:cs="宋体"/>
                <w:sz w:val="24"/>
                <w:highlight w:val="none"/>
              </w:rPr>
            </w:pPr>
            <w:r>
              <w:rPr>
                <w:rFonts w:hint="eastAsia" w:ascii="宋体" w:hAnsi="宋体" w:cs="宋体"/>
                <w:sz w:val="24"/>
                <w:highlight w:val="none"/>
              </w:rPr>
              <w:t>投标货币：人民币</w:t>
            </w:r>
          </w:p>
        </w:tc>
      </w:tr>
      <w:tr w14:paraId="52850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66" w:hRule="atLeast"/>
          <w:jc w:val="center"/>
        </w:trPr>
        <w:tc>
          <w:tcPr>
            <w:tcW w:w="10022" w:type="dxa"/>
            <w:gridSpan w:val="3"/>
            <w:shd w:val="clear" w:color="auto" w:fill="E6E6E6"/>
            <w:vAlign w:val="center"/>
          </w:tcPr>
          <w:p w14:paraId="4E816E4F">
            <w:pPr>
              <w:snapToGrid w:val="0"/>
              <w:spacing w:line="360" w:lineRule="auto"/>
              <w:jc w:val="center"/>
              <w:rPr>
                <w:rFonts w:ascii="宋体" w:hAnsi="宋体" w:cs="宋体"/>
                <w:b/>
                <w:sz w:val="24"/>
                <w:szCs w:val="24"/>
                <w:highlight w:val="none"/>
              </w:rPr>
            </w:pPr>
            <w:r>
              <w:rPr>
                <w:rFonts w:hint="eastAsia" w:ascii="宋体" w:hAnsi="宋体" w:cs="宋体"/>
                <w:b/>
                <w:sz w:val="24"/>
                <w:szCs w:val="24"/>
                <w:highlight w:val="none"/>
              </w:rPr>
              <w:t>投 标 文 件 的 编 制 和 递 交</w:t>
            </w:r>
          </w:p>
        </w:tc>
      </w:tr>
      <w:tr w14:paraId="33D2B8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3" w:hRule="atLeast"/>
          <w:jc w:val="center"/>
        </w:trPr>
        <w:tc>
          <w:tcPr>
            <w:tcW w:w="560" w:type="dxa"/>
            <w:vAlign w:val="center"/>
          </w:tcPr>
          <w:p w14:paraId="2CF06A9C">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14</w:t>
            </w:r>
          </w:p>
        </w:tc>
        <w:tc>
          <w:tcPr>
            <w:tcW w:w="815" w:type="dxa"/>
            <w:vAlign w:val="center"/>
          </w:tcPr>
          <w:p w14:paraId="32A740D4">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18</w:t>
            </w:r>
          </w:p>
        </w:tc>
        <w:tc>
          <w:tcPr>
            <w:tcW w:w="8647" w:type="dxa"/>
            <w:vAlign w:val="center"/>
          </w:tcPr>
          <w:p w14:paraId="77EAD71E">
            <w:pPr>
              <w:snapToGrid w:val="0"/>
              <w:spacing w:line="360" w:lineRule="auto"/>
              <w:jc w:val="left"/>
              <w:rPr>
                <w:rFonts w:ascii="宋体" w:hAnsi="宋体" w:cs="宋体"/>
                <w:sz w:val="24"/>
                <w:highlight w:val="none"/>
              </w:rPr>
            </w:pPr>
            <w:r>
              <w:rPr>
                <w:rFonts w:hint="eastAsia" w:ascii="宋体" w:hAnsi="宋体" w:cs="宋体"/>
                <w:sz w:val="24"/>
                <w:highlight w:val="none"/>
              </w:rPr>
              <w:t>是否要求投标人递交投标保证金：</w:t>
            </w:r>
          </w:p>
          <w:p w14:paraId="726FB4DB">
            <w:pPr>
              <w:snapToGrid w:val="0"/>
              <w:spacing w:line="360" w:lineRule="auto"/>
              <w:jc w:val="left"/>
              <w:rPr>
                <w:rFonts w:ascii="宋体" w:hAnsi="宋体" w:cs="宋体"/>
                <w:sz w:val="24"/>
                <w:highlight w:val="none"/>
              </w:rPr>
            </w:pPr>
            <w:r>
              <w:rPr>
                <w:rFonts w:hint="eastAsia" w:ascii="宋体" w:hAnsi="宋体" w:cs="宋体"/>
                <w:sz w:val="24"/>
                <w:highlight w:val="none"/>
              </w:rPr>
              <w:t>□ 不要求</w:t>
            </w:r>
          </w:p>
          <w:p w14:paraId="7EA54BC7">
            <w:pPr>
              <w:snapToGrid w:val="0"/>
              <w:spacing w:line="360" w:lineRule="auto"/>
              <w:jc w:val="left"/>
              <w:rPr>
                <w:rFonts w:ascii="宋体" w:hAnsi="宋体" w:cs="宋体"/>
                <w:sz w:val="24"/>
                <w:highlight w:val="none"/>
              </w:rPr>
            </w:pPr>
            <w:r>
              <w:rPr>
                <w:rFonts w:hint="eastAsia" w:ascii="宋体" w:hAnsi="宋体" w:cs="宋体"/>
                <w:sz w:val="24"/>
                <w:highlight w:val="none"/>
              </w:rPr>
              <w:t>☑ 要求</w:t>
            </w:r>
          </w:p>
          <w:p w14:paraId="3DAB82B8">
            <w:pPr>
              <w:snapToGrid w:val="0"/>
              <w:spacing w:line="360" w:lineRule="auto"/>
              <w:jc w:val="left"/>
              <w:rPr>
                <w:rFonts w:ascii="宋体" w:hAnsi="宋体" w:cs="宋体"/>
                <w:sz w:val="24"/>
                <w:highlight w:val="none"/>
              </w:rPr>
            </w:pPr>
            <w:r>
              <w:rPr>
                <w:rFonts w:hint="eastAsia" w:ascii="宋体" w:hAnsi="宋体" w:cs="宋体"/>
                <w:sz w:val="24"/>
                <w:highlight w:val="none"/>
              </w:rPr>
              <w:t>1.投标保证金有效期：与投标有效期一致。</w:t>
            </w:r>
          </w:p>
          <w:p w14:paraId="5A703F3D">
            <w:pPr>
              <w:snapToGrid w:val="0"/>
              <w:spacing w:line="360" w:lineRule="auto"/>
              <w:jc w:val="left"/>
              <w:rPr>
                <w:rFonts w:ascii="宋体" w:hAnsi="宋体" w:cs="宋体"/>
                <w:sz w:val="24"/>
                <w:highlight w:val="none"/>
              </w:rPr>
            </w:pPr>
            <w:r>
              <w:rPr>
                <w:rFonts w:hint="eastAsia" w:ascii="宋体" w:hAnsi="宋体" w:cs="宋体"/>
                <w:sz w:val="24"/>
                <w:highlight w:val="none"/>
              </w:rPr>
              <w:t>2.投标保证金的形式：</w:t>
            </w:r>
          </w:p>
          <w:p w14:paraId="1603D301">
            <w:pPr>
              <w:snapToGrid w:val="0"/>
              <w:spacing w:line="360" w:lineRule="auto"/>
              <w:jc w:val="left"/>
              <w:rPr>
                <w:rFonts w:ascii="宋体" w:hAnsi="宋体" w:cs="宋体"/>
                <w:sz w:val="24"/>
                <w:highlight w:val="none"/>
              </w:rPr>
            </w:pPr>
            <w:r>
              <w:rPr>
                <w:rFonts w:hint="eastAsia" w:ascii="宋体" w:hAnsi="宋体" w:cs="宋体"/>
                <w:sz w:val="24"/>
                <w:highlight w:val="none"/>
              </w:rPr>
              <w:t xml:space="preserve">☑ 电汇 ☑ 保函：        </w:t>
            </w:r>
          </w:p>
          <w:p w14:paraId="13EB6A65">
            <w:pPr>
              <w:snapToGrid w:val="0"/>
              <w:spacing w:line="360" w:lineRule="auto"/>
              <w:jc w:val="left"/>
              <w:rPr>
                <w:rFonts w:ascii="宋体" w:hAnsi="宋体" w:cs="宋体"/>
                <w:sz w:val="24"/>
                <w:highlight w:val="none"/>
              </w:rPr>
            </w:pPr>
            <w:r>
              <w:rPr>
                <w:rFonts w:hint="eastAsia" w:ascii="宋体" w:hAnsi="宋体" w:cs="宋体"/>
                <w:sz w:val="24"/>
                <w:highlight w:val="none"/>
              </w:rPr>
              <w:t>3.投标保证金金额：人民币200000.00元。</w:t>
            </w:r>
          </w:p>
          <w:p w14:paraId="5A6C0A4A">
            <w:pPr>
              <w:snapToGrid w:val="0"/>
              <w:spacing w:line="360" w:lineRule="auto"/>
              <w:jc w:val="left"/>
              <w:rPr>
                <w:rFonts w:ascii="宋体" w:hAnsi="宋体" w:cs="宋体"/>
                <w:sz w:val="24"/>
                <w:highlight w:val="none"/>
              </w:rPr>
            </w:pPr>
            <w:r>
              <w:rPr>
                <w:rFonts w:hint="eastAsia" w:ascii="宋体" w:hAnsi="宋体" w:cs="宋体"/>
                <w:sz w:val="24"/>
                <w:highlight w:val="none"/>
              </w:rPr>
              <w:t>（1）电汇：投标保证金必须是从投标人单位的基本账户转入收取投标保证金的账户。</w:t>
            </w:r>
          </w:p>
          <w:p w14:paraId="676318C8">
            <w:pPr>
              <w:snapToGrid w:val="0"/>
              <w:spacing w:line="360" w:lineRule="auto"/>
              <w:jc w:val="left"/>
              <w:rPr>
                <w:rFonts w:ascii="宋体" w:hAnsi="宋体" w:cs="宋体"/>
                <w:sz w:val="24"/>
                <w:highlight w:val="none"/>
              </w:rPr>
            </w:pPr>
            <w:r>
              <w:rPr>
                <w:rFonts w:hint="eastAsia" w:ascii="宋体" w:hAnsi="宋体" w:cs="宋体"/>
                <w:sz w:val="24"/>
                <w:highlight w:val="none"/>
              </w:rPr>
              <w:t>（2）此账户仅为递交投标保证金的账户，汇款时请备注项目编号及款项。</w:t>
            </w:r>
          </w:p>
          <w:p w14:paraId="26E41341">
            <w:pPr>
              <w:snapToGrid w:val="0"/>
              <w:spacing w:line="360" w:lineRule="auto"/>
              <w:jc w:val="left"/>
              <w:rPr>
                <w:rFonts w:ascii="宋体" w:hAnsi="宋体" w:cs="宋体"/>
                <w:sz w:val="24"/>
                <w:highlight w:val="none"/>
              </w:rPr>
            </w:pPr>
            <w:r>
              <w:rPr>
                <w:rFonts w:hint="eastAsia" w:ascii="宋体" w:hAnsi="宋体" w:cs="宋体"/>
                <w:sz w:val="24"/>
                <w:highlight w:val="none"/>
              </w:rPr>
              <w:t>收取投标保证金账号：</w:t>
            </w:r>
          </w:p>
          <w:p w14:paraId="6D41296E">
            <w:pPr>
              <w:snapToGrid w:val="0"/>
              <w:spacing w:line="360" w:lineRule="auto"/>
              <w:jc w:val="left"/>
              <w:rPr>
                <w:rFonts w:ascii="宋体" w:hAnsi="宋体" w:cs="宋体"/>
                <w:sz w:val="24"/>
                <w:highlight w:val="none"/>
              </w:rPr>
            </w:pPr>
            <w:r>
              <w:rPr>
                <w:rFonts w:hint="eastAsia" w:ascii="宋体" w:hAnsi="宋体" w:cs="宋体"/>
                <w:sz w:val="24"/>
                <w:highlight w:val="none"/>
              </w:rPr>
              <w:t>开户银行：辽宁金誉建设工程造价咨询有限责任公司</w:t>
            </w:r>
          </w:p>
          <w:p w14:paraId="4DF46D1A">
            <w:pPr>
              <w:snapToGrid w:val="0"/>
              <w:spacing w:line="360" w:lineRule="auto"/>
              <w:jc w:val="left"/>
              <w:rPr>
                <w:rFonts w:ascii="宋体" w:hAnsi="宋体" w:cs="宋体"/>
                <w:sz w:val="24"/>
                <w:highlight w:val="none"/>
              </w:rPr>
            </w:pPr>
            <w:r>
              <w:rPr>
                <w:rFonts w:hint="eastAsia" w:ascii="宋体" w:hAnsi="宋体" w:cs="宋体"/>
                <w:sz w:val="24"/>
                <w:highlight w:val="none"/>
              </w:rPr>
              <w:t>账户名称：</w:t>
            </w:r>
            <w:r>
              <w:rPr>
                <w:rFonts w:hint="eastAsia" w:ascii="宋体" w:hAnsi="宋体"/>
                <w:bCs/>
                <w:sz w:val="24"/>
                <w:highlight w:val="none"/>
              </w:rPr>
              <w:t>盛京银行营口学府支行</w:t>
            </w:r>
          </w:p>
          <w:p w14:paraId="1C5838B9">
            <w:pPr>
              <w:snapToGrid w:val="0"/>
              <w:spacing w:line="360" w:lineRule="auto"/>
              <w:jc w:val="left"/>
              <w:rPr>
                <w:rFonts w:ascii="宋体" w:hAnsi="宋体"/>
                <w:bCs/>
                <w:sz w:val="24"/>
                <w:highlight w:val="none"/>
              </w:rPr>
            </w:pPr>
            <w:r>
              <w:rPr>
                <w:rFonts w:hint="eastAsia" w:ascii="宋体" w:hAnsi="宋体" w:cs="宋体"/>
                <w:sz w:val="24"/>
                <w:highlight w:val="none"/>
              </w:rPr>
              <w:t>账    号：</w:t>
            </w:r>
            <w:r>
              <w:rPr>
                <w:rFonts w:hint="eastAsia" w:ascii="宋体" w:hAnsi="宋体"/>
                <w:bCs/>
                <w:sz w:val="24"/>
                <w:highlight w:val="none"/>
              </w:rPr>
              <w:t>0550500102000009491</w:t>
            </w:r>
          </w:p>
          <w:p w14:paraId="50585009">
            <w:pPr>
              <w:adjustRightInd w:val="0"/>
              <w:snapToGrid w:val="0"/>
              <w:spacing w:line="360" w:lineRule="auto"/>
              <w:rPr>
                <w:rFonts w:ascii="宋体" w:hAnsi="宋体"/>
                <w:bCs/>
                <w:sz w:val="24"/>
                <w:highlight w:val="none"/>
              </w:rPr>
            </w:pPr>
            <w:r>
              <w:rPr>
                <w:rFonts w:hint="eastAsia" w:ascii="宋体" w:hAnsi="宋体"/>
                <w:bCs/>
                <w:sz w:val="24"/>
                <w:highlight w:val="none"/>
              </w:rPr>
              <w:t>行  号：313228050505</w:t>
            </w:r>
          </w:p>
          <w:p w14:paraId="494C0B3C">
            <w:pPr>
              <w:adjustRightInd w:val="0"/>
              <w:snapToGrid w:val="0"/>
              <w:spacing w:line="360" w:lineRule="auto"/>
              <w:rPr>
                <w:rFonts w:ascii="宋体" w:hAnsi="宋体"/>
                <w:kern w:val="0"/>
                <w:sz w:val="24"/>
                <w:highlight w:val="none"/>
              </w:rPr>
            </w:pPr>
            <w:r>
              <w:rPr>
                <w:rFonts w:hint="eastAsia" w:ascii="宋体" w:hAnsi="宋体"/>
                <w:bCs/>
                <w:sz w:val="24"/>
                <w:highlight w:val="none"/>
              </w:rPr>
              <w:t>汇款时请注明招标项目名称及编号</w:t>
            </w:r>
            <w:r>
              <w:rPr>
                <w:rFonts w:hint="eastAsia" w:ascii="宋体" w:hAnsi="宋体"/>
                <w:kern w:val="0"/>
                <w:sz w:val="24"/>
                <w:highlight w:val="none"/>
              </w:rPr>
              <w:t>，不接受个人名头汇款。</w:t>
            </w:r>
          </w:p>
          <w:p w14:paraId="0674A920">
            <w:pPr>
              <w:adjustRightInd w:val="0"/>
              <w:snapToGrid w:val="0"/>
              <w:spacing w:line="360" w:lineRule="auto"/>
              <w:rPr>
                <w:rFonts w:ascii="宋体" w:hAnsi="宋体"/>
                <w:bCs/>
                <w:sz w:val="24"/>
                <w:highlight w:val="none"/>
              </w:rPr>
            </w:pPr>
            <w:r>
              <w:rPr>
                <w:rFonts w:hint="eastAsia" w:ascii="宋体" w:hAnsi="宋体"/>
                <w:bCs/>
                <w:sz w:val="24"/>
                <w:highlight w:val="none"/>
              </w:rPr>
              <w:t>财务电话：0417-2829979</w:t>
            </w:r>
          </w:p>
          <w:p w14:paraId="7A03A3CA">
            <w:pPr>
              <w:adjustRightInd w:val="0"/>
              <w:snapToGrid w:val="0"/>
              <w:spacing w:line="360" w:lineRule="auto"/>
              <w:rPr>
                <w:rFonts w:ascii="宋体" w:hAnsi="宋体"/>
                <w:bCs/>
                <w:sz w:val="24"/>
                <w:highlight w:val="none"/>
              </w:rPr>
            </w:pPr>
            <w:r>
              <w:rPr>
                <w:rFonts w:hint="eastAsia" w:ascii="宋体" w:hAnsi="宋体"/>
                <w:kern w:val="0"/>
                <w:sz w:val="24"/>
                <w:highlight w:val="none"/>
              </w:rPr>
              <w:t>若在投标保证金的递交截止时间前没有收到任何形式的付款，则视为自动放弃此次投标。</w:t>
            </w:r>
          </w:p>
          <w:p w14:paraId="5501E2E2">
            <w:pPr>
              <w:snapToGrid w:val="0"/>
              <w:spacing w:line="360" w:lineRule="auto"/>
              <w:jc w:val="left"/>
              <w:rPr>
                <w:rFonts w:ascii="宋体" w:hAnsi="宋体" w:cs="宋体"/>
                <w:sz w:val="24"/>
                <w:highlight w:val="none"/>
              </w:rPr>
            </w:pPr>
            <w:r>
              <w:rPr>
                <w:rFonts w:hint="eastAsia" w:ascii="宋体" w:hAnsi="宋体" w:cs="宋体"/>
                <w:sz w:val="24"/>
                <w:highlight w:val="none"/>
              </w:rPr>
              <w:t>a.请将投标保证金在投标截止时间前转入收取投标保证金的账户，以到账时间为准。</w:t>
            </w:r>
          </w:p>
          <w:p w14:paraId="7C8D92CB">
            <w:pPr>
              <w:snapToGrid w:val="0"/>
              <w:spacing w:line="360" w:lineRule="auto"/>
              <w:jc w:val="left"/>
              <w:rPr>
                <w:rFonts w:ascii="宋体" w:hAnsi="宋体" w:cs="宋体"/>
                <w:sz w:val="24"/>
                <w:highlight w:val="none"/>
              </w:rPr>
            </w:pPr>
            <w:r>
              <w:rPr>
                <w:rFonts w:hint="eastAsia" w:ascii="宋体" w:hAnsi="宋体" w:cs="宋体"/>
                <w:sz w:val="24"/>
                <w:highlight w:val="none"/>
              </w:rPr>
              <w:t>b.投标保证金退还时一律以银行转账方式退回，不退现金。</w:t>
            </w:r>
          </w:p>
          <w:p w14:paraId="6EB420A1">
            <w:pPr>
              <w:snapToGrid w:val="0"/>
              <w:spacing w:line="360" w:lineRule="auto"/>
              <w:jc w:val="left"/>
              <w:rPr>
                <w:rFonts w:ascii="宋体" w:hAnsi="宋体" w:cs="宋体"/>
                <w:sz w:val="24"/>
                <w:highlight w:val="none"/>
              </w:rPr>
            </w:pPr>
            <w:r>
              <w:rPr>
                <w:rFonts w:hint="eastAsia" w:ascii="宋体" w:hAnsi="宋体" w:cs="宋体"/>
                <w:sz w:val="24"/>
                <w:highlight w:val="none"/>
              </w:rPr>
              <w:t>c.投标保证金的退还事宜请与招标代理机构联系，电话：</w:t>
            </w:r>
            <w:r>
              <w:rPr>
                <w:rFonts w:hint="eastAsia" w:ascii="宋体" w:hAnsi="宋体"/>
                <w:bCs/>
                <w:sz w:val="24"/>
                <w:highlight w:val="none"/>
              </w:rPr>
              <w:t>0417-2829979</w:t>
            </w:r>
            <w:r>
              <w:rPr>
                <w:rFonts w:hint="eastAsia" w:ascii="宋体" w:hAnsi="宋体" w:cs="宋体"/>
                <w:sz w:val="24"/>
                <w:highlight w:val="none"/>
              </w:rPr>
              <w:t xml:space="preserve"> 。</w:t>
            </w:r>
          </w:p>
          <w:p w14:paraId="646BFB37">
            <w:pPr>
              <w:snapToGrid w:val="0"/>
              <w:spacing w:line="360" w:lineRule="auto"/>
              <w:jc w:val="left"/>
              <w:rPr>
                <w:rFonts w:ascii="宋体" w:hAnsi="宋体" w:cs="宋体"/>
                <w:sz w:val="24"/>
                <w:highlight w:val="none"/>
              </w:rPr>
            </w:pPr>
            <w:r>
              <w:rPr>
                <w:rFonts w:hint="eastAsia" w:ascii="宋体" w:hAnsi="宋体" w:cs="宋体"/>
                <w:sz w:val="24"/>
                <w:highlight w:val="none"/>
              </w:rPr>
              <w:t>（2）保函（包括：银行业金融机构保函、担保公司担保保函等）</w:t>
            </w:r>
          </w:p>
          <w:p w14:paraId="31930141">
            <w:pPr>
              <w:snapToGrid w:val="0"/>
              <w:spacing w:line="360" w:lineRule="auto"/>
              <w:jc w:val="left"/>
              <w:rPr>
                <w:rFonts w:ascii="宋体" w:hAnsi="宋体" w:cs="宋体"/>
                <w:sz w:val="24"/>
                <w:highlight w:val="none"/>
              </w:rPr>
            </w:pPr>
            <w:r>
              <w:rPr>
                <w:rFonts w:hint="eastAsia" w:ascii="宋体" w:hAnsi="宋体" w:cs="宋体"/>
                <w:sz w:val="24"/>
                <w:highlight w:val="none"/>
              </w:rPr>
              <w:t>递交要求：投标人须将有效的保函及投标人的基本账户开户许可证（或基本存款账户信息）的原件扫描件或截图编制在招标文件指定位置中。</w:t>
            </w:r>
          </w:p>
          <w:p w14:paraId="3E5E2F1C">
            <w:pPr>
              <w:snapToGrid w:val="0"/>
              <w:spacing w:line="360" w:lineRule="auto"/>
              <w:jc w:val="left"/>
              <w:rPr>
                <w:rFonts w:ascii="宋体" w:hAnsi="宋体" w:cs="宋体"/>
                <w:i/>
                <w:sz w:val="24"/>
                <w:szCs w:val="24"/>
                <w:highlight w:val="none"/>
              </w:rPr>
            </w:pPr>
            <w:r>
              <w:rPr>
                <w:rFonts w:hint="eastAsia" w:ascii="宋体" w:hAnsi="宋体" w:cs="宋体"/>
                <w:sz w:val="24"/>
                <w:highlight w:val="none"/>
              </w:rPr>
              <w:t>4.其他：投标人须将有效的保函及投标人的基本账户开户许可证（或基本存款账户信息）的原件扫描件或截图，以PDF文件格式，在保证金（或保函）递交截止时间前发送到招标代理机构邮箱并通过电话确认（邮箱：jy2829979@163.com，联系电话：0417-2829979，邮件主题和正文需注明投标单位名称和项目名称。</w:t>
            </w:r>
          </w:p>
        </w:tc>
      </w:tr>
      <w:tr w14:paraId="520C5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vAlign w:val="center"/>
          </w:tcPr>
          <w:p w14:paraId="61F32A17">
            <w:pPr>
              <w:pStyle w:val="35"/>
              <w:numPr>
                <w:ilvl w:val="0"/>
                <w:numId w:val="5"/>
              </w:numPr>
              <w:snapToGrid w:val="0"/>
              <w:spacing w:line="360" w:lineRule="auto"/>
              <w:ind w:firstLineChars="0"/>
              <w:jc w:val="center"/>
              <w:rPr>
                <w:rFonts w:ascii="宋体" w:hAnsi="宋体" w:cs="宋体"/>
                <w:sz w:val="24"/>
                <w:highlight w:val="none"/>
              </w:rPr>
            </w:pPr>
          </w:p>
        </w:tc>
        <w:tc>
          <w:tcPr>
            <w:tcW w:w="815" w:type="dxa"/>
            <w:vAlign w:val="center"/>
          </w:tcPr>
          <w:p w14:paraId="2331F820">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19.1</w:t>
            </w:r>
          </w:p>
        </w:tc>
        <w:tc>
          <w:tcPr>
            <w:tcW w:w="8647" w:type="dxa"/>
            <w:vAlign w:val="center"/>
          </w:tcPr>
          <w:p w14:paraId="0446DE64">
            <w:pPr>
              <w:snapToGrid w:val="0"/>
              <w:spacing w:line="360" w:lineRule="auto"/>
              <w:jc w:val="left"/>
              <w:rPr>
                <w:rFonts w:ascii="宋体" w:hAnsi="宋体" w:cs="宋体"/>
                <w:i/>
                <w:sz w:val="24"/>
                <w:szCs w:val="24"/>
                <w:highlight w:val="none"/>
              </w:rPr>
            </w:pPr>
            <w:r>
              <w:rPr>
                <w:rFonts w:hint="eastAsia" w:ascii="宋体" w:hAnsi="宋体" w:cs="宋体"/>
                <w:sz w:val="24"/>
                <w:szCs w:val="24"/>
                <w:highlight w:val="none"/>
              </w:rPr>
              <w:t>投标有效期：</w:t>
            </w:r>
            <w:r>
              <w:rPr>
                <w:rFonts w:hint="eastAsia" w:ascii="宋体" w:hAnsi="宋体" w:cs="宋体"/>
                <w:sz w:val="24"/>
                <w:szCs w:val="24"/>
                <w:highlight w:val="none"/>
                <w:u w:val="single"/>
              </w:rPr>
              <w:t>90日历</w:t>
            </w:r>
            <w:r>
              <w:rPr>
                <w:rFonts w:hint="eastAsia" w:ascii="宋体" w:hAnsi="宋体" w:cs="宋体"/>
                <w:sz w:val="24"/>
                <w:szCs w:val="24"/>
                <w:highlight w:val="none"/>
              </w:rPr>
              <w:t>天（从投标截止之日算起）</w:t>
            </w:r>
          </w:p>
        </w:tc>
      </w:tr>
      <w:tr w14:paraId="05F05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4" w:hRule="atLeast"/>
          <w:jc w:val="center"/>
        </w:trPr>
        <w:tc>
          <w:tcPr>
            <w:tcW w:w="560" w:type="dxa"/>
            <w:vAlign w:val="center"/>
          </w:tcPr>
          <w:p w14:paraId="4C601C22">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15</w:t>
            </w:r>
          </w:p>
        </w:tc>
        <w:tc>
          <w:tcPr>
            <w:tcW w:w="815" w:type="dxa"/>
            <w:vAlign w:val="center"/>
          </w:tcPr>
          <w:p w14:paraId="5E4D1AC3">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20.1</w:t>
            </w:r>
          </w:p>
        </w:tc>
        <w:tc>
          <w:tcPr>
            <w:tcW w:w="8647" w:type="dxa"/>
            <w:vAlign w:val="center"/>
          </w:tcPr>
          <w:p w14:paraId="48721B38">
            <w:pPr>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纸质版投标文件份数：</w:t>
            </w:r>
          </w:p>
          <w:p w14:paraId="673953E5">
            <w:pPr>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1、正本</w:t>
            </w:r>
            <w:r>
              <w:rPr>
                <w:rFonts w:hint="eastAsia" w:ascii="宋体" w:hAnsi="宋体" w:cs="宋体"/>
                <w:sz w:val="24"/>
                <w:szCs w:val="24"/>
                <w:highlight w:val="none"/>
                <w:u w:val="single"/>
              </w:rPr>
              <w:t>壹</w:t>
            </w:r>
            <w:r>
              <w:rPr>
                <w:rFonts w:hint="eastAsia" w:ascii="宋体" w:hAnsi="宋体" w:cs="宋体"/>
                <w:sz w:val="24"/>
                <w:szCs w:val="24"/>
                <w:highlight w:val="none"/>
              </w:rPr>
              <w:t>本，副本</w:t>
            </w:r>
            <w:r>
              <w:rPr>
                <w:rFonts w:hint="eastAsia" w:ascii="宋体" w:hAnsi="宋体" w:cs="宋体"/>
                <w:sz w:val="24"/>
                <w:szCs w:val="24"/>
                <w:highlight w:val="none"/>
                <w:u w:val="single"/>
              </w:rPr>
              <w:t>肆</w:t>
            </w:r>
            <w:r>
              <w:rPr>
                <w:rFonts w:hint="eastAsia" w:ascii="宋体" w:hAnsi="宋体" w:cs="宋体"/>
                <w:sz w:val="24"/>
                <w:szCs w:val="24"/>
                <w:highlight w:val="none"/>
              </w:rPr>
              <w:t>本，封面应分别注明正、副本字样。</w:t>
            </w:r>
          </w:p>
          <w:p w14:paraId="7328691A">
            <w:pPr>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2、投标文件电子文档贰份（(U 盘word 版一份，加盖公章的PDF 版一份））。</w:t>
            </w:r>
          </w:p>
          <w:p w14:paraId="55AD39DF">
            <w:pPr>
              <w:pStyle w:val="27"/>
              <w:ind w:left="0" w:firstLine="0"/>
              <w:rPr>
                <w:highlight w:val="none"/>
              </w:rPr>
            </w:pPr>
            <w:r>
              <w:rPr>
                <w:rFonts w:hint="eastAsia" w:ascii="宋体" w:hAnsi="宋体" w:cs="宋体"/>
                <w:szCs w:val="24"/>
                <w:highlight w:val="none"/>
              </w:rPr>
              <w:t>3、仅由中标人提供。</w:t>
            </w:r>
          </w:p>
        </w:tc>
      </w:tr>
      <w:tr w14:paraId="3FE2E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560" w:type="dxa"/>
            <w:vAlign w:val="center"/>
          </w:tcPr>
          <w:p w14:paraId="1964FDAC">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16</w:t>
            </w:r>
          </w:p>
        </w:tc>
        <w:tc>
          <w:tcPr>
            <w:tcW w:w="815" w:type="dxa"/>
            <w:vAlign w:val="center"/>
          </w:tcPr>
          <w:p w14:paraId="418F15D4">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21.3</w:t>
            </w:r>
          </w:p>
          <w:p w14:paraId="7CB77503">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22.1</w:t>
            </w:r>
          </w:p>
        </w:tc>
        <w:tc>
          <w:tcPr>
            <w:tcW w:w="8647" w:type="dxa"/>
            <w:vAlign w:val="center"/>
          </w:tcPr>
          <w:p w14:paraId="7C85FAD4">
            <w:pPr>
              <w:snapToGrid w:val="0"/>
              <w:spacing w:line="360" w:lineRule="auto"/>
              <w:jc w:val="left"/>
              <w:rPr>
                <w:rFonts w:ascii="宋体" w:hAnsi="宋体" w:cs="宋体"/>
                <w:sz w:val="24"/>
                <w:szCs w:val="24"/>
                <w:highlight w:val="none"/>
                <w:u w:val="single"/>
              </w:rPr>
            </w:pPr>
            <w:r>
              <w:rPr>
                <w:rFonts w:hint="eastAsia" w:ascii="宋体" w:hAnsi="宋体" w:cs="宋体"/>
                <w:sz w:val="24"/>
                <w:szCs w:val="24"/>
                <w:highlight w:val="none"/>
              </w:rPr>
              <w:t>投标文件递交截止时间：</w:t>
            </w:r>
            <w:r>
              <w:rPr>
                <w:rFonts w:hint="eastAsia" w:ascii="宋体" w:hAnsi="宋体" w:cs="宋体"/>
                <w:sz w:val="24"/>
                <w:szCs w:val="24"/>
                <w:highlight w:val="none"/>
                <w:u w:val="single"/>
              </w:rPr>
              <w:t>2025年XX月XX日上午XX时XX分(北京时间)</w:t>
            </w:r>
          </w:p>
          <w:p w14:paraId="3F720513">
            <w:pPr>
              <w:snapToGrid w:val="0"/>
              <w:spacing w:line="360" w:lineRule="auto"/>
              <w:jc w:val="left"/>
              <w:rPr>
                <w:rFonts w:ascii="宋体" w:hAnsi="宋体" w:cs="宋体"/>
                <w:b/>
                <w:sz w:val="24"/>
                <w:szCs w:val="24"/>
                <w:highlight w:val="none"/>
              </w:rPr>
            </w:pPr>
            <w:r>
              <w:rPr>
                <w:rFonts w:hint="eastAsia" w:ascii="宋体" w:hAnsi="宋体" w:cs="宋体"/>
                <w:sz w:val="24"/>
                <w:szCs w:val="24"/>
                <w:highlight w:val="none"/>
              </w:rPr>
              <w:t>投标文件递交地址：</w:t>
            </w:r>
            <w:r>
              <w:rPr>
                <w:rFonts w:hint="eastAsia" w:ascii="宋体" w:hAnsi="宋体" w:cs="宋体"/>
                <w:sz w:val="24"/>
                <w:highlight w:val="none"/>
              </w:rPr>
              <w:t>在“辽宁省公共资源交易一张网电子化平台（https://www.lnsggzy.com/EpointSSO/login/oauth2login）”上传投标文件。</w:t>
            </w:r>
          </w:p>
        </w:tc>
      </w:tr>
      <w:tr w14:paraId="132E7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6" w:hRule="atLeast"/>
          <w:jc w:val="center"/>
        </w:trPr>
        <w:tc>
          <w:tcPr>
            <w:tcW w:w="560" w:type="dxa"/>
            <w:vAlign w:val="center"/>
          </w:tcPr>
          <w:p w14:paraId="4103D2E0">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17</w:t>
            </w:r>
          </w:p>
        </w:tc>
        <w:tc>
          <w:tcPr>
            <w:tcW w:w="815" w:type="dxa"/>
            <w:vAlign w:val="center"/>
          </w:tcPr>
          <w:p w14:paraId="38E20708">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25.1</w:t>
            </w:r>
          </w:p>
        </w:tc>
        <w:tc>
          <w:tcPr>
            <w:tcW w:w="8647" w:type="dxa"/>
          </w:tcPr>
          <w:p w14:paraId="482F13F5">
            <w:pPr>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开标时间：</w:t>
            </w:r>
            <w:r>
              <w:rPr>
                <w:rFonts w:hint="eastAsia" w:ascii="宋体" w:hAnsi="宋体" w:cs="宋体"/>
                <w:sz w:val="24"/>
                <w:szCs w:val="24"/>
                <w:highlight w:val="none"/>
                <w:u w:val="single"/>
              </w:rPr>
              <w:t>2025年XX月XX日上午XX时XX</w:t>
            </w:r>
            <w:r>
              <w:rPr>
                <w:rFonts w:hint="eastAsia" w:ascii="宋体" w:hAnsi="宋体" w:cs="宋体"/>
                <w:sz w:val="24"/>
                <w:szCs w:val="24"/>
                <w:highlight w:val="none"/>
              </w:rPr>
              <w:t>分(北京时间)</w:t>
            </w:r>
          </w:p>
          <w:p w14:paraId="5EFBD9B3">
            <w:pPr>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开标方式：远程开标（不见面交易）</w:t>
            </w:r>
          </w:p>
          <w:p w14:paraId="3C2F8BC3">
            <w:pPr>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解密时间：招标人发出解密提示后30分钟内。遇到投标人较多或其他特殊情况在30分钟内无法完成解密的，可报项目行政监督部门适当延长解密时间。</w:t>
            </w:r>
          </w:p>
          <w:p w14:paraId="511604EB">
            <w:pPr>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注意：1.</w:t>
            </w:r>
            <w:r>
              <w:rPr>
                <w:rFonts w:ascii="宋体" w:hAnsi="宋体" w:cs="宋体"/>
                <w:sz w:val="24"/>
                <w:szCs w:val="24"/>
                <w:highlight w:val="none"/>
              </w:rPr>
              <w:t>递交投标文件截止时间止到开标结束不得擅自离开开标大厅，否则影响到文件解密、质疑等环节的后果由投标人自行承担。</w:t>
            </w:r>
          </w:p>
          <w:p w14:paraId="2FCA5D04">
            <w:pPr>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2.</w:t>
            </w:r>
            <w:r>
              <w:rPr>
                <w:rFonts w:ascii="宋体" w:hAnsi="宋体" w:cs="宋体"/>
                <w:sz w:val="24"/>
                <w:szCs w:val="24"/>
                <w:highlight w:val="none"/>
              </w:rPr>
              <w:t>投标人应在规定的投标文件解密时间内完成投标文件解密操作，若在规定时间内未完成解密操作或解密失败的，后果由投标人自行承担。</w:t>
            </w:r>
          </w:p>
          <w:p w14:paraId="2200C452">
            <w:pPr>
              <w:snapToGrid w:val="0"/>
              <w:spacing w:line="360" w:lineRule="auto"/>
              <w:jc w:val="left"/>
              <w:rPr>
                <w:highlight w:val="none"/>
              </w:rPr>
            </w:pPr>
            <w:r>
              <w:rPr>
                <w:rFonts w:hint="eastAsia" w:ascii="宋体" w:hAnsi="宋体" w:cs="宋体"/>
                <w:sz w:val="24"/>
                <w:szCs w:val="24"/>
                <w:highlight w:val="none"/>
              </w:rPr>
              <w:t>3.</w:t>
            </w:r>
            <w:r>
              <w:rPr>
                <w:rFonts w:ascii="宋体" w:hAnsi="宋体" w:cs="宋体"/>
                <w:sz w:val="24"/>
                <w:szCs w:val="24"/>
                <w:highlight w:val="none"/>
              </w:rPr>
              <w:t>在开标记录生成并公布后的5分钟内完成在开标记录表确认的操作，未在规定时间内完成确认的视为认同开标结果。</w:t>
            </w:r>
          </w:p>
        </w:tc>
      </w:tr>
      <w:tr w14:paraId="6DACF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08" w:hRule="atLeast"/>
          <w:jc w:val="center"/>
        </w:trPr>
        <w:tc>
          <w:tcPr>
            <w:tcW w:w="10022" w:type="dxa"/>
            <w:gridSpan w:val="3"/>
            <w:shd w:val="clear" w:color="auto" w:fill="E0E0E0"/>
            <w:vAlign w:val="center"/>
          </w:tcPr>
          <w:p w14:paraId="0E86FFC5">
            <w:pPr>
              <w:snapToGrid w:val="0"/>
              <w:spacing w:line="360" w:lineRule="auto"/>
              <w:jc w:val="center"/>
              <w:rPr>
                <w:rFonts w:ascii="宋体" w:hAnsi="宋体" w:cs="宋体"/>
                <w:sz w:val="24"/>
                <w:szCs w:val="24"/>
                <w:highlight w:val="none"/>
              </w:rPr>
            </w:pPr>
            <w:r>
              <w:rPr>
                <w:rFonts w:hint="eastAsia" w:ascii="宋体" w:hAnsi="宋体" w:cs="宋体"/>
                <w:b/>
                <w:sz w:val="24"/>
                <w:szCs w:val="24"/>
                <w:highlight w:val="none"/>
              </w:rPr>
              <w:t>评   标</w:t>
            </w:r>
          </w:p>
        </w:tc>
      </w:tr>
      <w:tr w14:paraId="1FFD82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560" w:type="dxa"/>
            <w:tcBorders>
              <w:right w:val="single" w:color="auto" w:sz="4" w:space="0"/>
            </w:tcBorders>
            <w:vAlign w:val="center"/>
          </w:tcPr>
          <w:p w14:paraId="0FA2A864">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18</w:t>
            </w:r>
          </w:p>
        </w:tc>
        <w:tc>
          <w:tcPr>
            <w:tcW w:w="815" w:type="dxa"/>
            <w:tcBorders>
              <w:right w:val="single" w:color="auto" w:sz="4" w:space="0"/>
            </w:tcBorders>
            <w:vAlign w:val="center"/>
          </w:tcPr>
          <w:p w14:paraId="4BF1D26C">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31.4</w:t>
            </w:r>
          </w:p>
        </w:tc>
        <w:tc>
          <w:tcPr>
            <w:tcW w:w="8647" w:type="dxa"/>
            <w:tcBorders>
              <w:left w:val="single" w:color="auto" w:sz="4" w:space="0"/>
            </w:tcBorders>
            <w:vAlign w:val="center"/>
          </w:tcPr>
          <w:p w14:paraId="611113D9">
            <w:pPr>
              <w:snapToGrid w:val="0"/>
              <w:spacing w:line="360" w:lineRule="auto"/>
              <w:rPr>
                <w:rFonts w:ascii="宋体" w:hAnsi="宋体" w:cs="宋体"/>
                <w:sz w:val="24"/>
                <w:szCs w:val="24"/>
                <w:highlight w:val="none"/>
              </w:rPr>
            </w:pPr>
            <w:r>
              <w:rPr>
                <w:rFonts w:hint="eastAsia" w:ascii="宋体" w:hAnsi="宋体" w:cs="宋体"/>
                <w:sz w:val="24"/>
                <w:szCs w:val="24"/>
                <w:highlight w:val="none"/>
              </w:rPr>
              <w:t>评标方法及标准：详见招标文件第七章《评标办法》。</w:t>
            </w:r>
          </w:p>
        </w:tc>
      </w:tr>
      <w:tr w14:paraId="5261DF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46" w:hRule="atLeast"/>
          <w:jc w:val="center"/>
        </w:trPr>
        <w:tc>
          <w:tcPr>
            <w:tcW w:w="10022" w:type="dxa"/>
            <w:gridSpan w:val="3"/>
            <w:tcBorders>
              <w:top w:val="single" w:color="auto" w:sz="6" w:space="0"/>
              <w:bottom w:val="single" w:color="auto" w:sz="6" w:space="0"/>
            </w:tcBorders>
            <w:shd w:val="clear" w:color="auto" w:fill="D9D9D9"/>
            <w:vAlign w:val="center"/>
          </w:tcPr>
          <w:p w14:paraId="7220BCA8">
            <w:pPr>
              <w:snapToGrid w:val="0"/>
              <w:spacing w:line="360" w:lineRule="auto"/>
              <w:jc w:val="center"/>
              <w:rPr>
                <w:rFonts w:ascii="宋体" w:hAnsi="宋体" w:cs="宋体"/>
                <w:b/>
                <w:sz w:val="24"/>
                <w:szCs w:val="24"/>
                <w:highlight w:val="none"/>
              </w:rPr>
            </w:pPr>
            <w:r>
              <w:rPr>
                <w:rFonts w:hint="eastAsia" w:ascii="宋体" w:hAnsi="宋体" w:cs="宋体"/>
                <w:b/>
                <w:sz w:val="24"/>
                <w:szCs w:val="24"/>
                <w:highlight w:val="none"/>
              </w:rPr>
              <w:t>招标代理服务费</w:t>
            </w:r>
          </w:p>
        </w:tc>
      </w:tr>
      <w:tr w14:paraId="17389F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6" w:hRule="atLeast"/>
          <w:jc w:val="center"/>
        </w:trPr>
        <w:tc>
          <w:tcPr>
            <w:tcW w:w="560" w:type="dxa"/>
            <w:tcBorders>
              <w:top w:val="single" w:color="auto" w:sz="6" w:space="0"/>
              <w:bottom w:val="single" w:color="auto" w:sz="6" w:space="0"/>
            </w:tcBorders>
            <w:vAlign w:val="center"/>
          </w:tcPr>
          <w:p w14:paraId="03BCDAFF">
            <w:pPr>
              <w:pStyle w:val="35"/>
              <w:numPr>
                <w:ilvl w:val="0"/>
                <w:numId w:val="5"/>
              </w:numPr>
              <w:snapToGrid w:val="0"/>
              <w:spacing w:line="360" w:lineRule="auto"/>
              <w:ind w:firstLineChars="0"/>
              <w:jc w:val="center"/>
              <w:rPr>
                <w:rFonts w:ascii="宋体" w:hAnsi="宋体" w:cs="宋体"/>
                <w:sz w:val="24"/>
                <w:highlight w:val="none"/>
              </w:rPr>
            </w:pPr>
            <w:r>
              <w:rPr>
                <w:rFonts w:hint="eastAsia" w:ascii="宋体" w:hAnsi="宋体" w:cs="宋体"/>
                <w:sz w:val="24"/>
                <w:highlight w:val="none"/>
              </w:rPr>
              <w:t>19</w:t>
            </w:r>
          </w:p>
        </w:tc>
        <w:tc>
          <w:tcPr>
            <w:tcW w:w="815" w:type="dxa"/>
            <w:tcBorders>
              <w:top w:val="single" w:color="auto" w:sz="6" w:space="0"/>
              <w:bottom w:val="single" w:color="auto" w:sz="6" w:space="0"/>
            </w:tcBorders>
            <w:vAlign w:val="center"/>
          </w:tcPr>
          <w:p w14:paraId="77905309">
            <w:pPr>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t>7.3</w:t>
            </w:r>
          </w:p>
        </w:tc>
        <w:tc>
          <w:tcPr>
            <w:tcW w:w="8647" w:type="dxa"/>
            <w:tcBorders>
              <w:top w:val="single" w:color="auto" w:sz="6" w:space="0"/>
              <w:bottom w:val="single" w:color="auto" w:sz="6" w:space="0"/>
            </w:tcBorders>
            <w:vAlign w:val="center"/>
          </w:tcPr>
          <w:p w14:paraId="629BB4A3">
            <w:pPr>
              <w:snapToGrid w:val="0"/>
              <w:spacing w:line="360" w:lineRule="auto"/>
              <w:jc w:val="left"/>
              <w:rPr>
                <w:rFonts w:ascii="宋体" w:hAnsi="宋体" w:cs="宋体"/>
                <w:sz w:val="24"/>
                <w:highlight w:val="none"/>
              </w:rPr>
            </w:pPr>
            <w:r>
              <w:rPr>
                <w:rFonts w:hint="eastAsia" w:ascii="宋体" w:hAnsi="宋体" w:cs="宋体"/>
                <w:sz w:val="24"/>
                <w:highlight w:val="none"/>
              </w:rPr>
              <w:t>以中标价为计算基数，参照原国家发展计划委员会《招标代理服务收费管理暂行办法》(计价格[2002]1980号文)(服务类)标准收取，由</w:t>
            </w:r>
            <w:r>
              <w:rPr>
                <w:rFonts w:hint="eastAsia" w:ascii="宋体" w:hAnsi="宋体" w:cs="宋体"/>
                <w:b/>
                <w:sz w:val="24"/>
                <w:highlight w:val="none"/>
                <w:u w:val="single"/>
              </w:rPr>
              <w:t>中标人</w:t>
            </w:r>
            <w:r>
              <w:rPr>
                <w:rFonts w:hint="eastAsia" w:ascii="宋体" w:hAnsi="宋体" w:cs="宋体"/>
                <w:sz w:val="24"/>
                <w:highlight w:val="none"/>
              </w:rPr>
              <w:t>在领取中标通知书的同时以现金或电汇向招标代理机构交纳招标代理服务费用。</w:t>
            </w:r>
          </w:p>
          <w:p w14:paraId="7FC1E908">
            <w:pPr>
              <w:snapToGrid w:val="0"/>
              <w:spacing w:line="360" w:lineRule="auto"/>
              <w:jc w:val="left"/>
              <w:rPr>
                <w:rFonts w:ascii="宋体" w:hAnsi="宋体" w:cs="宋体"/>
                <w:b/>
                <w:bCs/>
                <w:sz w:val="24"/>
                <w:highlight w:val="none"/>
                <w:u w:val="single"/>
              </w:rPr>
            </w:pPr>
            <w:r>
              <w:rPr>
                <w:rFonts w:hint="eastAsia" w:ascii="宋体" w:hAnsi="宋体" w:cs="宋体"/>
                <w:b/>
                <w:bCs/>
                <w:sz w:val="24"/>
                <w:highlight w:val="none"/>
                <w:u w:val="single"/>
              </w:rPr>
              <w:t>本项目采购代理服务费按货物标准收取。</w:t>
            </w:r>
          </w:p>
          <w:p w14:paraId="2FD3417C">
            <w:pPr>
              <w:adjustRightInd w:val="0"/>
              <w:snapToGrid w:val="0"/>
              <w:spacing w:line="360" w:lineRule="auto"/>
              <w:rPr>
                <w:rFonts w:ascii="宋体"/>
                <w:b/>
                <w:sz w:val="24"/>
                <w:highlight w:val="none"/>
              </w:rPr>
            </w:pPr>
            <w:r>
              <w:rPr>
                <w:rFonts w:hint="eastAsia" w:ascii="宋体" w:hAnsi="宋体"/>
                <w:sz w:val="24"/>
                <w:highlight w:val="none"/>
              </w:rPr>
              <w:t>采购代理服务费</w:t>
            </w:r>
            <w:r>
              <w:rPr>
                <w:rFonts w:hint="eastAsia" w:ascii="宋体" w:hAnsi="宋体"/>
                <w:bCs/>
                <w:sz w:val="24"/>
                <w:highlight w:val="none"/>
              </w:rPr>
              <w:t>收费标准</w:t>
            </w:r>
          </w:p>
          <w:tbl>
            <w:tblPr>
              <w:tblStyle w:val="2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860"/>
              <w:gridCol w:w="1860"/>
              <w:gridCol w:w="1860"/>
            </w:tblGrid>
            <w:tr w14:paraId="6ECC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340" w:type="dxa"/>
                  <w:vAlign w:val="center"/>
                </w:tcPr>
                <w:p w14:paraId="0F64CB4F">
                  <w:pPr>
                    <w:adjustRightInd w:val="0"/>
                    <w:snapToGrid w:val="0"/>
                    <w:spacing w:line="400" w:lineRule="exact"/>
                    <w:ind w:firstLine="720"/>
                    <w:jc w:val="center"/>
                    <w:rPr>
                      <w:rFonts w:ascii="宋体"/>
                      <w:sz w:val="24"/>
                      <w:highlight w:val="none"/>
                    </w:rPr>
                  </w:pPr>
                  <w:r>
                    <w:rPr>
                      <w:rFonts w:hint="eastAsia" w:ascii="宋体" w:hAnsi="宋体"/>
                      <w:sz w:val="24"/>
                      <w:highlight w:val="none"/>
                    </w:rPr>
                    <w:t>服务类型</w:t>
                  </w:r>
                </w:p>
                <w:p w14:paraId="02BB2F42">
                  <w:pPr>
                    <w:adjustRightInd w:val="0"/>
                    <w:snapToGrid w:val="0"/>
                    <w:spacing w:line="400" w:lineRule="exact"/>
                    <w:ind w:firstLine="960" w:firstLineChars="400"/>
                    <w:rPr>
                      <w:rFonts w:ascii="宋体"/>
                      <w:sz w:val="24"/>
                      <w:highlight w:val="none"/>
                    </w:rPr>
                  </w:pPr>
                  <w:r>
                    <w:rPr>
                      <w:rFonts w:hint="eastAsia" w:ascii="宋体" w:hAnsi="宋体"/>
                      <w:sz w:val="24"/>
                      <w:highlight w:val="none"/>
                    </w:rPr>
                    <w:t>费率</w:t>
                  </w:r>
                </w:p>
                <w:p w14:paraId="5EA7A59F">
                  <w:pPr>
                    <w:adjustRightInd w:val="0"/>
                    <w:snapToGrid w:val="0"/>
                    <w:spacing w:line="400" w:lineRule="exact"/>
                    <w:rPr>
                      <w:rFonts w:ascii="宋体"/>
                      <w:sz w:val="24"/>
                      <w:highlight w:val="none"/>
                    </w:rPr>
                  </w:pPr>
                  <w:r>
                    <w:rPr>
                      <w:rFonts w:hint="eastAsia" w:ascii="宋体" w:hAnsi="宋体"/>
                      <w:sz w:val="24"/>
                      <w:highlight w:val="none"/>
                    </w:rPr>
                    <w:t>中标金额（万元）</w:t>
                  </w:r>
                </w:p>
              </w:tc>
              <w:tc>
                <w:tcPr>
                  <w:tcW w:w="1860" w:type="dxa"/>
                  <w:vAlign w:val="center"/>
                </w:tcPr>
                <w:p w14:paraId="657E21D5">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货物招标</w:t>
                  </w:r>
                </w:p>
              </w:tc>
              <w:tc>
                <w:tcPr>
                  <w:tcW w:w="1860" w:type="dxa"/>
                  <w:vAlign w:val="center"/>
                </w:tcPr>
                <w:p w14:paraId="18EFE001">
                  <w:pPr>
                    <w:adjustRightInd w:val="0"/>
                    <w:snapToGrid w:val="0"/>
                    <w:spacing w:line="400" w:lineRule="exact"/>
                    <w:jc w:val="center"/>
                    <w:rPr>
                      <w:rFonts w:ascii="宋体"/>
                      <w:sz w:val="24"/>
                      <w:highlight w:val="none"/>
                    </w:rPr>
                  </w:pPr>
                  <w:r>
                    <w:rPr>
                      <w:rFonts w:hint="eastAsia" w:ascii="宋体" w:hAnsi="宋体"/>
                      <w:sz w:val="24"/>
                      <w:highlight w:val="none"/>
                    </w:rPr>
                    <w:t>服务招标</w:t>
                  </w:r>
                </w:p>
              </w:tc>
              <w:tc>
                <w:tcPr>
                  <w:tcW w:w="1860" w:type="dxa"/>
                  <w:vAlign w:val="center"/>
                </w:tcPr>
                <w:p w14:paraId="08368C1E">
                  <w:pPr>
                    <w:adjustRightInd w:val="0"/>
                    <w:snapToGrid w:val="0"/>
                    <w:spacing w:line="400" w:lineRule="exact"/>
                    <w:jc w:val="center"/>
                    <w:rPr>
                      <w:rFonts w:ascii="宋体"/>
                      <w:sz w:val="24"/>
                      <w:highlight w:val="none"/>
                    </w:rPr>
                  </w:pPr>
                  <w:r>
                    <w:rPr>
                      <w:rFonts w:hint="eastAsia" w:ascii="宋体" w:hAnsi="宋体"/>
                      <w:sz w:val="24"/>
                      <w:highlight w:val="none"/>
                    </w:rPr>
                    <w:t>工程招标</w:t>
                  </w:r>
                </w:p>
              </w:tc>
            </w:tr>
            <w:tr w14:paraId="0D68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340" w:type="dxa"/>
                  <w:vAlign w:val="center"/>
                </w:tcPr>
                <w:p w14:paraId="6136C8B0">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100以下</w:t>
                  </w:r>
                </w:p>
              </w:tc>
              <w:tc>
                <w:tcPr>
                  <w:tcW w:w="1860" w:type="dxa"/>
                  <w:vAlign w:val="center"/>
                </w:tcPr>
                <w:p w14:paraId="2BCEE47D">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1.5%</w:t>
                  </w:r>
                </w:p>
              </w:tc>
              <w:tc>
                <w:tcPr>
                  <w:tcW w:w="1860" w:type="dxa"/>
                  <w:vAlign w:val="center"/>
                </w:tcPr>
                <w:p w14:paraId="134D4E29">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1.5%</w:t>
                  </w:r>
                </w:p>
              </w:tc>
              <w:tc>
                <w:tcPr>
                  <w:tcW w:w="1860" w:type="dxa"/>
                  <w:vAlign w:val="center"/>
                </w:tcPr>
                <w:p w14:paraId="3F60CABC">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1.0%</w:t>
                  </w:r>
                </w:p>
              </w:tc>
            </w:tr>
            <w:tr w14:paraId="2C84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2340" w:type="dxa"/>
                  <w:vAlign w:val="center"/>
                </w:tcPr>
                <w:p w14:paraId="6C7D937D">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100-500</w:t>
                  </w:r>
                </w:p>
              </w:tc>
              <w:tc>
                <w:tcPr>
                  <w:tcW w:w="1860" w:type="dxa"/>
                  <w:vAlign w:val="center"/>
                </w:tcPr>
                <w:p w14:paraId="361492A6">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1.1%</w:t>
                  </w:r>
                </w:p>
              </w:tc>
              <w:tc>
                <w:tcPr>
                  <w:tcW w:w="1860" w:type="dxa"/>
                  <w:vAlign w:val="center"/>
                </w:tcPr>
                <w:p w14:paraId="3D05191A">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0.8%</w:t>
                  </w:r>
                </w:p>
              </w:tc>
              <w:tc>
                <w:tcPr>
                  <w:tcW w:w="1860" w:type="dxa"/>
                  <w:vAlign w:val="center"/>
                </w:tcPr>
                <w:p w14:paraId="68E1A817">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0.7%</w:t>
                  </w:r>
                </w:p>
              </w:tc>
            </w:tr>
            <w:tr w14:paraId="41FF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340" w:type="dxa"/>
                  <w:vAlign w:val="center"/>
                </w:tcPr>
                <w:p w14:paraId="55878CC5">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500-1000</w:t>
                  </w:r>
                </w:p>
              </w:tc>
              <w:tc>
                <w:tcPr>
                  <w:tcW w:w="1860" w:type="dxa"/>
                  <w:vAlign w:val="center"/>
                </w:tcPr>
                <w:p w14:paraId="3F75E528">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0.8%</w:t>
                  </w:r>
                </w:p>
              </w:tc>
              <w:tc>
                <w:tcPr>
                  <w:tcW w:w="1860" w:type="dxa"/>
                  <w:vAlign w:val="center"/>
                </w:tcPr>
                <w:p w14:paraId="412A2517">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0.45%</w:t>
                  </w:r>
                </w:p>
              </w:tc>
              <w:tc>
                <w:tcPr>
                  <w:tcW w:w="1860" w:type="dxa"/>
                  <w:vAlign w:val="center"/>
                </w:tcPr>
                <w:p w14:paraId="58EF7ADB">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0.55%</w:t>
                  </w:r>
                </w:p>
              </w:tc>
            </w:tr>
            <w:tr w14:paraId="7B2C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0" w:type="dxa"/>
                  <w:vAlign w:val="center"/>
                </w:tcPr>
                <w:p w14:paraId="58C8B833">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1000-5000</w:t>
                  </w:r>
                </w:p>
              </w:tc>
              <w:tc>
                <w:tcPr>
                  <w:tcW w:w="1860" w:type="dxa"/>
                  <w:vAlign w:val="center"/>
                </w:tcPr>
                <w:p w14:paraId="1928293E">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0.5%</w:t>
                  </w:r>
                </w:p>
              </w:tc>
              <w:tc>
                <w:tcPr>
                  <w:tcW w:w="1860" w:type="dxa"/>
                  <w:vAlign w:val="center"/>
                </w:tcPr>
                <w:p w14:paraId="1E1E78CA">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0.25%</w:t>
                  </w:r>
                </w:p>
              </w:tc>
              <w:tc>
                <w:tcPr>
                  <w:tcW w:w="1860" w:type="dxa"/>
                  <w:vAlign w:val="center"/>
                </w:tcPr>
                <w:p w14:paraId="4CF7669E">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0.35%</w:t>
                  </w:r>
                </w:p>
              </w:tc>
            </w:tr>
            <w:tr w14:paraId="72F0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0" w:type="dxa"/>
                  <w:vAlign w:val="center"/>
                </w:tcPr>
                <w:p w14:paraId="2745164A">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hint="default" w:ascii="宋体" w:eastAsia="宋体"/>
                      <w:kern w:val="2"/>
                      <w:highlight w:val="none"/>
                    </w:rPr>
                    <w:t>5000-10000</w:t>
                  </w:r>
                </w:p>
              </w:tc>
              <w:tc>
                <w:tcPr>
                  <w:tcW w:w="1860" w:type="dxa"/>
                  <w:vAlign w:val="center"/>
                </w:tcPr>
                <w:p w14:paraId="1A38CDE0">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0.25%</w:t>
                  </w:r>
                </w:p>
              </w:tc>
              <w:tc>
                <w:tcPr>
                  <w:tcW w:w="1860" w:type="dxa"/>
                  <w:vAlign w:val="center"/>
                </w:tcPr>
                <w:p w14:paraId="67D35659">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0.1%</w:t>
                  </w:r>
                </w:p>
              </w:tc>
              <w:tc>
                <w:tcPr>
                  <w:tcW w:w="1860" w:type="dxa"/>
                  <w:vAlign w:val="center"/>
                </w:tcPr>
                <w:p w14:paraId="66748B6B">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0.2%</w:t>
                  </w:r>
                </w:p>
              </w:tc>
            </w:tr>
            <w:tr w14:paraId="7922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0" w:type="dxa"/>
                  <w:vAlign w:val="center"/>
                </w:tcPr>
                <w:p w14:paraId="3D3434AF">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hint="default" w:ascii="宋体" w:eastAsia="宋体"/>
                      <w:kern w:val="2"/>
                      <w:highlight w:val="none"/>
                    </w:rPr>
                    <w:t>10000-100000</w:t>
                  </w:r>
                </w:p>
              </w:tc>
              <w:tc>
                <w:tcPr>
                  <w:tcW w:w="1860" w:type="dxa"/>
                  <w:vAlign w:val="center"/>
                </w:tcPr>
                <w:p w14:paraId="21F841CF">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0.05%</w:t>
                  </w:r>
                </w:p>
              </w:tc>
              <w:tc>
                <w:tcPr>
                  <w:tcW w:w="1860" w:type="dxa"/>
                  <w:vAlign w:val="center"/>
                </w:tcPr>
                <w:p w14:paraId="6526DAE3">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0.05%</w:t>
                  </w:r>
                </w:p>
              </w:tc>
              <w:tc>
                <w:tcPr>
                  <w:tcW w:w="1860" w:type="dxa"/>
                  <w:vAlign w:val="center"/>
                </w:tcPr>
                <w:p w14:paraId="1FA50DCF">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0.05%</w:t>
                  </w:r>
                </w:p>
              </w:tc>
            </w:tr>
            <w:tr w14:paraId="6797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340" w:type="dxa"/>
                  <w:vAlign w:val="center"/>
                </w:tcPr>
                <w:p w14:paraId="24578CCD">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1000000以上</w:t>
                  </w:r>
                </w:p>
              </w:tc>
              <w:tc>
                <w:tcPr>
                  <w:tcW w:w="1860" w:type="dxa"/>
                  <w:vAlign w:val="center"/>
                </w:tcPr>
                <w:p w14:paraId="44337208">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0.01%</w:t>
                  </w:r>
                </w:p>
              </w:tc>
              <w:tc>
                <w:tcPr>
                  <w:tcW w:w="1860" w:type="dxa"/>
                  <w:vAlign w:val="center"/>
                </w:tcPr>
                <w:p w14:paraId="28F21701">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0.01%</w:t>
                  </w:r>
                </w:p>
              </w:tc>
              <w:tc>
                <w:tcPr>
                  <w:tcW w:w="1860" w:type="dxa"/>
                  <w:vAlign w:val="center"/>
                </w:tcPr>
                <w:p w14:paraId="05347D62">
                  <w:pPr>
                    <w:pStyle w:val="49"/>
                    <w:widowControl w:val="0"/>
                    <w:pBdr>
                      <w:left w:val="none" w:color="auto" w:sz="0" w:space="0"/>
                      <w:bottom w:val="none" w:color="auto" w:sz="0" w:space="0"/>
                      <w:right w:val="none" w:color="auto" w:sz="0" w:space="0"/>
                    </w:pBdr>
                    <w:adjustRightInd w:val="0"/>
                    <w:snapToGrid w:val="0"/>
                    <w:spacing w:before="0" w:beforeAutospacing="0" w:after="0" w:afterAutospacing="0" w:line="400" w:lineRule="exact"/>
                    <w:rPr>
                      <w:rFonts w:hint="default" w:ascii="宋体" w:eastAsia="宋体"/>
                      <w:kern w:val="2"/>
                      <w:highlight w:val="none"/>
                    </w:rPr>
                  </w:pPr>
                  <w:r>
                    <w:rPr>
                      <w:rFonts w:ascii="宋体" w:eastAsia="宋体"/>
                      <w:kern w:val="2"/>
                      <w:highlight w:val="none"/>
                    </w:rPr>
                    <w:t>0.01%</w:t>
                  </w:r>
                </w:p>
              </w:tc>
            </w:tr>
          </w:tbl>
          <w:p w14:paraId="1D71B46E">
            <w:pPr>
              <w:adjustRightInd w:val="0"/>
              <w:snapToGrid w:val="0"/>
              <w:spacing w:line="360" w:lineRule="auto"/>
              <w:rPr>
                <w:rFonts w:ascii="宋体" w:hAnsi="宋体" w:cs="宋体"/>
                <w:sz w:val="24"/>
                <w:highlight w:val="none"/>
              </w:rPr>
            </w:pPr>
            <w:r>
              <w:rPr>
                <w:rFonts w:hint="eastAsia" w:ascii="宋体" w:hAnsi="宋体"/>
                <w:sz w:val="24"/>
                <w:highlight w:val="none"/>
              </w:rPr>
              <w:t>注：采购代理服务费收费按差额定率累进法计算。</w:t>
            </w:r>
          </w:p>
          <w:p w14:paraId="5FAA6C5F">
            <w:pPr>
              <w:widowControl/>
              <w:snapToGrid w:val="0"/>
              <w:spacing w:line="360" w:lineRule="auto"/>
              <w:contextualSpacing/>
              <w:rPr>
                <w:rFonts w:ascii="宋体" w:hAnsi="宋体" w:cs="宋体"/>
                <w:kern w:val="0"/>
                <w:sz w:val="24"/>
                <w:highlight w:val="none"/>
              </w:rPr>
            </w:pPr>
            <w:r>
              <w:rPr>
                <w:rFonts w:hint="eastAsia" w:ascii="宋体" w:hAnsi="宋体" w:cs="宋体"/>
                <w:kern w:val="0"/>
                <w:sz w:val="24"/>
                <w:highlight w:val="none"/>
              </w:rPr>
              <w:t>采购代理机构账号信息：</w:t>
            </w:r>
          </w:p>
          <w:p w14:paraId="7413637C">
            <w:pPr>
              <w:widowControl/>
              <w:snapToGrid w:val="0"/>
              <w:spacing w:line="360" w:lineRule="auto"/>
              <w:contextualSpacing/>
              <w:rPr>
                <w:rFonts w:ascii="宋体" w:hAnsi="宋体" w:cs="宋体"/>
                <w:kern w:val="0"/>
                <w:sz w:val="24"/>
                <w:highlight w:val="none"/>
              </w:rPr>
            </w:pPr>
            <w:r>
              <w:rPr>
                <w:rFonts w:hint="eastAsia" w:ascii="宋体" w:hAnsi="宋体" w:cs="宋体"/>
                <w:kern w:val="0"/>
                <w:sz w:val="24"/>
                <w:highlight w:val="none"/>
              </w:rPr>
              <w:t>账户名称：辽宁金誉建设工程造价咨询有限责任公司</w:t>
            </w:r>
          </w:p>
          <w:p w14:paraId="275F262E">
            <w:pPr>
              <w:widowControl/>
              <w:snapToGrid w:val="0"/>
              <w:spacing w:line="360" w:lineRule="auto"/>
              <w:contextualSpacing/>
              <w:rPr>
                <w:rFonts w:ascii="宋体" w:hAnsi="宋体" w:cs="宋体"/>
                <w:kern w:val="0"/>
                <w:sz w:val="24"/>
                <w:highlight w:val="none"/>
              </w:rPr>
            </w:pPr>
            <w:r>
              <w:rPr>
                <w:rFonts w:hint="eastAsia" w:ascii="宋体" w:hAnsi="宋体" w:cs="宋体"/>
                <w:kern w:val="0"/>
                <w:sz w:val="24"/>
                <w:highlight w:val="none"/>
              </w:rPr>
              <w:t>开户行：盛京银行营口学府支行</w:t>
            </w:r>
          </w:p>
          <w:p w14:paraId="24D1ACCB">
            <w:pPr>
              <w:snapToGrid w:val="0"/>
              <w:spacing w:line="360" w:lineRule="auto"/>
              <w:jc w:val="left"/>
              <w:rPr>
                <w:rFonts w:ascii="宋体" w:hAnsi="宋体" w:cs="宋体"/>
                <w:sz w:val="24"/>
                <w:highlight w:val="none"/>
              </w:rPr>
            </w:pPr>
            <w:r>
              <w:rPr>
                <w:rFonts w:hint="eastAsia" w:ascii="宋体" w:hAnsi="宋体" w:cs="宋体"/>
                <w:kern w:val="0"/>
                <w:sz w:val="24"/>
                <w:highlight w:val="none"/>
              </w:rPr>
              <w:t>账号：0550500102000009491</w:t>
            </w:r>
          </w:p>
        </w:tc>
      </w:tr>
      <w:tr w14:paraId="55BF3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46" w:hRule="atLeast"/>
          <w:jc w:val="center"/>
        </w:trPr>
        <w:tc>
          <w:tcPr>
            <w:tcW w:w="10022" w:type="dxa"/>
            <w:gridSpan w:val="3"/>
            <w:tcBorders>
              <w:top w:val="single" w:color="auto" w:sz="6" w:space="0"/>
              <w:bottom w:val="single" w:color="auto" w:sz="6" w:space="0"/>
            </w:tcBorders>
            <w:shd w:val="clear" w:color="auto" w:fill="D9D9D9"/>
            <w:vAlign w:val="center"/>
          </w:tcPr>
          <w:p w14:paraId="6425D402">
            <w:pPr>
              <w:snapToGrid w:val="0"/>
              <w:spacing w:line="360" w:lineRule="auto"/>
              <w:jc w:val="center"/>
              <w:rPr>
                <w:rFonts w:ascii="宋体" w:hAnsi="宋体" w:cs="宋体"/>
                <w:b/>
                <w:sz w:val="24"/>
                <w:highlight w:val="none"/>
              </w:rPr>
            </w:pPr>
            <w:r>
              <w:rPr>
                <w:rFonts w:hint="eastAsia" w:ascii="宋体" w:hAnsi="宋体" w:cs="宋体"/>
                <w:b/>
                <w:sz w:val="24"/>
                <w:highlight w:val="none"/>
              </w:rPr>
              <w:t>公证服务费</w:t>
            </w:r>
          </w:p>
        </w:tc>
      </w:tr>
      <w:tr w14:paraId="75319B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46" w:hRule="atLeast"/>
          <w:jc w:val="center"/>
        </w:trPr>
        <w:tc>
          <w:tcPr>
            <w:tcW w:w="10022" w:type="dxa"/>
            <w:gridSpan w:val="3"/>
            <w:tcBorders>
              <w:top w:val="single" w:color="auto" w:sz="6" w:space="0"/>
              <w:bottom w:val="single" w:color="auto" w:sz="6" w:space="0"/>
            </w:tcBorders>
            <w:shd w:val="clear" w:color="auto" w:fill="D9D9D9"/>
            <w:vAlign w:val="center"/>
          </w:tcPr>
          <w:p w14:paraId="315D77D8">
            <w:pPr>
              <w:snapToGrid w:val="0"/>
              <w:spacing w:line="360" w:lineRule="auto"/>
              <w:jc w:val="center"/>
              <w:rPr>
                <w:rFonts w:ascii="宋体" w:hAnsi="宋体" w:cs="宋体"/>
                <w:sz w:val="24"/>
                <w:highlight w:val="none"/>
              </w:rPr>
            </w:pPr>
            <w:r>
              <w:rPr>
                <w:rFonts w:hint="eastAsia" w:ascii="宋体" w:hAnsi="宋体" w:cs="宋体"/>
                <w:b/>
                <w:sz w:val="24"/>
                <w:szCs w:val="24"/>
                <w:highlight w:val="none"/>
              </w:rPr>
              <w:t>履约保证金</w:t>
            </w:r>
          </w:p>
        </w:tc>
      </w:tr>
      <w:tr w14:paraId="0A729E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tcBorders>
              <w:top w:val="single" w:color="auto" w:sz="6" w:space="0"/>
              <w:bottom w:val="single" w:color="auto" w:sz="6" w:space="0"/>
            </w:tcBorders>
            <w:vAlign w:val="center"/>
          </w:tcPr>
          <w:p w14:paraId="2BEBCC26">
            <w:pPr>
              <w:pStyle w:val="35"/>
              <w:numPr>
                <w:ilvl w:val="0"/>
                <w:numId w:val="5"/>
              </w:numPr>
              <w:snapToGrid w:val="0"/>
              <w:spacing w:line="360" w:lineRule="auto"/>
              <w:ind w:firstLineChars="0"/>
              <w:jc w:val="center"/>
              <w:rPr>
                <w:rFonts w:ascii="宋体" w:hAnsi="宋体" w:cs="宋体"/>
                <w:sz w:val="24"/>
                <w:highlight w:val="none"/>
              </w:rPr>
            </w:pPr>
          </w:p>
        </w:tc>
        <w:tc>
          <w:tcPr>
            <w:tcW w:w="815" w:type="dxa"/>
            <w:tcBorders>
              <w:top w:val="single" w:color="auto" w:sz="6" w:space="0"/>
              <w:bottom w:val="single" w:color="auto" w:sz="6" w:space="0"/>
            </w:tcBorders>
            <w:vAlign w:val="center"/>
          </w:tcPr>
          <w:p w14:paraId="73837BCB">
            <w:pPr>
              <w:snapToGrid w:val="0"/>
              <w:spacing w:line="360" w:lineRule="auto"/>
              <w:jc w:val="center"/>
              <w:rPr>
                <w:rFonts w:ascii="宋体" w:hAnsi="宋体" w:cs="宋体"/>
                <w:sz w:val="24"/>
                <w:highlight w:val="none"/>
              </w:rPr>
            </w:pPr>
          </w:p>
        </w:tc>
        <w:tc>
          <w:tcPr>
            <w:tcW w:w="8647" w:type="dxa"/>
            <w:tcBorders>
              <w:top w:val="single" w:color="auto" w:sz="6" w:space="0"/>
              <w:bottom w:val="single" w:color="auto" w:sz="6" w:space="0"/>
            </w:tcBorders>
            <w:vAlign w:val="center"/>
          </w:tcPr>
          <w:p w14:paraId="3EF95599">
            <w:pPr>
              <w:snapToGrid w:val="0"/>
              <w:spacing w:line="360" w:lineRule="auto"/>
              <w:ind w:firstLine="480" w:firstLineChars="200"/>
              <w:jc w:val="left"/>
              <w:rPr>
                <w:rFonts w:ascii="宋体" w:hAnsi="宋体" w:cs="宋体"/>
                <w:sz w:val="24"/>
                <w:highlight w:val="none"/>
              </w:rPr>
            </w:pPr>
            <w:r>
              <w:rPr>
                <w:rFonts w:hint="eastAsia" w:ascii="宋体" w:hAnsi="宋体" w:cs="宋体"/>
                <w:sz w:val="24"/>
                <w:highlight w:val="none"/>
              </w:rPr>
              <w:t>无</w:t>
            </w:r>
          </w:p>
        </w:tc>
      </w:tr>
      <w:tr w14:paraId="2EC01E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0022" w:type="dxa"/>
            <w:gridSpan w:val="3"/>
            <w:tcBorders>
              <w:top w:val="single" w:color="auto" w:sz="6" w:space="0"/>
              <w:bottom w:val="single" w:color="auto" w:sz="6" w:space="0"/>
            </w:tcBorders>
            <w:vAlign w:val="center"/>
          </w:tcPr>
          <w:p w14:paraId="160F60A8">
            <w:pPr>
              <w:snapToGrid w:val="0"/>
              <w:spacing w:line="360" w:lineRule="auto"/>
              <w:jc w:val="center"/>
              <w:rPr>
                <w:rFonts w:ascii="宋体" w:hAnsi="宋体" w:cs="宋体"/>
                <w:sz w:val="24"/>
                <w:highlight w:val="none"/>
              </w:rPr>
            </w:pPr>
            <w:r>
              <w:rPr>
                <w:rFonts w:hint="eastAsia" w:ascii="宋体" w:hAnsi="宋体" w:cs="宋体"/>
                <w:sz w:val="24"/>
                <w:highlight w:val="none"/>
              </w:rPr>
              <w:t>其他</w:t>
            </w:r>
          </w:p>
        </w:tc>
      </w:tr>
      <w:tr w14:paraId="7CC870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tcBorders>
              <w:top w:val="single" w:color="auto" w:sz="6" w:space="0"/>
              <w:bottom w:val="single" w:color="auto" w:sz="6" w:space="0"/>
            </w:tcBorders>
            <w:vAlign w:val="center"/>
          </w:tcPr>
          <w:p w14:paraId="2161A260">
            <w:pPr>
              <w:pStyle w:val="35"/>
              <w:numPr>
                <w:ilvl w:val="0"/>
                <w:numId w:val="5"/>
              </w:numPr>
              <w:snapToGrid w:val="0"/>
              <w:spacing w:line="360" w:lineRule="auto"/>
              <w:ind w:firstLineChars="0"/>
              <w:jc w:val="center"/>
              <w:rPr>
                <w:rFonts w:ascii="宋体" w:hAnsi="宋体" w:cs="宋体"/>
                <w:sz w:val="24"/>
                <w:highlight w:val="none"/>
              </w:rPr>
            </w:pPr>
          </w:p>
        </w:tc>
        <w:tc>
          <w:tcPr>
            <w:tcW w:w="815" w:type="dxa"/>
            <w:tcBorders>
              <w:top w:val="single" w:color="auto" w:sz="6" w:space="0"/>
              <w:bottom w:val="single" w:color="auto" w:sz="6" w:space="0"/>
            </w:tcBorders>
            <w:vAlign w:val="center"/>
          </w:tcPr>
          <w:p w14:paraId="2270D6F6">
            <w:pPr>
              <w:snapToGrid w:val="0"/>
              <w:spacing w:line="360" w:lineRule="auto"/>
              <w:jc w:val="center"/>
              <w:rPr>
                <w:rFonts w:ascii="宋体" w:hAnsi="宋体" w:cs="宋体"/>
                <w:sz w:val="24"/>
                <w:highlight w:val="none"/>
              </w:rPr>
            </w:pPr>
          </w:p>
        </w:tc>
        <w:tc>
          <w:tcPr>
            <w:tcW w:w="8647" w:type="dxa"/>
            <w:tcBorders>
              <w:top w:val="single" w:color="auto" w:sz="6" w:space="0"/>
              <w:bottom w:val="single" w:color="auto" w:sz="6" w:space="0"/>
            </w:tcBorders>
            <w:vAlign w:val="center"/>
          </w:tcPr>
          <w:p w14:paraId="64907B18">
            <w:pPr>
              <w:snapToGrid w:val="0"/>
              <w:spacing w:line="360" w:lineRule="auto"/>
              <w:jc w:val="left"/>
              <w:rPr>
                <w:rFonts w:ascii="宋体" w:hAnsi="宋体" w:cs="宋体"/>
                <w:highlight w:val="none"/>
              </w:rPr>
            </w:pPr>
            <w:r>
              <w:rPr>
                <w:rFonts w:hint="eastAsia" w:ascii="宋体" w:hAnsi="宋体" w:cs="宋体"/>
                <w:sz w:val="24"/>
                <w:highlight w:val="none"/>
              </w:rPr>
              <w:t>招标代理机构服务质量监督电话：0417-3322810</w:t>
            </w:r>
          </w:p>
        </w:tc>
      </w:tr>
      <w:tr w14:paraId="6FA2D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tcBorders>
              <w:top w:val="single" w:color="auto" w:sz="6" w:space="0"/>
              <w:bottom w:val="single" w:color="auto" w:sz="6" w:space="0"/>
            </w:tcBorders>
            <w:vAlign w:val="center"/>
          </w:tcPr>
          <w:p w14:paraId="1DE82C34">
            <w:pPr>
              <w:pStyle w:val="35"/>
              <w:numPr>
                <w:ilvl w:val="0"/>
                <w:numId w:val="5"/>
              </w:numPr>
              <w:snapToGrid w:val="0"/>
              <w:spacing w:line="360" w:lineRule="auto"/>
              <w:ind w:firstLineChars="0"/>
              <w:jc w:val="center"/>
              <w:rPr>
                <w:rFonts w:ascii="宋体" w:hAnsi="宋体" w:cs="宋体"/>
                <w:sz w:val="24"/>
                <w:highlight w:val="none"/>
              </w:rPr>
            </w:pPr>
          </w:p>
        </w:tc>
        <w:tc>
          <w:tcPr>
            <w:tcW w:w="815" w:type="dxa"/>
            <w:tcBorders>
              <w:top w:val="single" w:color="auto" w:sz="6" w:space="0"/>
              <w:bottom w:val="single" w:color="auto" w:sz="6" w:space="0"/>
            </w:tcBorders>
            <w:vAlign w:val="center"/>
          </w:tcPr>
          <w:p w14:paraId="0AAF46F7">
            <w:pPr>
              <w:snapToGrid w:val="0"/>
              <w:spacing w:line="360" w:lineRule="auto"/>
              <w:jc w:val="center"/>
              <w:rPr>
                <w:rFonts w:ascii="宋体" w:hAnsi="宋体" w:cs="宋体"/>
                <w:sz w:val="24"/>
                <w:highlight w:val="none"/>
              </w:rPr>
            </w:pPr>
          </w:p>
        </w:tc>
        <w:tc>
          <w:tcPr>
            <w:tcW w:w="8647" w:type="dxa"/>
            <w:tcBorders>
              <w:top w:val="single" w:color="auto" w:sz="6" w:space="0"/>
              <w:bottom w:val="single" w:color="auto" w:sz="6" w:space="0"/>
            </w:tcBorders>
            <w:vAlign w:val="center"/>
          </w:tcPr>
          <w:p w14:paraId="4E0BB715">
            <w:pPr>
              <w:numPr>
                <w:ilvl w:val="0"/>
                <w:numId w:val="6"/>
              </w:numPr>
              <w:snapToGrid w:val="0"/>
              <w:spacing w:line="360" w:lineRule="auto"/>
              <w:jc w:val="left"/>
              <w:rPr>
                <w:rFonts w:ascii="宋体" w:hAnsi="宋体" w:cs="宋体"/>
                <w:sz w:val="24"/>
                <w:highlight w:val="none"/>
              </w:rPr>
            </w:pPr>
            <w:r>
              <w:rPr>
                <w:rFonts w:hint="eastAsia" w:ascii="宋体" w:hAnsi="宋体" w:cs="宋体"/>
                <w:sz w:val="24"/>
                <w:highlight w:val="none"/>
              </w:rPr>
              <w:t>付款方式：合同签订之日起，设备安装调试合格后支付至合同价款的40%；全部系统安装调试完毕后，支付至合同价款的70%；验收合格后支付至合同价款的90%；余款作为安装维护费，每年支付合同价款的2%（连续支付5年，无息）。</w:t>
            </w:r>
          </w:p>
          <w:p w14:paraId="7D9B55DE">
            <w:pPr>
              <w:snapToGrid w:val="0"/>
              <w:spacing w:line="360" w:lineRule="auto"/>
              <w:jc w:val="left"/>
              <w:rPr>
                <w:highlight w:val="none"/>
              </w:rPr>
            </w:pPr>
            <w:r>
              <w:rPr>
                <w:rFonts w:hint="eastAsia" w:ascii="宋体" w:hAnsi="宋体" w:cs="宋体"/>
                <w:sz w:val="24"/>
                <w:highlight w:val="none"/>
              </w:rPr>
              <w:t>2.交易中心服务费：按辽发改价格 (2023) 128 号规定执行。由中标人向营口市建设工程交易服务中心有限公司全额缴纳，此项费用不得在投标报价中单列。</w:t>
            </w:r>
          </w:p>
        </w:tc>
      </w:tr>
      <w:tr w14:paraId="77A976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560" w:type="dxa"/>
            <w:tcBorders>
              <w:top w:val="single" w:color="auto" w:sz="6" w:space="0"/>
              <w:bottom w:val="single" w:color="auto" w:sz="6" w:space="0"/>
            </w:tcBorders>
            <w:vAlign w:val="center"/>
          </w:tcPr>
          <w:p w14:paraId="13C3E57A">
            <w:pPr>
              <w:pStyle w:val="35"/>
              <w:numPr>
                <w:ilvl w:val="0"/>
                <w:numId w:val="5"/>
              </w:numPr>
              <w:snapToGrid w:val="0"/>
              <w:spacing w:line="360" w:lineRule="auto"/>
              <w:ind w:firstLineChars="0"/>
              <w:jc w:val="center"/>
              <w:rPr>
                <w:rFonts w:ascii="宋体" w:hAnsi="宋体" w:cs="宋体"/>
                <w:color w:val="auto"/>
                <w:sz w:val="24"/>
                <w:highlight w:val="none"/>
              </w:rPr>
            </w:pPr>
          </w:p>
        </w:tc>
        <w:tc>
          <w:tcPr>
            <w:tcW w:w="815" w:type="dxa"/>
            <w:tcBorders>
              <w:top w:val="single" w:color="auto" w:sz="6" w:space="0"/>
              <w:bottom w:val="single" w:color="auto" w:sz="6" w:space="0"/>
            </w:tcBorders>
            <w:vAlign w:val="center"/>
          </w:tcPr>
          <w:p w14:paraId="65CF2BE7">
            <w:pPr>
              <w:snapToGrid w:val="0"/>
              <w:spacing w:line="360" w:lineRule="auto"/>
              <w:jc w:val="center"/>
              <w:rPr>
                <w:rFonts w:ascii="宋体" w:hAnsi="宋体" w:cs="宋体"/>
                <w:color w:val="auto"/>
                <w:sz w:val="24"/>
                <w:highlight w:val="none"/>
              </w:rPr>
            </w:pPr>
          </w:p>
        </w:tc>
        <w:tc>
          <w:tcPr>
            <w:tcW w:w="8647" w:type="dxa"/>
            <w:tcBorders>
              <w:top w:val="single" w:color="auto" w:sz="6" w:space="0"/>
              <w:bottom w:val="single" w:color="auto" w:sz="6" w:space="0"/>
            </w:tcBorders>
            <w:vAlign w:val="center"/>
          </w:tcPr>
          <w:p w14:paraId="3EDE033D">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合同形式：固定总价合同</w:t>
            </w:r>
          </w:p>
        </w:tc>
      </w:tr>
    </w:tbl>
    <w:p w14:paraId="71EA200C">
      <w:pPr>
        <w:tabs>
          <w:tab w:val="left" w:pos="7770"/>
        </w:tabs>
        <w:autoSpaceDE w:val="0"/>
        <w:autoSpaceDN w:val="0"/>
        <w:spacing w:line="360" w:lineRule="auto"/>
        <w:rPr>
          <w:rFonts w:ascii="宋体" w:hAnsi="宋体" w:cs="宋体"/>
          <w:highlight w:val="none"/>
        </w:rPr>
        <w:sectPr>
          <w:headerReference r:id="rId8" w:type="default"/>
          <w:pgSz w:w="11906" w:h="16838"/>
          <w:pgMar w:top="1134" w:right="1134" w:bottom="1134" w:left="1134" w:header="454" w:footer="454" w:gutter="0"/>
          <w:cols w:space="720" w:num="1"/>
          <w:docGrid w:linePitch="312" w:charSpace="0"/>
        </w:sectPr>
      </w:pPr>
    </w:p>
    <w:p w14:paraId="269EE4C4">
      <w:pPr>
        <w:spacing w:line="360" w:lineRule="auto"/>
        <w:rPr>
          <w:rFonts w:ascii="宋体" w:hAnsi="宋体" w:cs="宋体"/>
          <w:sz w:val="28"/>
          <w:szCs w:val="28"/>
          <w:highlight w:val="none"/>
        </w:rPr>
      </w:pPr>
    </w:p>
    <w:p w14:paraId="1E43BBAD">
      <w:pPr>
        <w:spacing w:line="360" w:lineRule="auto"/>
        <w:rPr>
          <w:rFonts w:ascii="宋体" w:hAnsi="宋体" w:cs="宋体"/>
          <w:sz w:val="28"/>
          <w:szCs w:val="28"/>
          <w:highlight w:val="none"/>
        </w:rPr>
      </w:pPr>
    </w:p>
    <w:p w14:paraId="7DB9C34D">
      <w:pPr>
        <w:spacing w:line="360" w:lineRule="auto"/>
        <w:rPr>
          <w:rFonts w:ascii="宋体" w:hAnsi="宋体" w:cs="宋体"/>
          <w:sz w:val="28"/>
          <w:szCs w:val="28"/>
          <w:highlight w:val="none"/>
        </w:rPr>
      </w:pPr>
    </w:p>
    <w:p w14:paraId="58D993EA">
      <w:pPr>
        <w:pStyle w:val="2"/>
        <w:rPr>
          <w:rFonts w:ascii="宋体" w:hAnsi="宋体" w:cs="宋体"/>
          <w:sz w:val="28"/>
          <w:szCs w:val="28"/>
          <w:highlight w:val="none"/>
        </w:rPr>
      </w:pPr>
    </w:p>
    <w:p w14:paraId="4698B013">
      <w:pPr>
        <w:rPr>
          <w:rFonts w:ascii="宋体" w:hAnsi="宋体" w:cs="宋体"/>
          <w:sz w:val="28"/>
          <w:szCs w:val="28"/>
          <w:highlight w:val="none"/>
        </w:rPr>
      </w:pPr>
    </w:p>
    <w:p w14:paraId="37B832E8">
      <w:pPr>
        <w:pStyle w:val="2"/>
        <w:rPr>
          <w:rFonts w:ascii="宋体" w:hAnsi="宋体" w:cs="宋体"/>
          <w:sz w:val="28"/>
          <w:szCs w:val="28"/>
          <w:highlight w:val="none"/>
        </w:rPr>
      </w:pPr>
    </w:p>
    <w:p w14:paraId="1F0B0BCB">
      <w:pPr>
        <w:rPr>
          <w:rFonts w:ascii="宋体" w:hAnsi="宋体" w:cs="宋体"/>
          <w:sz w:val="28"/>
          <w:szCs w:val="28"/>
          <w:highlight w:val="none"/>
        </w:rPr>
      </w:pPr>
    </w:p>
    <w:p w14:paraId="60762593">
      <w:pPr>
        <w:pStyle w:val="2"/>
        <w:rPr>
          <w:rFonts w:ascii="宋体" w:hAnsi="宋体" w:cs="宋体"/>
          <w:sz w:val="28"/>
          <w:szCs w:val="28"/>
          <w:highlight w:val="none"/>
        </w:rPr>
      </w:pPr>
    </w:p>
    <w:p w14:paraId="6E9B6230">
      <w:pPr>
        <w:rPr>
          <w:rFonts w:ascii="宋体" w:hAnsi="宋体" w:cs="宋体"/>
          <w:sz w:val="28"/>
          <w:szCs w:val="28"/>
          <w:highlight w:val="none"/>
        </w:rPr>
      </w:pPr>
    </w:p>
    <w:p w14:paraId="0EDCFCC4">
      <w:pPr>
        <w:pStyle w:val="2"/>
        <w:rPr>
          <w:highlight w:val="none"/>
        </w:rPr>
      </w:pPr>
    </w:p>
    <w:p w14:paraId="5FF41733">
      <w:pPr>
        <w:spacing w:line="360" w:lineRule="auto"/>
        <w:rPr>
          <w:rFonts w:ascii="宋体" w:hAnsi="宋体" w:cs="宋体"/>
          <w:sz w:val="28"/>
          <w:szCs w:val="28"/>
          <w:highlight w:val="none"/>
        </w:rPr>
      </w:pPr>
    </w:p>
    <w:p w14:paraId="48C98BCC">
      <w:pPr>
        <w:spacing w:line="360" w:lineRule="auto"/>
        <w:rPr>
          <w:rFonts w:ascii="宋体" w:hAnsi="宋体" w:cs="宋体"/>
          <w:sz w:val="28"/>
          <w:szCs w:val="28"/>
          <w:highlight w:val="none"/>
        </w:rPr>
      </w:pPr>
    </w:p>
    <w:p w14:paraId="0E6B2F77">
      <w:pPr>
        <w:spacing w:line="360" w:lineRule="auto"/>
        <w:rPr>
          <w:rFonts w:ascii="宋体" w:hAnsi="宋体" w:cs="宋体"/>
          <w:sz w:val="28"/>
          <w:szCs w:val="28"/>
          <w:highlight w:val="none"/>
        </w:rPr>
      </w:pPr>
    </w:p>
    <w:p w14:paraId="03E5A13F">
      <w:pPr>
        <w:pStyle w:val="3"/>
        <w:numPr>
          <w:ilvl w:val="0"/>
          <w:numId w:val="2"/>
        </w:numPr>
        <w:spacing w:line="360" w:lineRule="auto"/>
        <w:jc w:val="center"/>
        <w:rPr>
          <w:rFonts w:ascii="宋体" w:hAnsi="宋体" w:cs="宋体"/>
          <w:w w:val="90"/>
          <w:highlight w:val="none"/>
        </w:rPr>
      </w:pPr>
      <w:r>
        <w:rPr>
          <w:rFonts w:hint="eastAsia" w:ascii="宋体" w:hAnsi="宋体" w:cs="宋体"/>
          <w:w w:val="90"/>
          <w:highlight w:val="none"/>
        </w:rPr>
        <w:t xml:space="preserve">  </w:t>
      </w:r>
      <w:bookmarkStart w:id="20" w:name="_Toc8477"/>
      <w:bookmarkStart w:id="21" w:name="_Toc344394139"/>
      <w:bookmarkStart w:id="22" w:name="_Toc350515648"/>
      <w:bookmarkStart w:id="23" w:name="_Toc349568711"/>
      <w:bookmarkStart w:id="24" w:name="_Toc349568452"/>
      <w:bookmarkStart w:id="25" w:name="_Toc7705"/>
      <w:bookmarkStart w:id="26" w:name="_Toc343510553"/>
      <w:r>
        <w:rPr>
          <w:rFonts w:hint="eastAsia" w:ascii="宋体" w:hAnsi="宋体" w:cs="宋体"/>
          <w:szCs w:val="24"/>
          <w:highlight w:val="none"/>
        </w:rPr>
        <w:t>投标人须知</w:t>
      </w:r>
      <w:bookmarkEnd w:id="20"/>
      <w:bookmarkEnd w:id="21"/>
      <w:bookmarkEnd w:id="22"/>
      <w:bookmarkEnd w:id="23"/>
      <w:bookmarkEnd w:id="24"/>
      <w:bookmarkEnd w:id="25"/>
      <w:bookmarkEnd w:id="26"/>
    </w:p>
    <w:p w14:paraId="6FE406F6">
      <w:pPr>
        <w:tabs>
          <w:tab w:val="left" w:pos="7770"/>
        </w:tabs>
        <w:autoSpaceDE w:val="0"/>
        <w:autoSpaceDN w:val="0"/>
        <w:spacing w:line="360" w:lineRule="auto"/>
        <w:rPr>
          <w:rFonts w:ascii="宋体" w:hAnsi="宋体" w:cs="宋体"/>
          <w:highlight w:val="none"/>
        </w:rPr>
      </w:pPr>
    </w:p>
    <w:p w14:paraId="1DFE69D1">
      <w:pPr>
        <w:tabs>
          <w:tab w:val="left" w:pos="7770"/>
        </w:tabs>
        <w:autoSpaceDE w:val="0"/>
        <w:autoSpaceDN w:val="0"/>
        <w:spacing w:line="360" w:lineRule="auto"/>
        <w:rPr>
          <w:rFonts w:ascii="宋体" w:hAnsi="宋体" w:cs="宋体"/>
          <w:highlight w:val="none"/>
        </w:rPr>
      </w:pPr>
    </w:p>
    <w:p w14:paraId="7965DBFB">
      <w:pPr>
        <w:tabs>
          <w:tab w:val="left" w:pos="7770"/>
        </w:tabs>
        <w:autoSpaceDE w:val="0"/>
        <w:autoSpaceDN w:val="0"/>
        <w:spacing w:line="360" w:lineRule="auto"/>
        <w:rPr>
          <w:rFonts w:ascii="宋体" w:hAnsi="宋体" w:cs="宋体"/>
          <w:highlight w:val="none"/>
        </w:rPr>
      </w:pPr>
    </w:p>
    <w:p w14:paraId="2EB78CC5">
      <w:pPr>
        <w:tabs>
          <w:tab w:val="left" w:pos="7770"/>
        </w:tabs>
        <w:autoSpaceDE w:val="0"/>
        <w:autoSpaceDN w:val="0"/>
        <w:spacing w:line="360" w:lineRule="auto"/>
        <w:rPr>
          <w:rFonts w:ascii="宋体" w:hAnsi="宋体" w:cs="宋体"/>
          <w:highlight w:val="none"/>
        </w:rPr>
      </w:pPr>
    </w:p>
    <w:p w14:paraId="77709D7E">
      <w:pPr>
        <w:tabs>
          <w:tab w:val="left" w:pos="7770"/>
        </w:tabs>
        <w:autoSpaceDE w:val="0"/>
        <w:autoSpaceDN w:val="0"/>
        <w:spacing w:line="360" w:lineRule="auto"/>
        <w:rPr>
          <w:rFonts w:ascii="宋体" w:hAnsi="宋体" w:cs="宋体"/>
          <w:highlight w:val="none"/>
        </w:rPr>
      </w:pPr>
    </w:p>
    <w:p w14:paraId="3100103D">
      <w:pPr>
        <w:tabs>
          <w:tab w:val="left" w:pos="7770"/>
        </w:tabs>
        <w:autoSpaceDE w:val="0"/>
        <w:autoSpaceDN w:val="0"/>
        <w:spacing w:line="360" w:lineRule="auto"/>
        <w:rPr>
          <w:rFonts w:ascii="宋体" w:hAnsi="宋体" w:cs="宋体"/>
          <w:highlight w:val="none"/>
        </w:rPr>
      </w:pPr>
    </w:p>
    <w:p w14:paraId="1FB2CA8E">
      <w:pPr>
        <w:tabs>
          <w:tab w:val="left" w:pos="7770"/>
        </w:tabs>
        <w:autoSpaceDE w:val="0"/>
        <w:autoSpaceDN w:val="0"/>
        <w:spacing w:line="360" w:lineRule="auto"/>
        <w:rPr>
          <w:rFonts w:ascii="宋体" w:hAnsi="宋体" w:cs="宋体"/>
          <w:highlight w:val="none"/>
        </w:rPr>
      </w:pPr>
    </w:p>
    <w:p w14:paraId="0B444942">
      <w:pPr>
        <w:tabs>
          <w:tab w:val="left" w:pos="7770"/>
        </w:tabs>
        <w:autoSpaceDE w:val="0"/>
        <w:autoSpaceDN w:val="0"/>
        <w:spacing w:line="360" w:lineRule="auto"/>
        <w:rPr>
          <w:rFonts w:ascii="宋体" w:hAnsi="宋体" w:cs="宋体"/>
          <w:highlight w:val="none"/>
        </w:rPr>
      </w:pPr>
    </w:p>
    <w:p w14:paraId="4901E4A4">
      <w:pPr>
        <w:tabs>
          <w:tab w:val="left" w:pos="7770"/>
        </w:tabs>
        <w:autoSpaceDE w:val="0"/>
        <w:autoSpaceDN w:val="0"/>
        <w:spacing w:line="360" w:lineRule="auto"/>
        <w:rPr>
          <w:rFonts w:ascii="宋体" w:hAnsi="宋体" w:cs="宋体"/>
          <w:highlight w:val="none"/>
        </w:rPr>
      </w:pPr>
    </w:p>
    <w:p w14:paraId="6BAF60B0">
      <w:pPr>
        <w:tabs>
          <w:tab w:val="left" w:pos="7770"/>
        </w:tabs>
        <w:autoSpaceDE w:val="0"/>
        <w:autoSpaceDN w:val="0"/>
        <w:spacing w:line="360" w:lineRule="auto"/>
        <w:rPr>
          <w:rFonts w:ascii="宋体" w:hAnsi="宋体" w:cs="宋体"/>
          <w:highlight w:val="none"/>
        </w:rPr>
      </w:pPr>
    </w:p>
    <w:p w14:paraId="58E967D7">
      <w:pPr>
        <w:tabs>
          <w:tab w:val="left" w:pos="7770"/>
        </w:tabs>
        <w:autoSpaceDE w:val="0"/>
        <w:autoSpaceDN w:val="0"/>
        <w:spacing w:line="360" w:lineRule="auto"/>
        <w:rPr>
          <w:rFonts w:ascii="宋体" w:hAnsi="宋体" w:cs="宋体"/>
          <w:highlight w:val="none"/>
        </w:rPr>
      </w:pPr>
    </w:p>
    <w:p w14:paraId="1C58795D">
      <w:pPr>
        <w:tabs>
          <w:tab w:val="left" w:pos="7770"/>
        </w:tabs>
        <w:autoSpaceDE w:val="0"/>
        <w:autoSpaceDN w:val="0"/>
        <w:spacing w:line="360" w:lineRule="auto"/>
        <w:rPr>
          <w:rFonts w:ascii="宋体" w:hAnsi="宋体" w:cs="宋体"/>
          <w:highlight w:val="none"/>
        </w:rPr>
      </w:pPr>
    </w:p>
    <w:p w14:paraId="6CD6FE84">
      <w:pPr>
        <w:tabs>
          <w:tab w:val="left" w:pos="7770"/>
        </w:tabs>
        <w:autoSpaceDE w:val="0"/>
        <w:autoSpaceDN w:val="0"/>
        <w:spacing w:line="360" w:lineRule="auto"/>
        <w:rPr>
          <w:rFonts w:ascii="宋体" w:hAnsi="宋体" w:cs="宋体"/>
          <w:highlight w:val="none"/>
        </w:rPr>
      </w:pPr>
    </w:p>
    <w:p w14:paraId="3663C2AE">
      <w:pPr>
        <w:tabs>
          <w:tab w:val="left" w:pos="7770"/>
        </w:tabs>
        <w:autoSpaceDE w:val="0"/>
        <w:autoSpaceDN w:val="0"/>
        <w:spacing w:line="360" w:lineRule="auto"/>
        <w:rPr>
          <w:rFonts w:ascii="宋体" w:hAnsi="宋体" w:cs="宋体"/>
          <w:highlight w:val="none"/>
        </w:rPr>
      </w:pPr>
    </w:p>
    <w:p w14:paraId="618DB1EA">
      <w:pPr>
        <w:tabs>
          <w:tab w:val="left" w:pos="7770"/>
        </w:tabs>
        <w:autoSpaceDE w:val="0"/>
        <w:autoSpaceDN w:val="0"/>
        <w:spacing w:line="360" w:lineRule="auto"/>
        <w:rPr>
          <w:rFonts w:ascii="宋体" w:hAnsi="宋体" w:cs="宋体"/>
          <w:highlight w:val="none"/>
        </w:rPr>
      </w:pPr>
    </w:p>
    <w:p w14:paraId="3FB2FFA4">
      <w:pPr>
        <w:tabs>
          <w:tab w:val="left" w:pos="7770"/>
        </w:tabs>
        <w:autoSpaceDE w:val="0"/>
        <w:autoSpaceDN w:val="0"/>
        <w:spacing w:line="360" w:lineRule="auto"/>
        <w:rPr>
          <w:rFonts w:ascii="宋体" w:hAnsi="宋体" w:cs="宋体"/>
          <w:highlight w:val="none"/>
        </w:rPr>
      </w:pPr>
    </w:p>
    <w:p w14:paraId="5AA0043A">
      <w:pPr>
        <w:tabs>
          <w:tab w:val="left" w:pos="7770"/>
        </w:tabs>
        <w:autoSpaceDE w:val="0"/>
        <w:autoSpaceDN w:val="0"/>
        <w:spacing w:line="360" w:lineRule="auto"/>
        <w:rPr>
          <w:rFonts w:ascii="宋体" w:hAnsi="宋体" w:cs="宋体"/>
          <w:highlight w:val="none"/>
        </w:rPr>
      </w:pPr>
    </w:p>
    <w:p w14:paraId="0A53C136">
      <w:pPr>
        <w:tabs>
          <w:tab w:val="left" w:pos="7770"/>
        </w:tabs>
        <w:autoSpaceDE w:val="0"/>
        <w:autoSpaceDN w:val="0"/>
        <w:spacing w:line="360" w:lineRule="auto"/>
        <w:rPr>
          <w:rFonts w:ascii="宋体" w:hAnsi="宋体" w:cs="宋体"/>
          <w:highlight w:val="none"/>
        </w:rPr>
      </w:pPr>
    </w:p>
    <w:p w14:paraId="1DC4DD84">
      <w:pPr>
        <w:tabs>
          <w:tab w:val="left" w:pos="7770"/>
        </w:tabs>
        <w:autoSpaceDE w:val="0"/>
        <w:autoSpaceDN w:val="0"/>
        <w:spacing w:line="360" w:lineRule="auto"/>
        <w:rPr>
          <w:rFonts w:ascii="宋体" w:hAnsi="宋体" w:cs="宋体"/>
          <w:highlight w:val="none"/>
        </w:rPr>
      </w:pPr>
    </w:p>
    <w:p w14:paraId="23790556">
      <w:pPr>
        <w:tabs>
          <w:tab w:val="left" w:pos="7770"/>
        </w:tabs>
        <w:autoSpaceDE w:val="0"/>
        <w:autoSpaceDN w:val="0"/>
        <w:spacing w:line="360" w:lineRule="auto"/>
        <w:rPr>
          <w:rFonts w:ascii="宋体" w:hAnsi="宋体" w:cs="宋体"/>
          <w:highlight w:val="none"/>
        </w:rPr>
      </w:pPr>
    </w:p>
    <w:p w14:paraId="73288E95">
      <w:pPr>
        <w:spacing w:line="360" w:lineRule="auto"/>
        <w:jc w:val="center"/>
        <w:rPr>
          <w:rFonts w:ascii="宋体" w:hAnsi="宋体" w:cs="宋体"/>
          <w:b/>
          <w:sz w:val="36"/>
          <w:szCs w:val="36"/>
          <w:highlight w:val="none"/>
        </w:rPr>
      </w:pPr>
      <w:r>
        <w:rPr>
          <w:rFonts w:hint="eastAsia" w:ascii="宋体" w:hAnsi="宋体" w:cs="宋体"/>
          <w:b/>
          <w:sz w:val="36"/>
          <w:szCs w:val="36"/>
          <w:highlight w:val="none"/>
        </w:rPr>
        <w:t>投标人须知</w:t>
      </w:r>
    </w:p>
    <w:p w14:paraId="3766CBEC">
      <w:pPr>
        <w:pStyle w:val="6"/>
        <w:tabs>
          <w:tab w:val="center" w:pos="4677"/>
          <w:tab w:val="left" w:pos="6240"/>
        </w:tabs>
        <w:rPr>
          <w:rFonts w:ascii="宋体" w:hAnsi="宋体" w:eastAsia="宋体" w:cs="宋体"/>
          <w:b/>
          <w:highlight w:val="none"/>
        </w:rPr>
      </w:pPr>
      <w:r>
        <w:rPr>
          <w:rFonts w:hint="eastAsia" w:ascii="宋体" w:hAnsi="宋体" w:eastAsia="宋体" w:cs="宋体"/>
          <w:b/>
          <w:highlight w:val="none"/>
        </w:rPr>
        <w:t>（一）总   则</w:t>
      </w:r>
    </w:p>
    <w:p w14:paraId="6B188D8E">
      <w:pPr>
        <w:pStyle w:val="7"/>
        <w:ind w:left="1008" w:hanging="1008"/>
        <w:rPr>
          <w:rFonts w:cs="宋体"/>
          <w:bCs/>
          <w:highlight w:val="none"/>
        </w:rPr>
      </w:pPr>
      <w:r>
        <w:rPr>
          <w:rFonts w:hint="eastAsia" w:cs="宋体"/>
          <w:bCs/>
          <w:highlight w:val="none"/>
        </w:rPr>
        <w:t>1、项目说明</w:t>
      </w:r>
    </w:p>
    <w:p w14:paraId="419B756E">
      <w:pPr>
        <w:spacing w:line="360" w:lineRule="auto"/>
        <w:ind w:left="2161" w:leftChars="229" w:hanging="1680" w:hangingChars="700"/>
        <w:rPr>
          <w:rFonts w:ascii="宋体" w:hAnsi="宋体" w:cs="宋体"/>
          <w:sz w:val="24"/>
          <w:highlight w:val="none"/>
        </w:rPr>
      </w:pPr>
      <w:r>
        <w:rPr>
          <w:rFonts w:hint="eastAsia" w:ascii="宋体" w:hAnsi="宋体" w:cs="宋体"/>
          <w:sz w:val="24"/>
          <w:highlight w:val="none"/>
        </w:rPr>
        <w:t>1.1招标方式：公开招标</w:t>
      </w:r>
    </w:p>
    <w:p w14:paraId="643F0130">
      <w:pPr>
        <w:spacing w:line="360" w:lineRule="auto"/>
        <w:ind w:firstLine="480" w:firstLineChars="200"/>
        <w:rPr>
          <w:rFonts w:ascii="宋体" w:hAnsi="宋体" w:cs="宋体"/>
          <w:sz w:val="24"/>
          <w:highlight w:val="none"/>
        </w:rPr>
      </w:pPr>
      <w:r>
        <w:rPr>
          <w:rFonts w:hint="eastAsia" w:ascii="宋体" w:hAnsi="宋体" w:cs="宋体"/>
          <w:sz w:val="24"/>
          <w:highlight w:val="none"/>
        </w:rPr>
        <w:t>1.2项目名称：辽宁省营口市海洋生态保护修复工程项目管护能力建设及浒苔处置监测预报服务</w:t>
      </w:r>
    </w:p>
    <w:p w14:paraId="04AF987D">
      <w:pPr>
        <w:spacing w:line="360" w:lineRule="auto"/>
        <w:ind w:firstLine="480" w:firstLineChars="200"/>
        <w:rPr>
          <w:rFonts w:ascii="宋体" w:hAnsi="宋体" w:cs="宋体"/>
          <w:sz w:val="24"/>
          <w:highlight w:val="none"/>
        </w:rPr>
      </w:pPr>
      <w:r>
        <w:rPr>
          <w:rFonts w:hint="eastAsia" w:ascii="宋体" w:hAnsi="宋体" w:cs="宋体"/>
          <w:sz w:val="24"/>
          <w:highlight w:val="none"/>
        </w:rPr>
        <w:t>1.3招标人名称：营口市海洋与渔业局</w:t>
      </w:r>
    </w:p>
    <w:p w14:paraId="0986A327">
      <w:pPr>
        <w:spacing w:line="360" w:lineRule="auto"/>
        <w:ind w:firstLine="480" w:firstLineChars="200"/>
        <w:rPr>
          <w:rFonts w:ascii="宋体" w:hAnsi="宋体" w:cs="宋体"/>
          <w:sz w:val="24"/>
          <w:highlight w:val="none"/>
        </w:rPr>
      </w:pPr>
      <w:r>
        <w:rPr>
          <w:rFonts w:hint="eastAsia" w:ascii="宋体" w:hAnsi="宋体" w:cs="宋体"/>
          <w:sz w:val="24"/>
          <w:highlight w:val="none"/>
        </w:rPr>
        <w:t>1.4招标代理机构名称：辽宁金誉建设工程造价咨询有限责任公司</w:t>
      </w:r>
    </w:p>
    <w:p w14:paraId="4BBB5213">
      <w:pPr>
        <w:spacing w:line="360" w:lineRule="auto"/>
        <w:ind w:firstLine="480" w:firstLineChars="200"/>
        <w:rPr>
          <w:rFonts w:ascii="宋体" w:hAnsi="宋体" w:cs="宋体"/>
          <w:kern w:val="0"/>
          <w:sz w:val="24"/>
          <w:highlight w:val="none"/>
        </w:rPr>
      </w:pPr>
      <w:r>
        <w:rPr>
          <w:rFonts w:hint="eastAsia" w:ascii="宋体" w:hAnsi="宋体" w:cs="宋体"/>
          <w:sz w:val="24"/>
          <w:highlight w:val="none"/>
        </w:rPr>
        <w:t>1.5交货地点：</w:t>
      </w:r>
      <w:r>
        <w:rPr>
          <w:rFonts w:hint="eastAsia" w:ascii="宋体" w:hAnsi="宋体" w:cs="宋体"/>
          <w:sz w:val="24"/>
          <w:szCs w:val="24"/>
          <w:highlight w:val="none"/>
        </w:rPr>
        <w:t>招标人</w:t>
      </w:r>
      <w:r>
        <w:rPr>
          <w:rFonts w:hint="eastAsia" w:ascii="宋体" w:hAnsi="宋体" w:cs="宋体"/>
          <w:kern w:val="0"/>
          <w:sz w:val="24"/>
          <w:highlight w:val="none"/>
        </w:rPr>
        <w:t>指定地点。</w:t>
      </w:r>
    </w:p>
    <w:p w14:paraId="2E4F6937">
      <w:pPr>
        <w:spacing w:line="360" w:lineRule="auto"/>
        <w:ind w:firstLine="480" w:firstLineChars="200"/>
        <w:rPr>
          <w:rFonts w:ascii="宋体" w:hAnsi="宋体" w:cs="宋体"/>
          <w:sz w:val="24"/>
          <w:highlight w:val="none"/>
        </w:rPr>
      </w:pPr>
      <w:r>
        <w:rPr>
          <w:rFonts w:hint="eastAsia" w:ascii="宋体" w:hAnsi="宋体" w:cs="宋体"/>
          <w:sz w:val="24"/>
          <w:highlight w:val="none"/>
        </w:rPr>
        <w:t>1.6质量要求：合格</w:t>
      </w:r>
    </w:p>
    <w:p w14:paraId="73763316">
      <w:pPr>
        <w:spacing w:line="360" w:lineRule="auto"/>
        <w:ind w:firstLine="480" w:firstLineChars="200"/>
        <w:rPr>
          <w:rFonts w:ascii="宋体" w:hAnsi="宋体" w:cs="宋体"/>
          <w:sz w:val="24"/>
          <w:highlight w:val="none"/>
        </w:rPr>
      </w:pPr>
      <w:r>
        <w:rPr>
          <w:rFonts w:hint="eastAsia" w:ascii="宋体" w:hAnsi="宋体" w:cs="宋体"/>
          <w:sz w:val="24"/>
          <w:highlight w:val="none"/>
        </w:rPr>
        <w:t>1.7本招标文件服从于国家、行业主管部门及地方的法律法规，本招标文件未能说明的部分，按照国家、行业主管部门及地方法律法规严格执行。</w:t>
      </w:r>
    </w:p>
    <w:p w14:paraId="0DD0053D">
      <w:pPr>
        <w:pStyle w:val="7"/>
        <w:numPr>
          <w:ilvl w:val="0"/>
          <w:numId w:val="7"/>
        </w:numPr>
        <w:rPr>
          <w:rFonts w:cs="宋体"/>
          <w:bCs/>
          <w:highlight w:val="none"/>
        </w:rPr>
      </w:pPr>
      <w:r>
        <w:rPr>
          <w:rFonts w:hint="eastAsia" w:cs="宋体"/>
          <w:bCs/>
          <w:highlight w:val="none"/>
        </w:rPr>
        <w:t>招标范围、交货期及合同期限</w:t>
      </w:r>
    </w:p>
    <w:p w14:paraId="4AE1EE86">
      <w:pPr>
        <w:adjustRightInd w:val="0"/>
        <w:spacing w:line="360" w:lineRule="auto"/>
        <w:ind w:firstLine="480" w:firstLineChars="200"/>
        <w:jc w:val="left"/>
        <w:textAlignment w:val="baseline"/>
        <w:rPr>
          <w:rFonts w:ascii="宋体" w:hAnsi="宋体" w:cs="宋体"/>
          <w:sz w:val="24"/>
          <w:szCs w:val="24"/>
          <w:highlight w:val="none"/>
        </w:rPr>
      </w:pPr>
      <w:r>
        <w:rPr>
          <w:rFonts w:hint="eastAsia" w:ascii="宋体" w:hAnsi="宋体" w:cs="宋体"/>
          <w:sz w:val="24"/>
          <w:highlight w:val="none"/>
        </w:rPr>
        <w:t>2</w:t>
      </w:r>
      <w:r>
        <w:rPr>
          <w:rFonts w:hint="eastAsia" w:ascii="宋体" w:hAnsi="宋体" w:cs="宋体"/>
          <w:sz w:val="24"/>
          <w:szCs w:val="24"/>
          <w:highlight w:val="none"/>
        </w:rPr>
        <w:t>.1招标范围：</w:t>
      </w:r>
    </w:p>
    <w:p w14:paraId="2AE08465">
      <w:pPr>
        <w:adjustRightInd w:val="0"/>
        <w:spacing w:line="360" w:lineRule="auto"/>
        <w:ind w:firstLine="480" w:firstLineChars="200"/>
        <w:jc w:val="left"/>
        <w:textAlignment w:val="baseline"/>
        <w:rPr>
          <w:rFonts w:ascii="宋体" w:hAnsi="宋体"/>
          <w:sz w:val="24"/>
          <w:highlight w:val="none"/>
        </w:rPr>
      </w:pPr>
      <w:r>
        <w:rPr>
          <w:rFonts w:hint="eastAsia" w:ascii="宋体" w:hAnsi="宋体"/>
          <w:sz w:val="24"/>
          <w:highlight w:val="none"/>
        </w:rPr>
        <w:t>修复项目管护能力建设：</w:t>
      </w:r>
      <w:r>
        <w:rPr>
          <w:rFonts w:hint="eastAsia" w:ascii="宋体" w:hAnsi="宋体" w:cs="宋体"/>
          <w:sz w:val="24"/>
          <w:szCs w:val="24"/>
          <w:highlight w:val="none"/>
        </w:rPr>
        <w:t>完成生态修复总面积1630.34ha，岸线整治修复长度2951.90m，砂质岸线整治修复长度1287.00m，生态护岸长度1664.90m，海岸侵蚀防护长度2951.90m，滨海湿地整治修复面积1555.22ha，保育修复芦苇/碱蓬面积139.49ha，新种植芦苇/碱蓬面积129.20ha，底栖生物修复面积260.91ha，浒苔防治面积1006.83ha，潮沟疏通面积21.81ha，海岸湿地修复面积69.87ha。其中大辽河口拟开展海基水动力监测系统、岸基水动力监测系统、岸基水质监测系统及生态数字影像系统建设；民兴河口拟开展岸基水动力监测系统建设；团山拟开展海基水动力监测系统、沙滩视频观测系统及生态数字影像系统建设；月亮湾拟开展海基水动力监测系统及岸基水质监测系统建设。构建基于Web GIS具有海洋水文动力及生态环境数据管理、生态修复效果评估、生态风险预警监管等功能的生态监测预警与修复管理平台。</w:t>
      </w:r>
    </w:p>
    <w:p w14:paraId="3A55D048">
      <w:pPr>
        <w:spacing w:line="360" w:lineRule="auto"/>
        <w:ind w:firstLine="480" w:firstLineChars="200"/>
        <w:rPr>
          <w:rFonts w:ascii="宋体" w:hAnsi="宋体" w:cs="宋体"/>
          <w:sz w:val="24"/>
          <w:szCs w:val="24"/>
          <w:highlight w:val="none"/>
        </w:rPr>
      </w:pPr>
      <w:r>
        <w:rPr>
          <w:rFonts w:hint="eastAsia" w:ascii="宋体" w:hAnsi="宋体"/>
          <w:sz w:val="24"/>
          <w:highlight w:val="none"/>
        </w:rPr>
        <w:t>浒苔处置监测预报服务：服务内容包括但不限于水文监测、环境监测、生物监测、遥感监测、预测预报模型及平台、成果报告编制及提交审核、报告内容修改及复核、资料归档、过程技术咨询及根据招标人对项目的要求所进行的其他工作。所编制的成果报告须遵照法规及规范要求。</w:t>
      </w:r>
    </w:p>
    <w:p w14:paraId="6282CB61">
      <w:pPr>
        <w:spacing w:line="360" w:lineRule="auto"/>
        <w:ind w:firstLine="480" w:firstLineChars="200"/>
        <w:rPr>
          <w:rFonts w:ascii="宋体" w:hAnsi="宋体" w:cs="宋体"/>
          <w:sz w:val="24"/>
          <w:szCs w:val="24"/>
          <w:highlight w:val="none"/>
        </w:rPr>
      </w:pPr>
      <w:r>
        <w:rPr>
          <w:rFonts w:hint="eastAsia" w:ascii="宋体" w:hAnsi="宋体" w:cs="宋体"/>
          <w:sz w:val="24"/>
          <w:highlight w:val="none"/>
        </w:rPr>
        <w:t>2.2本招标项目的</w:t>
      </w:r>
      <w:r>
        <w:rPr>
          <w:rFonts w:hint="eastAsia" w:ascii="宋体" w:hAnsi="宋体" w:cs="宋体"/>
          <w:sz w:val="24"/>
          <w:szCs w:val="24"/>
          <w:highlight w:val="none"/>
        </w:rPr>
        <w:t>供货及安装调试完成时间：详见投标人须知前附表。</w:t>
      </w:r>
    </w:p>
    <w:p w14:paraId="090CD6B9">
      <w:pPr>
        <w:pStyle w:val="7"/>
        <w:ind w:left="1008" w:hanging="1008"/>
        <w:rPr>
          <w:rFonts w:cs="宋体"/>
          <w:bCs/>
          <w:highlight w:val="none"/>
        </w:rPr>
      </w:pPr>
      <w:r>
        <w:rPr>
          <w:rFonts w:hint="eastAsia" w:cs="宋体"/>
          <w:bCs/>
          <w:highlight w:val="none"/>
        </w:rPr>
        <w:t>3、资金来源</w:t>
      </w:r>
    </w:p>
    <w:p w14:paraId="31EABDE6">
      <w:pPr>
        <w:spacing w:line="360" w:lineRule="auto"/>
        <w:ind w:firstLine="480"/>
        <w:rPr>
          <w:rFonts w:ascii="宋体" w:hAnsi="宋体" w:cs="宋体"/>
          <w:sz w:val="24"/>
          <w:highlight w:val="none"/>
        </w:rPr>
      </w:pPr>
      <w:r>
        <w:rPr>
          <w:rFonts w:hint="eastAsia" w:ascii="宋体" w:hAnsi="宋体" w:cs="宋体"/>
          <w:sz w:val="24"/>
          <w:highlight w:val="none"/>
        </w:rPr>
        <w:t>3.1本招标项目资金来源详见本须知前附表第1项，其全部资金用于本项目服务合同项下的合格支付。</w:t>
      </w:r>
    </w:p>
    <w:p w14:paraId="582AB25C">
      <w:pPr>
        <w:pStyle w:val="7"/>
        <w:ind w:left="1008" w:hanging="1008"/>
        <w:rPr>
          <w:rFonts w:cs="宋体"/>
          <w:bCs/>
          <w:highlight w:val="none"/>
        </w:rPr>
      </w:pPr>
      <w:r>
        <w:rPr>
          <w:rFonts w:hint="eastAsia" w:cs="宋体"/>
          <w:bCs/>
          <w:highlight w:val="none"/>
        </w:rPr>
        <w:t>4、投标人资质要求</w:t>
      </w:r>
    </w:p>
    <w:p w14:paraId="0284D89F">
      <w:pPr>
        <w:pStyle w:val="36"/>
        <w:numPr>
          <w:ilvl w:val="0"/>
          <w:numId w:val="8"/>
        </w:numPr>
        <w:tabs>
          <w:tab w:val="left" w:pos="150"/>
          <w:tab w:val="left" w:pos="993"/>
        </w:tabs>
        <w:autoSpaceDE w:val="0"/>
        <w:autoSpaceDN w:val="0"/>
        <w:adjustRightInd w:val="0"/>
        <w:snapToGrid w:val="0"/>
        <w:spacing w:line="360" w:lineRule="auto"/>
        <w:ind w:left="2" w:firstLine="360"/>
        <w:rPr>
          <w:rFonts w:ascii="宋体" w:hAnsi="宋体" w:cs="宋体"/>
          <w:bCs w:val="0"/>
          <w:sz w:val="24"/>
          <w:highlight w:val="none"/>
        </w:rPr>
      </w:pPr>
      <w:r>
        <w:rPr>
          <w:rFonts w:hint="eastAsia" w:ascii="宋体" w:hAnsi="宋体" w:cs="宋体"/>
          <w:bCs w:val="0"/>
          <w:sz w:val="24"/>
          <w:highlight w:val="none"/>
        </w:rPr>
        <w:t>详见</w:t>
      </w:r>
      <w:r>
        <w:rPr>
          <w:rFonts w:hint="eastAsia" w:ascii="宋体" w:hAnsi="宋体" w:cs="宋体"/>
          <w:sz w:val="24"/>
          <w:highlight w:val="none"/>
        </w:rPr>
        <w:t>本须知前附表第11项。</w:t>
      </w:r>
    </w:p>
    <w:p w14:paraId="6B372461">
      <w:pPr>
        <w:pStyle w:val="36"/>
        <w:numPr>
          <w:ilvl w:val="1"/>
          <w:numId w:val="0"/>
        </w:numPr>
        <w:tabs>
          <w:tab w:val="left" w:pos="150"/>
          <w:tab w:val="left" w:pos="709"/>
          <w:tab w:val="left" w:pos="993"/>
        </w:tabs>
        <w:autoSpaceDE w:val="0"/>
        <w:autoSpaceDN w:val="0"/>
        <w:adjustRightInd w:val="0"/>
        <w:snapToGrid w:val="0"/>
        <w:spacing w:line="360" w:lineRule="auto"/>
        <w:ind w:left="2" w:hanging="2" w:hangingChars="1"/>
        <w:rPr>
          <w:rFonts w:ascii="宋体" w:hAnsi="宋体" w:cs="宋体"/>
          <w:bCs w:val="0"/>
          <w:highlight w:val="none"/>
        </w:rPr>
      </w:pPr>
      <w:r>
        <w:rPr>
          <w:rFonts w:hint="eastAsia" w:ascii="宋体" w:hAnsi="宋体" w:cs="宋体"/>
          <w:bCs w:val="0"/>
          <w:sz w:val="24"/>
          <w:highlight w:val="none"/>
        </w:rPr>
        <w:tab/>
      </w:r>
      <w:r>
        <w:rPr>
          <w:rFonts w:hint="eastAsia" w:ascii="宋体" w:hAnsi="宋体" w:cs="宋体"/>
          <w:bCs w:val="0"/>
          <w:sz w:val="24"/>
          <w:highlight w:val="none"/>
        </w:rPr>
        <w:t xml:space="preserve">    </w:t>
      </w:r>
      <w:r>
        <w:rPr>
          <w:rFonts w:hint="eastAsia" w:ascii="宋体" w:hAnsi="宋体" w:cs="宋体"/>
          <w:b/>
          <w:sz w:val="24"/>
          <w:highlight w:val="none"/>
        </w:rPr>
        <w:t>投标人发生合并、分立、破产等重大变化的，应当及时书面告知招标人。投标人不再具备招标文件规定的资格条件或者其投标影响招标公正性的，其投标无效。</w:t>
      </w:r>
    </w:p>
    <w:p w14:paraId="4EFE9204">
      <w:pPr>
        <w:pStyle w:val="7"/>
        <w:numPr>
          <w:ilvl w:val="0"/>
          <w:numId w:val="9"/>
        </w:numPr>
        <w:rPr>
          <w:rFonts w:cs="宋体"/>
          <w:bCs/>
          <w:highlight w:val="none"/>
        </w:rPr>
      </w:pPr>
      <w:r>
        <w:rPr>
          <w:rFonts w:hint="eastAsia" w:cs="宋体"/>
          <w:bCs/>
          <w:highlight w:val="none"/>
        </w:rPr>
        <w:t>资格审查方式</w:t>
      </w:r>
    </w:p>
    <w:p w14:paraId="59E8E6D1">
      <w:pPr>
        <w:pStyle w:val="36"/>
        <w:numPr>
          <w:ilvl w:val="1"/>
          <w:numId w:val="0"/>
        </w:numPr>
        <w:tabs>
          <w:tab w:val="left" w:pos="150"/>
          <w:tab w:val="left" w:pos="709"/>
          <w:tab w:val="left" w:pos="993"/>
        </w:tabs>
        <w:autoSpaceDE w:val="0"/>
        <w:autoSpaceDN w:val="0"/>
        <w:adjustRightInd w:val="0"/>
        <w:snapToGrid w:val="0"/>
        <w:spacing w:line="360" w:lineRule="auto"/>
        <w:ind w:left="426"/>
        <w:rPr>
          <w:rFonts w:ascii="宋体" w:hAnsi="宋体" w:cs="宋体"/>
          <w:bCs w:val="0"/>
          <w:highlight w:val="none"/>
        </w:rPr>
      </w:pPr>
      <w:r>
        <w:rPr>
          <w:rFonts w:hint="eastAsia" w:ascii="宋体" w:hAnsi="宋体" w:cs="宋体"/>
          <w:bCs w:val="0"/>
          <w:sz w:val="24"/>
          <w:highlight w:val="none"/>
        </w:rPr>
        <w:t>5.1</w:t>
      </w:r>
      <w:r>
        <w:rPr>
          <w:rFonts w:hint="eastAsia" w:ascii="宋体" w:hAnsi="宋体" w:cs="宋体"/>
          <w:sz w:val="24"/>
          <w:highlight w:val="none"/>
        </w:rPr>
        <w:t>本招标项目资格审查方式详见本须知前附表第11项。</w:t>
      </w:r>
    </w:p>
    <w:p w14:paraId="29748FFF">
      <w:pPr>
        <w:pStyle w:val="7"/>
        <w:ind w:left="1008" w:hanging="1008"/>
        <w:rPr>
          <w:rFonts w:cs="宋体"/>
          <w:bCs/>
          <w:highlight w:val="none"/>
        </w:rPr>
      </w:pPr>
      <w:r>
        <w:rPr>
          <w:rFonts w:hint="eastAsia" w:cs="宋体"/>
          <w:bCs/>
          <w:highlight w:val="none"/>
        </w:rPr>
        <w:t>6、踏勘现场</w:t>
      </w:r>
    </w:p>
    <w:p w14:paraId="2678A248">
      <w:pPr>
        <w:pStyle w:val="22"/>
        <w:ind w:firstLine="0"/>
        <w:rPr>
          <w:rFonts w:hAnsi="宋体" w:cs="宋体"/>
          <w:color w:val="auto"/>
          <w:highlight w:val="none"/>
        </w:rPr>
      </w:pPr>
      <w:r>
        <w:rPr>
          <w:rFonts w:hint="eastAsia" w:hAnsi="宋体" w:cs="宋体"/>
          <w:color w:val="auto"/>
          <w:highlight w:val="none"/>
        </w:rPr>
        <w:t xml:space="preserve">    6.1 招标人不统一组织踏勘，投标人自行踏勘。投标人承担踏勘现场所发生的自身费用。</w:t>
      </w:r>
    </w:p>
    <w:p w14:paraId="4085976C">
      <w:pPr>
        <w:spacing w:line="360" w:lineRule="auto"/>
        <w:ind w:firstLine="532"/>
        <w:rPr>
          <w:rFonts w:ascii="宋体" w:hAnsi="宋体" w:cs="宋体"/>
          <w:sz w:val="24"/>
          <w:highlight w:val="none"/>
        </w:rPr>
      </w:pPr>
      <w:r>
        <w:rPr>
          <w:rFonts w:hint="eastAsia" w:ascii="宋体" w:hAnsi="宋体" w:cs="宋体"/>
          <w:sz w:val="24"/>
          <w:highlight w:val="none"/>
        </w:rPr>
        <w:t>6.2投标人及其代表必须承担在现场踏勘过程中，由于其的行为所造成的人身伤害（无论是否致命）、财产损失或损坏，以及其他任何原因造成的损失、损坏或费用。招标人在投标人及其代表踏勘中不负任何责任。</w:t>
      </w:r>
    </w:p>
    <w:p w14:paraId="51481035">
      <w:pPr>
        <w:pStyle w:val="22"/>
        <w:ind w:firstLine="532"/>
        <w:rPr>
          <w:rFonts w:hAnsi="宋体" w:cs="宋体"/>
          <w:color w:val="auto"/>
          <w:highlight w:val="none"/>
        </w:rPr>
      </w:pPr>
      <w:r>
        <w:rPr>
          <w:rFonts w:hint="eastAsia" w:hAnsi="宋体" w:cs="宋体"/>
          <w:color w:val="auto"/>
          <w:highlight w:val="none"/>
        </w:rPr>
        <w:t>6.3 招标人向投标人提供的有关现场的数据和资料，是招标人现有的能被投标人利用的资料，招标人对投标人做出的任何推论、理解和结论均不负责任。</w:t>
      </w:r>
    </w:p>
    <w:p w14:paraId="1FC7ED10">
      <w:pPr>
        <w:pStyle w:val="22"/>
        <w:ind w:firstLine="532"/>
        <w:rPr>
          <w:rFonts w:hAnsi="宋体" w:cs="宋体"/>
          <w:color w:val="auto"/>
          <w:highlight w:val="none"/>
        </w:rPr>
      </w:pPr>
      <w:r>
        <w:rPr>
          <w:rFonts w:hint="eastAsia" w:hAnsi="宋体" w:cs="宋体"/>
          <w:color w:val="auto"/>
          <w:highlight w:val="none"/>
        </w:rPr>
        <w:t>6.4 经招标人允许，投标人可为踏勘目的进入招标人的项目现场，但投标人不得因此使招标人承担有关的责任和蒙受损失。投标人应承担踏勘现场的责任和风险。</w:t>
      </w:r>
    </w:p>
    <w:p w14:paraId="3F3E055A">
      <w:pPr>
        <w:pStyle w:val="7"/>
        <w:ind w:left="1008" w:hanging="1008"/>
        <w:rPr>
          <w:rFonts w:cs="宋体"/>
          <w:bCs/>
          <w:highlight w:val="none"/>
        </w:rPr>
      </w:pPr>
      <w:r>
        <w:rPr>
          <w:rFonts w:hint="eastAsia" w:cs="宋体"/>
          <w:bCs/>
          <w:highlight w:val="none"/>
        </w:rPr>
        <w:t>7、投标费用</w:t>
      </w:r>
    </w:p>
    <w:p w14:paraId="2F6DD350">
      <w:pPr>
        <w:pStyle w:val="22"/>
        <w:ind w:firstLine="532"/>
        <w:rPr>
          <w:rFonts w:hAnsi="宋体" w:cs="宋体"/>
          <w:color w:val="auto"/>
          <w:highlight w:val="none"/>
        </w:rPr>
      </w:pPr>
      <w:r>
        <w:rPr>
          <w:rFonts w:hint="eastAsia" w:hAnsi="宋体" w:cs="宋体"/>
          <w:color w:val="auto"/>
          <w:highlight w:val="none"/>
        </w:rPr>
        <w:t>7.1招标人不承担投标人编制投标文件与递交投标文件所涉及的费用和应由投标人承担其参加本招标活动自身所发生的费用，论投标的结果如何，招标人均无义务和责任承担上述费用。</w:t>
      </w:r>
    </w:p>
    <w:p w14:paraId="6F922E19">
      <w:pPr>
        <w:pStyle w:val="22"/>
        <w:ind w:firstLine="532"/>
        <w:rPr>
          <w:rFonts w:hAnsi="宋体" w:cs="宋体"/>
          <w:b/>
          <w:color w:val="auto"/>
          <w:highlight w:val="none"/>
        </w:rPr>
      </w:pPr>
      <w:r>
        <w:rPr>
          <w:rFonts w:hint="eastAsia" w:hAnsi="宋体" w:cs="宋体"/>
          <w:color w:val="auto"/>
          <w:highlight w:val="none"/>
        </w:rPr>
        <w:t>7.2</w:t>
      </w:r>
      <w:r>
        <w:rPr>
          <w:rFonts w:hint="eastAsia" w:hAnsi="宋体" w:cs="宋体"/>
          <w:bCs/>
          <w:color w:val="auto"/>
          <w:highlight w:val="none"/>
        </w:rPr>
        <w:t>招标代理服务费：向中标人收取招标代理服务费。</w:t>
      </w:r>
    </w:p>
    <w:p w14:paraId="2085E2EE">
      <w:pPr>
        <w:pStyle w:val="6"/>
        <w:tabs>
          <w:tab w:val="center" w:pos="4677"/>
          <w:tab w:val="left" w:pos="6240"/>
        </w:tabs>
        <w:rPr>
          <w:rFonts w:ascii="宋体" w:hAnsi="宋体" w:eastAsia="宋体" w:cs="宋体"/>
          <w:b/>
          <w:highlight w:val="none"/>
        </w:rPr>
      </w:pPr>
      <w:r>
        <w:rPr>
          <w:rFonts w:hint="eastAsia" w:ascii="宋体" w:hAnsi="宋体" w:eastAsia="宋体" w:cs="宋体"/>
          <w:b/>
          <w:highlight w:val="none"/>
        </w:rPr>
        <w:t>（二） 招标文件</w:t>
      </w:r>
    </w:p>
    <w:p w14:paraId="1A8A8688">
      <w:pPr>
        <w:pStyle w:val="7"/>
        <w:ind w:left="1008" w:hanging="1008"/>
        <w:rPr>
          <w:rFonts w:cs="宋体"/>
          <w:bCs/>
          <w:highlight w:val="none"/>
        </w:rPr>
      </w:pPr>
      <w:r>
        <w:rPr>
          <w:rFonts w:hint="eastAsia" w:cs="宋体"/>
          <w:bCs/>
          <w:highlight w:val="none"/>
        </w:rPr>
        <w:t>8、招标文件的组成</w:t>
      </w:r>
    </w:p>
    <w:p w14:paraId="598E653A">
      <w:pPr>
        <w:spacing w:line="360" w:lineRule="auto"/>
        <w:ind w:firstLine="480" w:firstLineChars="200"/>
        <w:rPr>
          <w:rFonts w:ascii="宋体" w:hAnsi="宋体" w:cs="宋体"/>
          <w:sz w:val="24"/>
          <w:szCs w:val="24"/>
          <w:highlight w:val="none"/>
        </w:rPr>
      </w:pPr>
      <w:r>
        <w:rPr>
          <w:rFonts w:hint="eastAsia" w:ascii="宋体" w:hAnsi="宋体" w:cs="宋体"/>
          <w:sz w:val="24"/>
          <w:highlight w:val="none"/>
        </w:rPr>
        <w:t>8.1招标文件包括本招标文件目录和附件所示的全部内容。</w:t>
      </w:r>
    </w:p>
    <w:p w14:paraId="48D64263">
      <w:pPr>
        <w:spacing w:line="360" w:lineRule="auto"/>
        <w:ind w:firstLine="480" w:firstLineChars="200"/>
        <w:rPr>
          <w:rFonts w:ascii="宋体" w:hAnsi="宋体" w:cs="宋体"/>
          <w:sz w:val="24"/>
          <w:highlight w:val="none"/>
        </w:rPr>
      </w:pPr>
      <w:r>
        <w:rPr>
          <w:rFonts w:hint="eastAsia" w:ascii="宋体" w:hAnsi="宋体" w:cs="宋体"/>
          <w:sz w:val="24"/>
          <w:highlight w:val="none"/>
        </w:rPr>
        <w:t>8.2 除8.1内容外，招标人在提交投标文件截止时间15日前，以书面形式发出的对招标文件的澄清或修改、补充内容，均为招标文件的组成部分，对招标人和投标人起约束作用。</w:t>
      </w:r>
    </w:p>
    <w:p w14:paraId="43FAF1B7">
      <w:pPr>
        <w:spacing w:line="360" w:lineRule="auto"/>
        <w:ind w:firstLine="480" w:firstLineChars="200"/>
        <w:rPr>
          <w:rFonts w:ascii="宋体" w:hAnsi="宋体" w:cs="宋体"/>
          <w:sz w:val="24"/>
          <w:highlight w:val="none"/>
        </w:rPr>
      </w:pPr>
      <w:r>
        <w:rPr>
          <w:rFonts w:hint="eastAsia" w:ascii="宋体" w:hAnsi="宋体" w:cs="宋体"/>
          <w:sz w:val="24"/>
          <w:highlight w:val="none"/>
        </w:rPr>
        <w:t>8.3 投标人获取招标文件后，应仔细检查招标文件的所有内容，如有残缺等问题应在提交投标文件截止时间15日前以书面形式向招标人提出，否则，由此引起的损失由投标人自己承担。投标人同时应认真审阅招标文件中所有的事项、格式、条款和规范要求等，若投标人的投标文件没有按招标文件要求提交全部资料，或投标文件没有对招标文件做出实质性响应，其风险由投标人自行承担，并根据有关条款规定，该投标有可能被拒绝。</w:t>
      </w:r>
    </w:p>
    <w:p w14:paraId="00582C34">
      <w:pPr>
        <w:pStyle w:val="7"/>
        <w:ind w:left="1008" w:hanging="1008"/>
        <w:rPr>
          <w:rFonts w:cs="宋体"/>
          <w:bCs/>
          <w:highlight w:val="none"/>
        </w:rPr>
      </w:pPr>
      <w:r>
        <w:rPr>
          <w:rFonts w:hint="eastAsia" w:cs="宋体"/>
          <w:bCs/>
          <w:highlight w:val="none"/>
        </w:rPr>
        <w:t>9、投标人对招标文件提出异议及要求澄清的截止时间</w:t>
      </w:r>
    </w:p>
    <w:p w14:paraId="21E34744">
      <w:pPr>
        <w:spacing w:line="360" w:lineRule="auto"/>
        <w:ind w:firstLine="480" w:firstLineChars="200"/>
        <w:rPr>
          <w:rFonts w:ascii="宋体" w:hAnsi="宋体" w:cs="宋体"/>
          <w:sz w:val="24"/>
          <w:highlight w:val="none"/>
        </w:rPr>
      </w:pPr>
      <w:r>
        <w:rPr>
          <w:rFonts w:hint="eastAsia" w:ascii="宋体" w:hAnsi="宋体" w:cs="宋体"/>
          <w:sz w:val="24"/>
          <w:highlight w:val="none"/>
        </w:rPr>
        <w:t>9.1.投标人对招标文件提出异议的截止时间：各投标人应在投标截止时间十（10）天前以书面形式向招标代理提出（电话0417-2829979）。对各投标人提出的疑问，招标人以书面形式回答。</w:t>
      </w:r>
    </w:p>
    <w:p w14:paraId="0CCEDDBA">
      <w:pPr>
        <w:spacing w:line="360" w:lineRule="auto"/>
        <w:ind w:firstLine="480" w:firstLineChars="200"/>
        <w:rPr>
          <w:rFonts w:ascii="宋体" w:hAnsi="宋体" w:cs="宋体"/>
          <w:sz w:val="24"/>
          <w:highlight w:val="none"/>
        </w:rPr>
      </w:pPr>
      <w:r>
        <w:rPr>
          <w:rFonts w:hint="eastAsia" w:ascii="宋体" w:hAnsi="宋体" w:cs="宋体"/>
          <w:sz w:val="24"/>
          <w:highlight w:val="none"/>
        </w:rPr>
        <w:t>9.2投标人要求澄清招标文件的截止时间为投标截止时间15日前。</w:t>
      </w:r>
    </w:p>
    <w:p w14:paraId="7B6CBF3B">
      <w:pPr>
        <w:pStyle w:val="7"/>
        <w:ind w:left="1008" w:hanging="1008"/>
        <w:rPr>
          <w:rFonts w:cs="宋体"/>
          <w:bCs/>
          <w:highlight w:val="none"/>
        </w:rPr>
      </w:pPr>
      <w:r>
        <w:rPr>
          <w:rFonts w:hint="eastAsia" w:cs="宋体"/>
          <w:bCs/>
          <w:highlight w:val="none"/>
        </w:rPr>
        <w:t>10、招标文件的修改</w:t>
      </w:r>
    </w:p>
    <w:p w14:paraId="0D55A832">
      <w:pPr>
        <w:spacing w:line="360" w:lineRule="auto"/>
        <w:ind w:firstLine="532"/>
        <w:rPr>
          <w:rFonts w:ascii="宋体" w:hAnsi="宋体" w:cs="宋体"/>
          <w:sz w:val="24"/>
          <w:highlight w:val="none"/>
        </w:rPr>
      </w:pPr>
      <w:r>
        <w:rPr>
          <w:rFonts w:hint="eastAsia" w:ascii="宋体" w:hAnsi="宋体" w:cs="宋体"/>
          <w:sz w:val="24"/>
          <w:highlight w:val="none"/>
        </w:rPr>
        <w:t>10.1 在投标截止时间前，招标人无论出于自己的考虑，还是出于对投标人提问的澄清，均可对招标文件用补充文件的方式进行修改。</w:t>
      </w:r>
    </w:p>
    <w:p w14:paraId="68D3AE4E">
      <w:pPr>
        <w:spacing w:line="360" w:lineRule="auto"/>
        <w:ind w:firstLine="532"/>
        <w:rPr>
          <w:rFonts w:ascii="宋体" w:hAnsi="宋体" w:cs="宋体"/>
          <w:b/>
          <w:sz w:val="24"/>
          <w:highlight w:val="none"/>
        </w:rPr>
      </w:pPr>
      <w:r>
        <w:rPr>
          <w:rFonts w:hint="eastAsia" w:ascii="宋体" w:hAnsi="宋体" w:cs="宋体"/>
          <w:sz w:val="24"/>
          <w:highlight w:val="none"/>
        </w:rPr>
        <w:t>10.2 对招标文件的修改，将以书面的形式通知每一投标人。补充文件将作为招标文件的组成部分，对所有投标人均有约束力。</w:t>
      </w:r>
    </w:p>
    <w:p w14:paraId="48AE946C">
      <w:pPr>
        <w:spacing w:line="360" w:lineRule="auto"/>
        <w:ind w:firstLine="532"/>
        <w:rPr>
          <w:rFonts w:ascii="宋体" w:hAnsi="宋体" w:cs="宋体"/>
          <w:sz w:val="24"/>
          <w:highlight w:val="none"/>
        </w:rPr>
      </w:pPr>
      <w:r>
        <w:rPr>
          <w:rFonts w:hint="eastAsia" w:ascii="宋体" w:hAnsi="宋体" w:cs="宋体"/>
          <w:sz w:val="24"/>
          <w:highlight w:val="none"/>
        </w:rPr>
        <w:t>10.3为使投标人有足够的时间按招标文件的修改要求考虑修正投标文件，招标人可酌情推迟投标的截止日期和开标日期，并将此变更通知每一投标人。如果修改招标文件的时间距投标截止时间不足15日，并且修改内容影响投标文件编制的，将相应延长投标截止时间。</w:t>
      </w:r>
    </w:p>
    <w:p w14:paraId="595D5089">
      <w:pPr>
        <w:spacing w:line="360" w:lineRule="auto"/>
        <w:ind w:firstLine="532"/>
        <w:rPr>
          <w:rFonts w:ascii="宋体" w:hAnsi="宋体" w:cs="宋体"/>
          <w:sz w:val="24"/>
          <w:highlight w:val="none"/>
        </w:rPr>
      </w:pPr>
      <w:r>
        <w:rPr>
          <w:rFonts w:hint="eastAsia" w:ascii="宋体" w:hAnsi="宋体" w:cs="宋体"/>
          <w:sz w:val="24"/>
          <w:highlight w:val="none"/>
        </w:rPr>
        <w:t>10.4</w:t>
      </w:r>
      <w:r>
        <w:rPr>
          <w:rFonts w:hint="eastAsia" w:ascii="宋体" w:hAnsi="宋体" w:cs="宋体"/>
          <w:bCs/>
          <w:kern w:val="0"/>
          <w:sz w:val="24"/>
          <w:highlight w:val="none"/>
        </w:rPr>
        <w:t>招标文件的澄清（招标答疑）、修改、补充等内容均以书面形式明确的内容为准。当招标文件、招标文件的澄清（招标答疑）、修改、补充等在同一内容的表述上不一致时，以最后发出的书面文件为准</w:t>
      </w:r>
      <w:r>
        <w:rPr>
          <w:rFonts w:hint="eastAsia" w:ascii="宋体" w:hAnsi="宋体" w:cs="宋体"/>
          <w:sz w:val="24"/>
          <w:highlight w:val="none"/>
        </w:rPr>
        <w:t>。</w:t>
      </w:r>
    </w:p>
    <w:p w14:paraId="04693171">
      <w:pPr>
        <w:pStyle w:val="6"/>
        <w:tabs>
          <w:tab w:val="center" w:pos="4677"/>
          <w:tab w:val="left" w:pos="6240"/>
        </w:tabs>
        <w:rPr>
          <w:rFonts w:ascii="宋体" w:hAnsi="宋体" w:eastAsia="宋体" w:cs="宋体"/>
          <w:b/>
          <w:highlight w:val="none"/>
        </w:rPr>
      </w:pPr>
      <w:r>
        <w:rPr>
          <w:rFonts w:hint="eastAsia" w:ascii="宋体" w:hAnsi="宋体" w:eastAsia="宋体" w:cs="宋体"/>
          <w:b/>
          <w:highlight w:val="none"/>
        </w:rPr>
        <w:t>（三）投标文件的编制</w:t>
      </w:r>
    </w:p>
    <w:p w14:paraId="1C610CB9">
      <w:pPr>
        <w:pStyle w:val="7"/>
        <w:ind w:left="1008" w:hanging="1008"/>
        <w:rPr>
          <w:rFonts w:cs="宋体"/>
          <w:highlight w:val="none"/>
        </w:rPr>
      </w:pPr>
      <w:r>
        <w:rPr>
          <w:rFonts w:hint="eastAsia" w:cs="宋体"/>
          <w:highlight w:val="none"/>
        </w:rPr>
        <w:t>11、编制要求</w:t>
      </w:r>
    </w:p>
    <w:p w14:paraId="5FBF7844">
      <w:pPr>
        <w:spacing w:line="360" w:lineRule="auto"/>
        <w:ind w:firstLine="532"/>
        <w:rPr>
          <w:rFonts w:ascii="宋体" w:hAnsi="宋体" w:cs="宋体"/>
          <w:sz w:val="24"/>
          <w:highlight w:val="none"/>
        </w:rPr>
      </w:pPr>
      <w:r>
        <w:rPr>
          <w:rFonts w:hint="eastAsia" w:ascii="宋体" w:hAnsi="宋体" w:cs="宋体"/>
          <w:sz w:val="24"/>
          <w:highlight w:val="none"/>
        </w:rPr>
        <w:t>11.1投标人应认真阅读招标文件的所有内容，按招标文件的要求提供投标文件，并保证提供的全部资料的真实性，以使其投标对招标文件做出实质性响应，否则，其投标将被拒绝。</w:t>
      </w:r>
    </w:p>
    <w:p w14:paraId="175F036B">
      <w:pPr>
        <w:spacing w:line="360" w:lineRule="auto"/>
        <w:ind w:firstLine="532"/>
        <w:rPr>
          <w:rFonts w:ascii="宋体" w:hAnsi="宋体" w:cs="宋体"/>
          <w:sz w:val="24"/>
          <w:highlight w:val="none"/>
        </w:rPr>
      </w:pPr>
      <w:r>
        <w:rPr>
          <w:rFonts w:hint="eastAsia" w:ascii="宋体" w:hAnsi="宋体" w:cs="宋体"/>
          <w:sz w:val="24"/>
          <w:highlight w:val="none"/>
        </w:rPr>
        <w:t>11.2投标的语言：投标人提交的投标文件以及投标人与招标代理机构就有关投标的所有来往函电均应以中文书写。</w:t>
      </w:r>
    </w:p>
    <w:p w14:paraId="5E323182">
      <w:pPr>
        <w:spacing w:line="360" w:lineRule="auto"/>
        <w:ind w:firstLine="532"/>
        <w:rPr>
          <w:rFonts w:ascii="宋体" w:hAnsi="宋体" w:cs="宋体"/>
          <w:sz w:val="24"/>
          <w:highlight w:val="none"/>
        </w:rPr>
      </w:pPr>
      <w:r>
        <w:rPr>
          <w:rFonts w:hint="eastAsia" w:ascii="宋体" w:hAnsi="宋体" w:cs="宋体"/>
          <w:sz w:val="24"/>
          <w:highlight w:val="none"/>
        </w:rPr>
        <w:t>11.3除项目规范另有规定外，投标文件使用的度量衡单位，均采用中华人民共和国法定计量单位。</w:t>
      </w:r>
    </w:p>
    <w:p w14:paraId="5943C4BD">
      <w:pPr>
        <w:pStyle w:val="7"/>
        <w:ind w:left="1008" w:hanging="1008"/>
        <w:rPr>
          <w:rFonts w:cs="宋体"/>
          <w:highlight w:val="none"/>
        </w:rPr>
      </w:pPr>
      <w:r>
        <w:rPr>
          <w:rFonts w:hint="eastAsia" w:cs="宋体"/>
          <w:highlight w:val="none"/>
        </w:rPr>
        <w:t>12、投标文件的组成</w:t>
      </w:r>
    </w:p>
    <w:p w14:paraId="1F1C8E85">
      <w:pPr>
        <w:spacing w:line="360" w:lineRule="auto"/>
        <w:ind w:firstLine="532"/>
        <w:rPr>
          <w:rFonts w:ascii="宋体" w:hAnsi="宋体" w:cs="宋体"/>
          <w:sz w:val="24"/>
          <w:highlight w:val="none"/>
        </w:rPr>
      </w:pPr>
      <w:r>
        <w:rPr>
          <w:rFonts w:hint="eastAsia" w:ascii="宋体" w:hAnsi="宋体" w:cs="宋体"/>
          <w:sz w:val="24"/>
          <w:highlight w:val="none"/>
        </w:rPr>
        <w:t>投标文件应按第六章“附件（投标文件格式）”进行编制，如有必要，可以增加附页，作为投标文件的组成部分。</w:t>
      </w:r>
    </w:p>
    <w:p w14:paraId="09AE1CE7">
      <w:pPr>
        <w:pStyle w:val="7"/>
        <w:ind w:left="1008" w:hanging="1008"/>
        <w:rPr>
          <w:rFonts w:cs="宋体"/>
          <w:highlight w:val="none"/>
        </w:rPr>
      </w:pPr>
      <w:r>
        <w:rPr>
          <w:rFonts w:hint="eastAsia" w:cs="宋体"/>
          <w:highlight w:val="none"/>
        </w:rPr>
        <w:t xml:space="preserve">13、投标文件内容及格式    </w:t>
      </w:r>
    </w:p>
    <w:p w14:paraId="6C376C0C">
      <w:pPr>
        <w:spacing w:line="360" w:lineRule="auto"/>
        <w:ind w:firstLine="532"/>
        <w:rPr>
          <w:rFonts w:ascii="宋体" w:hAnsi="宋体" w:cs="宋体"/>
          <w:sz w:val="24"/>
          <w:highlight w:val="none"/>
        </w:rPr>
      </w:pPr>
      <w:r>
        <w:rPr>
          <w:rFonts w:hint="eastAsia" w:ascii="宋体" w:hAnsi="宋体" w:cs="宋体"/>
          <w:sz w:val="24"/>
          <w:highlight w:val="none"/>
        </w:rPr>
        <w:t>13.1投标人应按招标文件规定的全部内容（但不限于）与要求编制投标文件，投标人提交的投标文件应当使用招标文件所提供的投标文件全部格式（表格可以按同样格式扩展）。</w:t>
      </w:r>
    </w:p>
    <w:p w14:paraId="67C72259">
      <w:pPr>
        <w:pStyle w:val="7"/>
        <w:ind w:left="1008" w:hanging="1008"/>
        <w:rPr>
          <w:rFonts w:cs="宋体"/>
          <w:highlight w:val="none"/>
        </w:rPr>
      </w:pPr>
      <w:r>
        <w:rPr>
          <w:rFonts w:hint="eastAsia" w:cs="宋体"/>
          <w:highlight w:val="none"/>
        </w:rPr>
        <w:t>14、投标报价</w:t>
      </w:r>
    </w:p>
    <w:p w14:paraId="42F56779">
      <w:pPr>
        <w:spacing w:line="360" w:lineRule="auto"/>
        <w:ind w:firstLine="525" w:firstLineChars="250"/>
        <w:rPr>
          <w:rFonts w:ascii="宋体" w:hAnsi="宋体" w:cs="宋体"/>
          <w:sz w:val="24"/>
          <w:highlight w:val="none"/>
        </w:rPr>
      </w:pPr>
      <w:r>
        <w:rPr>
          <w:rFonts w:hint="eastAsia" w:ascii="宋体" w:hAnsi="宋体" w:cs="宋体"/>
          <w:highlight w:val="none"/>
        </w:rPr>
        <w:t xml:space="preserve"> </w:t>
      </w:r>
      <w:r>
        <w:rPr>
          <w:rFonts w:hint="eastAsia" w:ascii="宋体" w:hAnsi="宋体" w:cs="宋体"/>
          <w:sz w:val="24"/>
          <w:highlight w:val="none"/>
        </w:rPr>
        <w:t>14.1投标报价方式：投标人根据市场价报固定总价，市场价包括人工费、管理费、利润等所有应计费用及政策性文件规定及合同包含的所有风险、责任等各项应有费用及税金（须开具增值税专用发票）。</w:t>
      </w:r>
    </w:p>
    <w:p w14:paraId="0BF3B2C5">
      <w:pPr>
        <w:spacing w:line="360" w:lineRule="auto"/>
        <w:ind w:firstLine="600" w:firstLineChars="250"/>
        <w:rPr>
          <w:rFonts w:ascii="宋体" w:hAnsi="宋体" w:cs="宋体"/>
          <w:sz w:val="24"/>
          <w:highlight w:val="none"/>
        </w:rPr>
      </w:pPr>
      <w:r>
        <w:rPr>
          <w:rFonts w:hint="eastAsia" w:ascii="宋体" w:hAnsi="宋体" w:cs="宋体"/>
          <w:sz w:val="24"/>
          <w:highlight w:val="none"/>
        </w:rPr>
        <w:t>14.2请各投标人在投标报价时必须自行考虑各种因素，认真分析、测算，作出合理报价参加投标。涉及到招标人新增或变更的内容，以双方协商确定的价格为依据据实结算。</w:t>
      </w:r>
    </w:p>
    <w:p w14:paraId="7696AF41">
      <w:pPr>
        <w:spacing w:line="360" w:lineRule="auto"/>
        <w:ind w:firstLine="600" w:firstLineChars="250"/>
        <w:rPr>
          <w:rFonts w:ascii="宋体" w:hAnsi="宋体" w:cs="宋体"/>
          <w:sz w:val="24"/>
          <w:highlight w:val="none"/>
        </w:rPr>
      </w:pPr>
      <w:r>
        <w:rPr>
          <w:rFonts w:hint="eastAsia" w:ascii="宋体" w:hAnsi="宋体" w:cs="宋体"/>
          <w:sz w:val="24"/>
          <w:highlight w:val="none"/>
        </w:rPr>
        <w:t>14.3</w:t>
      </w:r>
      <w:r>
        <w:rPr>
          <w:rFonts w:hint="eastAsia" w:ascii="宋体" w:hAnsi="宋体" w:cs="宋体"/>
          <w:b/>
          <w:sz w:val="24"/>
          <w:highlight w:val="none"/>
        </w:rPr>
        <w:t>最终结算时：投标人根据招标人提供的资料自行填报固定总价，其价格应包含完成所需的一切费用。按可调整价格报价的投标文件将被视为不响应招标文件。</w:t>
      </w:r>
    </w:p>
    <w:p w14:paraId="75D41090">
      <w:pPr>
        <w:pStyle w:val="7"/>
        <w:ind w:left="1008" w:hanging="1008"/>
        <w:rPr>
          <w:rFonts w:cs="宋体"/>
          <w:highlight w:val="none"/>
        </w:rPr>
      </w:pPr>
      <w:r>
        <w:rPr>
          <w:rFonts w:hint="eastAsia" w:cs="宋体"/>
          <w:highlight w:val="none"/>
        </w:rPr>
        <w:t>15、投标货币</w:t>
      </w:r>
    </w:p>
    <w:p w14:paraId="041A1342">
      <w:pPr>
        <w:spacing w:line="360" w:lineRule="auto"/>
        <w:ind w:firstLine="500"/>
        <w:rPr>
          <w:rFonts w:ascii="宋体" w:hAnsi="宋体" w:cs="宋体"/>
          <w:sz w:val="24"/>
          <w:highlight w:val="none"/>
        </w:rPr>
      </w:pPr>
      <w:r>
        <w:rPr>
          <w:rFonts w:hint="eastAsia" w:ascii="宋体" w:hAnsi="宋体" w:cs="宋体"/>
          <w:sz w:val="24"/>
          <w:highlight w:val="none"/>
        </w:rPr>
        <w:t>15.1投标人提供的服务一律用人民币结算及报价。</w:t>
      </w:r>
    </w:p>
    <w:p w14:paraId="53367E44">
      <w:pPr>
        <w:pStyle w:val="7"/>
        <w:ind w:left="1008" w:hanging="1008"/>
        <w:rPr>
          <w:rFonts w:cs="宋体"/>
          <w:highlight w:val="none"/>
        </w:rPr>
      </w:pPr>
      <w:r>
        <w:rPr>
          <w:rFonts w:hint="eastAsia" w:cs="宋体"/>
          <w:highlight w:val="none"/>
        </w:rPr>
        <w:t>16、证明投标人合格和资格的文件</w:t>
      </w:r>
    </w:p>
    <w:p w14:paraId="6E14E7F6">
      <w:pPr>
        <w:spacing w:line="360" w:lineRule="auto"/>
        <w:ind w:firstLine="500"/>
        <w:rPr>
          <w:rFonts w:ascii="宋体" w:hAnsi="宋体" w:cs="宋体"/>
          <w:sz w:val="24"/>
          <w:highlight w:val="none"/>
        </w:rPr>
      </w:pPr>
      <w:r>
        <w:rPr>
          <w:rFonts w:hint="eastAsia" w:ascii="宋体" w:hAnsi="宋体" w:cs="宋体"/>
          <w:sz w:val="24"/>
          <w:highlight w:val="none"/>
        </w:rPr>
        <w:t>16.1投标人应提交证明其有资格参加投标的文件，详见“第七章 评标办法”。</w:t>
      </w:r>
    </w:p>
    <w:p w14:paraId="04279791">
      <w:pPr>
        <w:spacing w:line="360" w:lineRule="auto"/>
        <w:ind w:firstLine="500"/>
        <w:rPr>
          <w:rFonts w:ascii="宋体" w:hAnsi="宋体" w:cs="宋体"/>
          <w:sz w:val="24"/>
          <w:highlight w:val="none"/>
        </w:rPr>
      </w:pPr>
      <w:r>
        <w:rPr>
          <w:rFonts w:hint="eastAsia" w:ascii="宋体" w:hAnsi="宋体" w:cs="宋体"/>
          <w:sz w:val="24"/>
          <w:highlight w:val="none"/>
        </w:rPr>
        <w:t>16.2投标人在投标时应符合本须知第5.1条的规定。</w:t>
      </w:r>
    </w:p>
    <w:p w14:paraId="4CAECA7A">
      <w:pPr>
        <w:pStyle w:val="7"/>
        <w:ind w:left="1008" w:hanging="1008"/>
        <w:rPr>
          <w:rFonts w:cs="宋体"/>
          <w:highlight w:val="none"/>
        </w:rPr>
      </w:pPr>
      <w:r>
        <w:rPr>
          <w:rFonts w:hint="eastAsia" w:cs="宋体"/>
          <w:highlight w:val="none"/>
        </w:rPr>
        <w:t>17、证明服务的合格性和符合招标文件规定的文件</w:t>
      </w:r>
    </w:p>
    <w:p w14:paraId="523593DA">
      <w:pPr>
        <w:spacing w:line="360" w:lineRule="auto"/>
        <w:ind w:firstLine="500"/>
        <w:rPr>
          <w:rFonts w:ascii="宋体" w:hAnsi="宋体" w:cs="宋体"/>
          <w:sz w:val="24"/>
          <w:highlight w:val="none"/>
        </w:rPr>
      </w:pPr>
      <w:r>
        <w:rPr>
          <w:rFonts w:hint="eastAsia" w:ascii="宋体" w:hAnsi="宋体" w:cs="宋体"/>
          <w:sz w:val="24"/>
          <w:highlight w:val="none"/>
        </w:rPr>
        <w:t>17.1详见“第七章 评标办法”。</w:t>
      </w:r>
    </w:p>
    <w:p w14:paraId="7904C582">
      <w:pPr>
        <w:pStyle w:val="7"/>
        <w:ind w:left="1008" w:hanging="1008"/>
        <w:rPr>
          <w:rFonts w:cs="宋体"/>
          <w:highlight w:val="none"/>
        </w:rPr>
      </w:pPr>
      <w:r>
        <w:rPr>
          <w:rFonts w:hint="eastAsia" w:cs="宋体"/>
          <w:highlight w:val="none"/>
        </w:rPr>
        <w:t>18、投标保证金</w:t>
      </w:r>
    </w:p>
    <w:p w14:paraId="2A33EE27">
      <w:pPr>
        <w:spacing w:line="360" w:lineRule="auto"/>
        <w:ind w:firstLine="500"/>
        <w:rPr>
          <w:rFonts w:ascii="宋体" w:hAnsi="宋体" w:cs="宋体"/>
          <w:sz w:val="24"/>
          <w:highlight w:val="none"/>
        </w:rPr>
      </w:pPr>
      <w:r>
        <w:rPr>
          <w:rFonts w:hint="eastAsia" w:ascii="宋体" w:hAnsi="宋体" w:cs="宋体"/>
          <w:sz w:val="24"/>
          <w:highlight w:val="none"/>
        </w:rPr>
        <w:t>18.1投标人应按投标须知前附表第16项规定提交投标保证</w:t>
      </w:r>
      <w:r>
        <w:rPr>
          <w:rFonts w:hint="eastAsia" w:ascii="宋体" w:hAnsi="宋体" w:cs="宋体"/>
          <w:sz w:val="24"/>
          <w:highlight w:val="none"/>
        </w:rPr>
        <w:tab/>
      </w:r>
      <w:r>
        <w:rPr>
          <w:rFonts w:hint="eastAsia" w:ascii="宋体" w:hAnsi="宋体" w:cs="宋体"/>
          <w:sz w:val="24"/>
          <w:highlight w:val="none"/>
        </w:rPr>
        <w:t>金。</w:t>
      </w:r>
    </w:p>
    <w:p w14:paraId="09E37942">
      <w:pPr>
        <w:spacing w:line="360" w:lineRule="auto"/>
        <w:ind w:firstLine="500"/>
        <w:rPr>
          <w:rFonts w:ascii="宋体" w:hAnsi="宋体" w:cs="宋体"/>
          <w:sz w:val="24"/>
          <w:highlight w:val="none"/>
        </w:rPr>
      </w:pPr>
      <w:r>
        <w:rPr>
          <w:rFonts w:hint="eastAsia" w:ascii="宋体" w:hAnsi="宋体" w:cs="宋体"/>
          <w:sz w:val="24"/>
          <w:highlight w:val="none"/>
        </w:rPr>
        <w:t>18.2招标人与中标人签订合同后五日内,向未中标的投标人一次性退还投标保证金（无息）。</w:t>
      </w:r>
    </w:p>
    <w:p w14:paraId="047EF7B5">
      <w:pPr>
        <w:spacing w:line="360" w:lineRule="auto"/>
        <w:ind w:firstLine="500"/>
        <w:rPr>
          <w:rFonts w:ascii="宋体" w:hAnsi="宋体" w:cs="宋体"/>
          <w:sz w:val="24"/>
          <w:highlight w:val="none"/>
        </w:rPr>
      </w:pPr>
      <w:r>
        <w:rPr>
          <w:rFonts w:hint="eastAsia" w:ascii="宋体" w:hAnsi="宋体"/>
          <w:sz w:val="24"/>
          <w:highlight w:val="none"/>
        </w:rPr>
        <w:t>18.3中标人的投标保证金，在中标人按照本招标文件规定签订合同后，三个工作日内予以退还（利息按照银行同期存款利息计取）</w:t>
      </w:r>
    </w:p>
    <w:p w14:paraId="2F7F95E1">
      <w:pPr>
        <w:spacing w:line="360" w:lineRule="auto"/>
        <w:ind w:firstLine="500"/>
        <w:rPr>
          <w:rFonts w:ascii="宋体" w:hAnsi="宋体" w:cs="宋体"/>
          <w:sz w:val="24"/>
          <w:highlight w:val="none"/>
        </w:rPr>
      </w:pPr>
      <w:r>
        <w:rPr>
          <w:rFonts w:hint="eastAsia" w:ascii="宋体" w:hAnsi="宋体" w:cs="宋体"/>
          <w:sz w:val="24"/>
          <w:highlight w:val="none"/>
        </w:rPr>
        <w:t>18.4中标人的投标担保，在中标人按本须知第36条规定签订合同后5日内予以退还。</w:t>
      </w:r>
    </w:p>
    <w:p w14:paraId="7179105E">
      <w:pPr>
        <w:spacing w:line="360" w:lineRule="auto"/>
        <w:ind w:firstLine="500"/>
        <w:rPr>
          <w:rFonts w:ascii="宋体" w:hAnsi="宋体" w:cs="宋体"/>
          <w:sz w:val="24"/>
          <w:highlight w:val="none"/>
        </w:rPr>
      </w:pPr>
      <w:r>
        <w:rPr>
          <w:rFonts w:hint="eastAsia" w:ascii="宋体" w:hAnsi="宋体" w:cs="宋体"/>
          <w:sz w:val="24"/>
          <w:highlight w:val="none"/>
        </w:rPr>
        <w:t>18.5如投标人发生下列情况之一时，投标担保将不予退还：</w:t>
      </w:r>
    </w:p>
    <w:p w14:paraId="133D421E">
      <w:pPr>
        <w:spacing w:line="360" w:lineRule="auto"/>
        <w:ind w:firstLine="500"/>
        <w:rPr>
          <w:rFonts w:ascii="宋体" w:hAnsi="宋体" w:cs="宋体"/>
          <w:sz w:val="24"/>
          <w:highlight w:val="none"/>
        </w:rPr>
      </w:pPr>
      <w:r>
        <w:rPr>
          <w:rFonts w:hint="eastAsia" w:ascii="宋体" w:hAnsi="宋体" w:cs="宋体"/>
          <w:sz w:val="24"/>
          <w:highlight w:val="none"/>
        </w:rPr>
        <w:t>18.5.1投标人在投标截止日后撤回投标书的；</w:t>
      </w:r>
    </w:p>
    <w:p w14:paraId="1A47C3D9">
      <w:pPr>
        <w:spacing w:line="360" w:lineRule="auto"/>
        <w:ind w:firstLine="500"/>
        <w:rPr>
          <w:rFonts w:ascii="宋体" w:hAnsi="宋体" w:cs="宋体"/>
          <w:sz w:val="24"/>
          <w:highlight w:val="none"/>
        </w:rPr>
      </w:pPr>
      <w:r>
        <w:rPr>
          <w:rFonts w:hint="eastAsia" w:ascii="宋体" w:hAnsi="宋体" w:cs="宋体"/>
          <w:sz w:val="24"/>
          <w:highlight w:val="none"/>
        </w:rPr>
        <w:t>18.5.2中标人未能在规定期限内签订合同协议；</w:t>
      </w:r>
    </w:p>
    <w:p w14:paraId="0B51DEA1">
      <w:pPr>
        <w:spacing w:line="360" w:lineRule="auto"/>
        <w:ind w:firstLine="500"/>
        <w:rPr>
          <w:rFonts w:ascii="宋体" w:hAnsi="宋体" w:cs="宋体"/>
          <w:sz w:val="24"/>
          <w:highlight w:val="none"/>
        </w:rPr>
      </w:pPr>
      <w:r>
        <w:rPr>
          <w:rFonts w:hint="eastAsia" w:ascii="宋体" w:hAnsi="宋体" w:cs="宋体"/>
          <w:sz w:val="24"/>
          <w:highlight w:val="none"/>
        </w:rPr>
        <w:t>18.5.3投标人在整个投标活动中有严重违反国家法律、法规并经查实。</w:t>
      </w:r>
    </w:p>
    <w:p w14:paraId="07D2970B">
      <w:pPr>
        <w:spacing w:line="360" w:lineRule="auto"/>
        <w:ind w:firstLine="500"/>
        <w:rPr>
          <w:rFonts w:ascii="宋体" w:hAnsi="宋体" w:cs="宋体"/>
          <w:sz w:val="24"/>
          <w:highlight w:val="none"/>
        </w:rPr>
      </w:pPr>
      <w:r>
        <w:rPr>
          <w:rFonts w:hint="eastAsia" w:ascii="宋体" w:hAnsi="宋体" w:cs="宋体"/>
          <w:sz w:val="24"/>
          <w:highlight w:val="none"/>
        </w:rPr>
        <w:t>注：此账户仅为递交投标保证金的账户，汇款时请备注项目编号及款项。</w:t>
      </w:r>
    </w:p>
    <w:p w14:paraId="2AEB0F4D">
      <w:pPr>
        <w:spacing w:line="360" w:lineRule="auto"/>
        <w:ind w:firstLine="500"/>
        <w:rPr>
          <w:rFonts w:ascii="宋体" w:hAnsi="宋体" w:cs="宋体"/>
          <w:sz w:val="24"/>
          <w:highlight w:val="none"/>
        </w:rPr>
      </w:pPr>
      <w:r>
        <w:rPr>
          <w:rFonts w:hint="eastAsia" w:ascii="宋体" w:hAnsi="宋体" w:cs="宋体"/>
          <w:sz w:val="24"/>
          <w:highlight w:val="none"/>
        </w:rPr>
        <w:t xml:space="preserve">投标保证金账户信息： </w:t>
      </w:r>
    </w:p>
    <w:p w14:paraId="532B468B">
      <w:pPr>
        <w:spacing w:line="360" w:lineRule="auto"/>
        <w:ind w:firstLine="500"/>
        <w:rPr>
          <w:rFonts w:ascii="宋体" w:hAnsi="宋体" w:cs="宋体"/>
          <w:sz w:val="24"/>
          <w:highlight w:val="none"/>
        </w:rPr>
      </w:pPr>
      <w:r>
        <w:rPr>
          <w:rFonts w:hint="eastAsia" w:ascii="宋体" w:hAnsi="宋体" w:cs="宋体"/>
          <w:sz w:val="24"/>
          <w:highlight w:val="none"/>
        </w:rPr>
        <w:t xml:space="preserve">开户银行：盛京银行营口学府支行 </w:t>
      </w:r>
    </w:p>
    <w:p w14:paraId="0B1BC14D">
      <w:pPr>
        <w:spacing w:line="360" w:lineRule="auto"/>
        <w:ind w:firstLine="500"/>
        <w:rPr>
          <w:rFonts w:ascii="宋体" w:hAnsi="宋体" w:cs="宋体"/>
          <w:sz w:val="24"/>
          <w:highlight w:val="none"/>
        </w:rPr>
      </w:pPr>
      <w:r>
        <w:rPr>
          <w:rFonts w:hint="eastAsia" w:ascii="宋体" w:hAnsi="宋体" w:cs="宋体"/>
          <w:sz w:val="24"/>
          <w:highlight w:val="none"/>
        </w:rPr>
        <w:t>账号：</w:t>
      </w:r>
      <w:r>
        <w:rPr>
          <w:rFonts w:hint="eastAsia" w:ascii="宋体" w:hAnsi="宋体" w:cs="宋体"/>
          <w:sz w:val="24"/>
          <w:szCs w:val="24"/>
          <w:highlight w:val="none"/>
        </w:rPr>
        <w:t>0550500102000009491</w:t>
      </w:r>
    </w:p>
    <w:p w14:paraId="3257477B">
      <w:pPr>
        <w:spacing w:line="360" w:lineRule="auto"/>
        <w:ind w:firstLine="500"/>
        <w:rPr>
          <w:rFonts w:ascii="宋体" w:hAnsi="宋体" w:cs="宋体"/>
          <w:sz w:val="24"/>
          <w:highlight w:val="none"/>
        </w:rPr>
      </w:pPr>
      <w:r>
        <w:rPr>
          <w:rFonts w:hint="eastAsia" w:ascii="宋体" w:hAnsi="宋体" w:cs="宋体"/>
          <w:sz w:val="24"/>
          <w:highlight w:val="none"/>
        </w:rPr>
        <w:t>收款人：辽宁金誉建设工程造价咨询有限责任公司</w:t>
      </w:r>
    </w:p>
    <w:p w14:paraId="3044CA97">
      <w:pPr>
        <w:pStyle w:val="7"/>
        <w:ind w:left="1008" w:hanging="1008"/>
        <w:rPr>
          <w:rFonts w:cs="宋体"/>
          <w:highlight w:val="none"/>
        </w:rPr>
      </w:pPr>
      <w:r>
        <w:rPr>
          <w:rFonts w:hint="eastAsia" w:cs="宋体"/>
          <w:highlight w:val="none"/>
        </w:rPr>
        <w:t>19、投标有效期</w:t>
      </w:r>
    </w:p>
    <w:p w14:paraId="0F3519CB">
      <w:pPr>
        <w:spacing w:line="360" w:lineRule="auto"/>
        <w:ind w:firstLine="500"/>
        <w:rPr>
          <w:rFonts w:ascii="宋体" w:hAnsi="宋体" w:cs="宋体"/>
          <w:sz w:val="24"/>
          <w:highlight w:val="none"/>
        </w:rPr>
      </w:pPr>
      <w:r>
        <w:rPr>
          <w:rFonts w:hint="eastAsia" w:ascii="宋体" w:hAnsi="宋体" w:cs="宋体"/>
          <w:sz w:val="24"/>
          <w:highlight w:val="none"/>
        </w:rPr>
        <w:t>19.1投标应自本须知第25.1条规定的开标日起，并在“投标人须知前附表”中所述期限内保持有效。投标有效期不足的投标将被视为非响应性投标而被否绝。</w:t>
      </w:r>
    </w:p>
    <w:p w14:paraId="5F7CE6F3">
      <w:pPr>
        <w:spacing w:line="360" w:lineRule="auto"/>
        <w:ind w:firstLine="500"/>
        <w:rPr>
          <w:rFonts w:ascii="宋体" w:hAnsi="宋体" w:cs="宋体"/>
          <w:sz w:val="24"/>
          <w:highlight w:val="none"/>
        </w:rPr>
      </w:pPr>
      <w:r>
        <w:rPr>
          <w:rFonts w:hint="eastAsia" w:ascii="宋体" w:hAnsi="宋体" w:cs="宋体"/>
          <w:sz w:val="24"/>
          <w:highlight w:val="none"/>
        </w:rPr>
        <w:t>19.2特殊情况下，在原投标有效期截止之前，招标代理机构可要求投标人同意延长投标有效期。这种要求与答复均应以书面形式提交。投标人可拒绝招标代理机构的这种要求，其投标保证金将正常退还。接受延长投标有效期的投标人将不会被要求和允许修正其投标，而只会被要求相应地延长其投标保证金的有效期。在这种情况下，本须知第18条有关投标保证金的退还和不予退还的规定将在延长了的有效期内继续有效。</w:t>
      </w:r>
    </w:p>
    <w:p w14:paraId="1B2A6B63">
      <w:pPr>
        <w:pStyle w:val="7"/>
        <w:ind w:left="1008" w:hanging="1008"/>
        <w:rPr>
          <w:rFonts w:cs="宋体"/>
          <w:highlight w:val="none"/>
        </w:rPr>
      </w:pPr>
      <w:r>
        <w:rPr>
          <w:rFonts w:hint="eastAsia" w:cs="宋体"/>
          <w:highlight w:val="none"/>
        </w:rPr>
        <w:t>20、投标文件的份数和签署</w:t>
      </w:r>
    </w:p>
    <w:p w14:paraId="7C2A363D">
      <w:pPr>
        <w:spacing w:line="360" w:lineRule="auto"/>
        <w:ind w:firstLine="500"/>
        <w:rPr>
          <w:rFonts w:ascii="宋体" w:hAnsi="宋体" w:cs="宋体"/>
          <w:sz w:val="24"/>
          <w:highlight w:val="none"/>
        </w:rPr>
      </w:pPr>
      <w:r>
        <w:rPr>
          <w:rFonts w:hint="eastAsia" w:ascii="宋体" w:hAnsi="宋体" w:cs="宋体"/>
          <w:sz w:val="24"/>
          <w:highlight w:val="none"/>
        </w:rPr>
        <w:t>20.1 投标人应按本须知前附表第19项规定的份数提交投标文件。</w:t>
      </w:r>
    </w:p>
    <w:p w14:paraId="1615D015">
      <w:pPr>
        <w:spacing w:line="360" w:lineRule="auto"/>
        <w:ind w:firstLine="500"/>
        <w:rPr>
          <w:rFonts w:ascii="宋体" w:hAnsi="宋体" w:cs="宋体"/>
          <w:sz w:val="24"/>
          <w:highlight w:val="none"/>
        </w:rPr>
      </w:pPr>
      <w:r>
        <w:rPr>
          <w:rFonts w:hint="eastAsia" w:ascii="宋体" w:hAnsi="宋体" w:cs="宋体"/>
          <w:sz w:val="24"/>
          <w:highlight w:val="none"/>
        </w:rPr>
        <w:t xml:space="preserve">20.2 </w:t>
      </w:r>
      <w:r>
        <w:rPr>
          <w:rFonts w:hint="eastAsia" w:ascii="宋体" w:hAnsi="宋体" w:cs="宋体"/>
          <w:sz w:val="24"/>
          <w:szCs w:val="24"/>
          <w:highlight w:val="none"/>
        </w:rPr>
        <w:t>投标文件封面、投标函均应加盖投标人印章并经法定代表人或负责人或其委托代理人签字或盖章。由委托代理人签字或盖章的在投标文件中须同时提交投标文件签署授权委托书。投标文件签署授权委托书格式、签字、盖章及内容均应符合要求，否则投标文件签署授权委托书无效。</w:t>
      </w:r>
    </w:p>
    <w:p w14:paraId="1096FF2C">
      <w:pPr>
        <w:spacing w:line="360" w:lineRule="auto"/>
        <w:ind w:firstLine="500"/>
        <w:rPr>
          <w:rFonts w:ascii="宋体" w:hAnsi="宋体" w:cs="宋体"/>
          <w:sz w:val="24"/>
          <w:highlight w:val="none"/>
        </w:rPr>
      </w:pPr>
      <w:r>
        <w:rPr>
          <w:rFonts w:hint="eastAsia" w:ascii="宋体" w:hAnsi="宋体" w:cs="宋体"/>
          <w:sz w:val="24"/>
          <w:highlight w:val="none"/>
        </w:rPr>
        <w:t>20.3 除投标人对错误处须修改外，全套投标文件应无涂改或行间插字和增删。如有修改，修改处应由投标人加盖投标人的印章或由投标文件签字人签字或盖章。</w:t>
      </w:r>
    </w:p>
    <w:p w14:paraId="6ABE4D6C">
      <w:pPr>
        <w:spacing w:line="360" w:lineRule="auto"/>
        <w:ind w:firstLine="480" w:firstLineChars="200"/>
        <w:rPr>
          <w:rFonts w:ascii="宋体" w:hAnsi="宋体" w:cs="宋体"/>
          <w:sz w:val="24"/>
          <w:szCs w:val="28"/>
          <w:highlight w:val="none"/>
        </w:rPr>
      </w:pPr>
      <w:r>
        <w:rPr>
          <w:rFonts w:hint="eastAsia" w:ascii="宋体" w:hAnsi="宋体" w:cs="宋体"/>
          <w:sz w:val="24"/>
          <w:highlight w:val="none"/>
        </w:rPr>
        <w:t>20</w:t>
      </w:r>
      <w:r>
        <w:rPr>
          <w:rFonts w:hint="eastAsia" w:ascii="宋体" w:hAnsi="宋体" w:cs="宋体"/>
          <w:sz w:val="24"/>
          <w:szCs w:val="28"/>
          <w:highlight w:val="none"/>
        </w:rPr>
        <w:t>.4 投标文件应按招标文件及</w:t>
      </w:r>
      <w:r>
        <w:rPr>
          <w:rFonts w:ascii="sans-serif" w:hAnsi="sans-serif" w:eastAsia="sans-serif" w:cs="sans-serif"/>
          <w:sz w:val="24"/>
          <w:szCs w:val="24"/>
          <w:highlight w:val="none"/>
          <w:shd w:val="clear" w:color="auto" w:fill="FFFFFF"/>
        </w:rPr>
        <w:t>电子招标投标交易平台</w:t>
      </w:r>
      <w:r>
        <w:rPr>
          <w:rFonts w:hint="eastAsia" w:ascii="宋体" w:hAnsi="宋体" w:cs="宋体"/>
          <w:sz w:val="24"/>
          <w:szCs w:val="28"/>
          <w:highlight w:val="none"/>
        </w:rPr>
        <w:t>系统要求进行编制，投标文件的内容应按评标办法所列内容顺序编写，以便评审。</w:t>
      </w:r>
    </w:p>
    <w:p w14:paraId="5131FC9A">
      <w:pPr>
        <w:spacing w:line="360" w:lineRule="auto"/>
        <w:ind w:firstLine="480" w:firstLineChars="200"/>
        <w:rPr>
          <w:rFonts w:ascii="宋体" w:hAnsi="宋体" w:cs="宋体"/>
          <w:sz w:val="24"/>
          <w:szCs w:val="28"/>
          <w:highlight w:val="none"/>
        </w:rPr>
      </w:pPr>
    </w:p>
    <w:p w14:paraId="0B3EA617">
      <w:pPr>
        <w:pStyle w:val="6"/>
        <w:tabs>
          <w:tab w:val="center" w:pos="4677"/>
          <w:tab w:val="left" w:pos="6240"/>
        </w:tabs>
        <w:rPr>
          <w:rFonts w:ascii="宋体" w:hAnsi="宋体" w:eastAsia="宋体" w:cs="宋体"/>
          <w:b/>
          <w:highlight w:val="none"/>
        </w:rPr>
      </w:pPr>
      <w:r>
        <w:rPr>
          <w:rFonts w:hint="eastAsia" w:ascii="宋体" w:hAnsi="宋体" w:eastAsia="宋体" w:cs="宋体"/>
          <w:b/>
          <w:highlight w:val="none"/>
        </w:rPr>
        <w:t>（四）投标文件的提交</w:t>
      </w:r>
    </w:p>
    <w:p w14:paraId="441C2C09">
      <w:pPr>
        <w:pStyle w:val="7"/>
        <w:ind w:left="1008" w:hanging="1008"/>
        <w:rPr>
          <w:rFonts w:cs="宋体"/>
          <w:highlight w:val="none"/>
        </w:rPr>
      </w:pPr>
      <w:r>
        <w:rPr>
          <w:rFonts w:hint="eastAsia" w:cs="宋体"/>
          <w:highlight w:val="none"/>
        </w:rPr>
        <w:t>21、投标文件的提交、密封与标记</w:t>
      </w:r>
    </w:p>
    <w:p w14:paraId="62FD18F8">
      <w:pPr>
        <w:spacing w:line="360" w:lineRule="auto"/>
        <w:ind w:firstLine="630"/>
        <w:rPr>
          <w:rFonts w:ascii="宋体" w:hAnsi="宋体" w:cs="宋体"/>
          <w:b/>
          <w:sz w:val="24"/>
          <w:szCs w:val="28"/>
          <w:highlight w:val="none"/>
        </w:rPr>
      </w:pPr>
      <w:r>
        <w:rPr>
          <w:rFonts w:hint="eastAsia" w:ascii="宋体" w:hAnsi="宋体" w:cs="宋体"/>
          <w:sz w:val="24"/>
          <w:szCs w:val="28"/>
          <w:highlight w:val="none"/>
        </w:rPr>
        <w:t xml:space="preserve">21.1 </w:t>
      </w:r>
      <w:r>
        <w:rPr>
          <w:rFonts w:ascii="sans-serif" w:hAnsi="sans-serif" w:eastAsia="sans-serif" w:cs="sans-serif"/>
          <w:sz w:val="24"/>
          <w:szCs w:val="24"/>
          <w:highlight w:val="none"/>
          <w:shd w:val="clear" w:color="auto" w:fill="FFFFFF"/>
        </w:rPr>
        <w:t>投标人应当按照招标文件和电子招标投标交易平台的要求加密投标文件</w:t>
      </w:r>
      <w:r>
        <w:rPr>
          <w:rFonts w:hint="eastAsia" w:ascii="sans-serif" w:hAnsi="sans-serif" w:cs="sans-serif"/>
          <w:sz w:val="24"/>
          <w:szCs w:val="24"/>
          <w:highlight w:val="none"/>
          <w:shd w:val="clear" w:color="auto" w:fill="FFFFFF"/>
        </w:rPr>
        <w:t>。</w:t>
      </w:r>
    </w:p>
    <w:p w14:paraId="568F1877">
      <w:pPr>
        <w:spacing w:line="360" w:lineRule="auto"/>
        <w:ind w:firstLine="630"/>
        <w:rPr>
          <w:rFonts w:ascii="宋体" w:hAnsi="宋体" w:cs="宋体"/>
          <w:sz w:val="24"/>
          <w:szCs w:val="28"/>
          <w:highlight w:val="none"/>
        </w:rPr>
      </w:pPr>
      <w:r>
        <w:rPr>
          <w:rFonts w:hint="eastAsia" w:ascii="宋体" w:hAnsi="宋体" w:cs="宋体"/>
          <w:sz w:val="24"/>
          <w:szCs w:val="28"/>
          <w:highlight w:val="none"/>
        </w:rPr>
        <w:t>21.2 投标文件在投标人须知前附表第20项所述截止时间之前递交至投标须知前附表第20项所述地点。</w:t>
      </w:r>
    </w:p>
    <w:p w14:paraId="7E58DB58">
      <w:pPr>
        <w:pStyle w:val="7"/>
        <w:ind w:left="1008" w:hanging="1008"/>
        <w:rPr>
          <w:rFonts w:cs="宋体"/>
          <w:highlight w:val="none"/>
        </w:rPr>
      </w:pPr>
      <w:r>
        <w:rPr>
          <w:rFonts w:hint="eastAsia" w:cs="宋体"/>
          <w:highlight w:val="none"/>
        </w:rPr>
        <w:t>22、投标文件提交的截止时间</w:t>
      </w:r>
    </w:p>
    <w:p w14:paraId="0C773063">
      <w:pPr>
        <w:spacing w:line="360" w:lineRule="auto"/>
        <w:ind w:firstLine="500"/>
        <w:rPr>
          <w:rFonts w:ascii="宋体" w:hAnsi="宋体" w:cs="宋体"/>
          <w:b/>
          <w:sz w:val="24"/>
          <w:highlight w:val="none"/>
        </w:rPr>
      </w:pPr>
      <w:r>
        <w:rPr>
          <w:rFonts w:hint="eastAsia" w:ascii="宋体" w:hAnsi="宋体" w:cs="宋体"/>
          <w:sz w:val="24"/>
          <w:highlight w:val="none"/>
        </w:rPr>
        <w:t>22.1 投标文件的截止时间见本项目须知前附表第20项规定。</w:t>
      </w:r>
    </w:p>
    <w:p w14:paraId="1CCE6A3B">
      <w:pPr>
        <w:spacing w:line="360" w:lineRule="auto"/>
        <w:ind w:firstLine="500"/>
        <w:rPr>
          <w:rFonts w:ascii="宋体" w:hAnsi="宋体" w:cs="宋体"/>
          <w:sz w:val="24"/>
          <w:highlight w:val="none"/>
        </w:rPr>
      </w:pPr>
      <w:r>
        <w:rPr>
          <w:rFonts w:hint="eastAsia" w:ascii="宋体" w:hAnsi="宋体" w:cs="宋体"/>
          <w:sz w:val="24"/>
          <w:highlight w:val="none"/>
        </w:rPr>
        <w:t>22.2 招标人可按本须知第10条规定以修改补充通知的方式，酌情延长提交投标文件的截止时间。在此情况下，投标人的所有权利和义务以及投标人受制约的截止时间，均以延长后新的投标截止时间为准。</w:t>
      </w:r>
    </w:p>
    <w:p w14:paraId="10E444F0">
      <w:pPr>
        <w:pStyle w:val="7"/>
        <w:ind w:left="1008" w:hanging="1008"/>
        <w:rPr>
          <w:rFonts w:cs="宋体"/>
          <w:highlight w:val="none"/>
        </w:rPr>
      </w:pPr>
      <w:r>
        <w:rPr>
          <w:rFonts w:hint="eastAsia" w:cs="宋体"/>
          <w:highlight w:val="none"/>
        </w:rPr>
        <w:t>23、迟交的投标文件</w:t>
      </w:r>
    </w:p>
    <w:p w14:paraId="06552A68">
      <w:pPr>
        <w:spacing w:line="360" w:lineRule="auto"/>
        <w:ind w:firstLine="500"/>
        <w:rPr>
          <w:rFonts w:ascii="宋体" w:hAnsi="宋体" w:cs="宋体"/>
          <w:sz w:val="24"/>
          <w:highlight w:val="none"/>
        </w:rPr>
      </w:pPr>
      <w:r>
        <w:rPr>
          <w:rFonts w:hint="eastAsia" w:ascii="宋体" w:hAnsi="宋体" w:cs="宋体"/>
          <w:sz w:val="24"/>
          <w:highlight w:val="none"/>
        </w:rPr>
        <w:t>23.1 招标人在本须知前附表第20项规定的投标截止时间以后收到的投标文件，将被拒收。</w:t>
      </w:r>
    </w:p>
    <w:p w14:paraId="6CA60FDF">
      <w:pPr>
        <w:pStyle w:val="7"/>
        <w:ind w:left="1008" w:hanging="1008"/>
        <w:rPr>
          <w:rFonts w:cs="宋体"/>
          <w:highlight w:val="none"/>
        </w:rPr>
      </w:pPr>
      <w:r>
        <w:rPr>
          <w:rFonts w:hint="eastAsia" w:cs="宋体"/>
          <w:highlight w:val="none"/>
        </w:rPr>
        <w:t>24、投标文件的补充、修改与撤回</w:t>
      </w:r>
    </w:p>
    <w:p w14:paraId="56373782">
      <w:pPr>
        <w:spacing w:line="360" w:lineRule="auto"/>
        <w:ind w:firstLine="500"/>
        <w:rPr>
          <w:rFonts w:ascii="宋体" w:hAnsi="宋体" w:cs="宋体"/>
          <w:sz w:val="24"/>
          <w:highlight w:val="none"/>
        </w:rPr>
      </w:pPr>
      <w:r>
        <w:rPr>
          <w:rFonts w:hint="eastAsia" w:ascii="宋体" w:hAnsi="宋体" w:cs="宋体"/>
          <w:sz w:val="24"/>
          <w:highlight w:val="none"/>
        </w:rPr>
        <w:t>24.1 投标人在提交投标文件以后，在规定的投标截止时间之前，可以补充修改或撤回已提交的投标文件。补充、修改的内容为投标文件的组成部分。</w:t>
      </w:r>
    </w:p>
    <w:p w14:paraId="7C804C57">
      <w:pPr>
        <w:spacing w:line="360" w:lineRule="auto"/>
        <w:ind w:firstLine="500"/>
        <w:rPr>
          <w:rFonts w:ascii="宋体" w:hAnsi="宋体" w:cs="宋体"/>
          <w:sz w:val="24"/>
          <w:highlight w:val="none"/>
        </w:rPr>
      </w:pPr>
      <w:r>
        <w:rPr>
          <w:rFonts w:hint="eastAsia" w:ascii="宋体" w:hAnsi="宋体" w:cs="宋体"/>
          <w:sz w:val="24"/>
          <w:highlight w:val="none"/>
        </w:rPr>
        <w:t>24.2 在投标截止时间之后，投标人不得补充、修改投标文件。</w:t>
      </w:r>
    </w:p>
    <w:p w14:paraId="623AF65B">
      <w:pPr>
        <w:spacing w:line="360" w:lineRule="auto"/>
        <w:ind w:firstLine="500"/>
        <w:rPr>
          <w:rFonts w:ascii="宋体" w:hAnsi="宋体" w:cs="宋体"/>
          <w:sz w:val="24"/>
          <w:highlight w:val="none"/>
        </w:rPr>
      </w:pPr>
      <w:r>
        <w:rPr>
          <w:rFonts w:hint="eastAsia" w:ascii="宋体" w:hAnsi="宋体" w:cs="宋体"/>
          <w:sz w:val="24"/>
          <w:highlight w:val="none"/>
        </w:rPr>
        <w:t>24.3 在投标截止时间至投标有效期满之前，投标人不得撤回其投标文件。</w:t>
      </w:r>
    </w:p>
    <w:p w14:paraId="0774C783">
      <w:pPr>
        <w:pStyle w:val="6"/>
        <w:tabs>
          <w:tab w:val="center" w:pos="4677"/>
          <w:tab w:val="left" w:pos="6240"/>
        </w:tabs>
        <w:rPr>
          <w:rFonts w:ascii="宋体" w:hAnsi="宋体" w:eastAsia="宋体" w:cs="宋体"/>
          <w:b/>
          <w:highlight w:val="none"/>
        </w:rPr>
      </w:pPr>
      <w:r>
        <w:rPr>
          <w:rFonts w:hint="eastAsia" w:ascii="宋体" w:hAnsi="宋体" w:eastAsia="宋体" w:cs="宋体"/>
          <w:b/>
          <w:highlight w:val="none"/>
        </w:rPr>
        <w:t>（五）开    标</w:t>
      </w:r>
    </w:p>
    <w:p w14:paraId="6E201D59">
      <w:pPr>
        <w:pStyle w:val="7"/>
        <w:ind w:left="1008" w:hanging="1008"/>
        <w:rPr>
          <w:rFonts w:cs="宋体"/>
          <w:highlight w:val="none"/>
        </w:rPr>
      </w:pPr>
      <w:r>
        <w:rPr>
          <w:rFonts w:hint="eastAsia" w:cs="宋体"/>
          <w:highlight w:val="none"/>
        </w:rPr>
        <w:t>25、开标</w:t>
      </w:r>
    </w:p>
    <w:p w14:paraId="46E06E23">
      <w:pPr>
        <w:spacing w:line="360" w:lineRule="auto"/>
        <w:ind w:firstLine="500"/>
        <w:rPr>
          <w:rFonts w:ascii="宋体" w:hAnsi="宋体" w:cs="宋体"/>
          <w:sz w:val="24"/>
          <w:highlight w:val="none"/>
        </w:rPr>
      </w:pPr>
      <w:r>
        <w:rPr>
          <w:rFonts w:hint="eastAsia" w:ascii="宋体" w:hAnsi="宋体" w:cs="宋体"/>
          <w:sz w:val="24"/>
          <w:highlight w:val="none"/>
        </w:rPr>
        <w:t>25.1招标代理机构在本须知前附表第19项规定的日期、时间和地点组织公开开标。开标时邀请所有投标人代表参加。参加开标的代表应在电子开标系统中签名报到以证明其出席。开标会由招标代理机构主持。</w:t>
      </w:r>
    </w:p>
    <w:p w14:paraId="6C18ED28">
      <w:pPr>
        <w:spacing w:line="360" w:lineRule="auto"/>
        <w:ind w:firstLine="500"/>
        <w:rPr>
          <w:rFonts w:ascii="宋体" w:hAnsi="宋体" w:cs="宋体"/>
          <w:sz w:val="24"/>
          <w:highlight w:val="none"/>
        </w:rPr>
      </w:pPr>
      <w:r>
        <w:rPr>
          <w:rFonts w:hint="eastAsia" w:ascii="宋体" w:hAnsi="宋体" w:cs="宋体"/>
          <w:sz w:val="24"/>
          <w:highlight w:val="none"/>
        </w:rPr>
        <w:t>25.2开标时，除了按照本须知第23条的规定原封退回迟到的投标之外，招标代理机构将当众宣读所有合格提交投标文件的投标人名称、以及招标人认为合适的其他内容。</w:t>
      </w:r>
    </w:p>
    <w:p w14:paraId="47C9EA5D">
      <w:pPr>
        <w:tabs>
          <w:tab w:val="left" w:pos="0"/>
        </w:tabs>
        <w:spacing w:line="360" w:lineRule="auto"/>
        <w:ind w:left="-2" w:leftChars="-1" w:right="40" w:rightChars="19" w:firstLine="480" w:firstLineChars="200"/>
        <w:rPr>
          <w:rFonts w:ascii="宋体" w:hAnsi="宋体" w:cs="宋体"/>
          <w:sz w:val="24"/>
          <w:highlight w:val="none"/>
        </w:rPr>
      </w:pPr>
      <w:r>
        <w:rPr>
          <w:rFonts w:hint="eastAsia" w:ascii="宋体" w:hAnsi="宋体" w:cs="宋体"/>
          <w:sz w:val="24"/>
          <w:highlight w:val="none"/>
        </w:rPr>
        <w:t>25.3在开标时没有读出的有关声明，在评标时将不予考虑。</w:t>
      </w:r>
    </w:p>
    <w:p w14:paraId="43906169">
      <w:pPr>
        <w:tabs>
          <w:tab w:val="left" w:pos="0"/>
        </w:tabs>
        <w:spacing w:line="360" w:lineRule="auto"/>
        <w:ind w:left="-2" w:leftChars="-1" w:right="40" w:rightChars="19" w:firstLine="480" w:firstLineChars="200"/>
        <w:rPr>
          <w:rFonts w:ascii="宋体" w:hAnsi="宋体" w:cs="宋体"/>
          <w:sz w:val="24"/>
          <w:highlight w:val="none"/>
        </w:rPr>
      </w:pPr>
      <w:r>
        <w:rPr>
          <w:rFonts w:hint="eastAsia" w:ascii="宋体" w:hAnsi="宋体" w:cs="宋体"/>
          <w:sz w:val="24"/>
          <w:highlight w:val="none"/>
        </w:rPr>
        <w:t>25.4招标代理机构将做开标记录，存档备查。</w:t>
      </w:r>
    </w:p>
    <w:p w14:paraId="7A243796">
      <w:pPr>
        <w:spacing w:line="360" w:lineRule="auto"/>
        <w:ind w:firstLine="500"/>
        <w:rPr>
          <w:rFonts w:ascii="宋体" w:hAnsi="宋体" w:cs="宋体"/>
          <w:sz w:val="24"/>
          <w:highlight w:val="none"/>
        </w:rPr>
      </w:pPr>
      <w:r>
        <w:rPr>
          <w:rFonts w:hint="eastAsia" w:ascii="宋体" w:hAnsi="宋体" w:cs="宋体"/>
          <w:sz w:val="24"/>
          <w:highlight w:val="none"/>
        </w:rPr>
        <w:t>25.5开标程序：</w:t>
      </w:r>
    </w:p>
    <w:p w14:paraId="78E59587">
      <w:pPr>
        <w:pStyle w:val="15"/>
        <w:numPr>
          <w:ilvl w:val="0"/>
          <w:numId w:val="10"/>
        </w:numPr>
        <w:spacing w:line="360" w:lineRule="auto"/>
        <w:ind w:firstLine="480" w:firstLineChars="200"/>
        <w:rPr>
          <w:rFonts w:ascii="宋体" w:hAnsi="宋体" w:cs="宋体"/>
          <w:sz w:val="24"/>
          <w:highlight w:val="none"/>
        </w:rPr>
      </w:pPr>
      <w:r>
        <w:rPr>
          <w:rFonts w:hint="eastAsia" w:ascii="宋体" w:hAnsi="宋体" w:cs="宋体"/>
          <w:sz w:val="24"/>
          <w:highlight w:val="none"/>
        </w:rPr>
        <w:t>宣布开标纪律；</w:t>
      </w:r>
    </w:p>
    <w:p w14:paraId="3CBBC571">
      <w:pPr>
        <w:pStyle w:val="15"/>
        <w:numPr>
          <w:ilvl w:val="0"/>
          <w:numId w:val="10"/>
        </w:numPr>
        <w:spacing w:line="360" w:lineRule="auto"/>
        <w:ind w:firstLine="480" w:firstLineChars="200"/>
        <w:rPr>
          <w:rFonts w:ascii="宋体" w:hAnsi="宋体" w:cs="宋体"/>
          <w:sz w:val="24"/>
          <w:highlight w:val="none"/>
        </w:rPr>
      </w:pPr>
      <w:r>
        <w:rPr>
          <w:rFonts w:hint="eastAsia" w:ascii="宋体" w:hAnsi="宋体" w:cs="宋体"/>
          <w:sz w:val="24"/>
          <w:highlight w:val="none"/>
        </w:rPr>
        <w:t>公布在投标截止时间前递交投标文件的投标人名称；</w:t>
      </w:r>
    </w:p>
    <w:p w14:paraId="2FEEB8FD">
      <w:pPr>
        <w:pStyle w:val="15"/>
        <w:numPr>
          <w:ilvl w:val="0"/>
          <w:numId w:val="10"/>
        </w:numPr>
        <w:spacing w:line="360" w:lineRule="auto"/>
        <w:ind w:firstLine="480" w:firstLineChars="200"/>
        <w:rPr>
          <w:rFonts w:ascii="宋体" w:hAnsi="宋体" w:cs="宋体"/>
          <w:sz w:val="24"/>
          <w:highlight w:val="none"/>
        </w:rPr>
      </w:pPr>
      <w:r>
        <w:rPr>
          <w:rFonts w:hint="eastAsia" w:ascii="宋体" w:hAnsi="宋体" w:cs="宋体"/>
          <w:sz w:val="24"/>
          <w:highlight w:val="none"/>
        </w:rPr>
        <w:t>宣布开标人、唱标人、记录人、监标人等有关人员姓名；</w:t>
      </w:r>
    </w:p>
    <w:p w14:paraId="5AA7C240">
      <w:pPr>
        <w:pStyle w:val="15"/>
        <w:numPr>
          <w:ilvl w:val="0"/>
          <w:numId w:val="10"/>
        </w:numPr>
        <w:spacing w:line="360" w:lineRule="auto"/>
        <w:ind w:firstLine="480" w:firstLineChars="200"/>
        <w:rPr>
          <w:rFonts w:ascii="宋体" w:hAnsi="宋体" w:cs="宋体"/>
          <w:sz w:val="24"/>
          <w:highlight w:val="none"/>
        </w:rPr>
      </w:pPr>
      <w:r>
        <w:rPr>
          <w:rFonts w:hint="eastAsia" w:ascii="宋体" w:hAnsi="宋体" w:cs="宋体"/>
          <w:sz w:val="24"/>
          <w:highlight w:val="none"/>
        </w:rPr>
        <w:t>投标人通过电子招标投标交易平台对已递交的电子投标文件进行解密，公布招标项目名称、投标人名称、投标保证金的递交情况、投标报价、供货及安装调试完成时间及其他内容，并记录在案；</w:t>
      </w:r>
    </w:p>
    <w:p w14:paraId="3928F6E2">
      <w:pPr>
        <w:pStyle w:val="15"/>
        <w:numPr>
          <w:ilvl w:val="0"/>
          <w:numId w:val="10"/>
        </w:numPr>
        <w:spacing w:line="360" w:lineRule="auto"/>
        <w:ind w:firstLine="480" w:firstLineChars="200"/>
        <w:rPr>
          <w:rFonts w:ascii="宋体" w:hAnsi="宋体" w:cs="宋体"/>
          <w:sz w:val="24"/>
          <w:highlight w:val="none"/>
        </w:rPr>
      </w:pPr>
      <w:r>
        <w:rPr>
          <w:rFonts w:hint="eastAsia" w:ascii="宋体" w:hAnsi="宋体" w:cs="宋体"/>
          <w:sz w:val="24"/>
          <w:highlight w:val="none"/>
        </w:rPr>
        <w:t>（A）投标人代表、招标人代表、监标人、记录人等有关人员在开标记录上签字确认；（B）投标人代表、招标人代表、监标人、记录人等有关人员使用本人的电子印章在开标记录上签字确认；</w:t>
      </w:r>
    </w:p>
    <w:p w14:paraId="24396A74">
      <w:pPr>
        <w:pStyle w:val="15"/>
        <w:spacing w:line="360" w:lineRule="auto"/>
        <w:ind w:firstLine="480" w:firstLineChars="200"/>
        <w:rPr>
          <w:rFonts w:ascii="宋体" w:hAnsi="宋体" w:cs="宋体"/>
          <w:sz w:val="24"/>
          <w:highlight w:val="none"/>
        </w:rPr>
      </w:pPr>
      <w:r>
        <w:rPr>
          <w:rFonts w:hint="eastAsia" w:ascii="宋体" w:hAnsi="宋体" w:cs="宋体"/>
          <w:sz w:val="24"/>
          <w:highlight w:val="none"/>
        </w:rPr>
        <w:t>（6）开标结束。</w:t>
      </w:r>
    </w:p>
    <w:p w14:paraId="64F34024">
      <w:pPr>
        <w:spacing w:line="360" w:lineRule="auto"/>
        <w:ind w:firstLine="500"/>
        <w:rPr>
          <w:rFonts w:ascii="宋体" w:hAnsi="宋体" w:cs="宋体"/>
          <w:sz w:val="24"/>
          <w:highlight w:val="none"/>
        </w:rPr>
      </w:pPr>
      <w:r>
        <w:rPr>
          <w:rFonts w:hint="eastAsia" w:ascii="宋体" w:hAnsi="宋体" w:cs="宋体"/>
          <w:sz w:val="24"/>
          <w:highlight w:val="none"/>
        </w:rPr>
        <w:t>25.5.1若唱标人宣读的投标文件主要内容与投标文件不符时，投标人有权在开标现场提出异议，经行政监管人员当场核查后，唱标人将重新宣读其投标文件主要内容。若投标人在开标现场未提出异议，则认为投标人已确认唱标人宣读的投标文件主要内容，投标人的法定代表人或负责人或授权委托人应在开标记录上签字确认。</w:t>
      </w:r>
    </w:p>
    <w:p w14:paraId="2A59F89A">
      <w:pPr>
        <w:spacing w:line="360" w:lineRule="auto"/>
        <w:ind w:firstLine="500"/>
        <w:rPr>
          <w:rFonts w:ascii="宋体" w:hAnsi="宋体" w:cs="宋体"/>
          <w:sz w:val="24"/>
          <w:highlight w:val="none"/>
        </w:rPr>
      </w:pPr>
      <w:r>
        <w:rPr>
          <w:rFonts w:hint="eastAsia" w:ascii="宋体" w:hAnsi="宋体" w:cs="宋体"/>
          <w:sz w:val="24"/>
          <w:highlight w:val="none"/>
        </w:rPr>
        <w:t>25.6 招标人在招标文件要求提交投标文件的截止时间前收到的投标文件，开标时都应当众予以拆封、宣读。</w:t>
      </w:r>
    </w:p>
    <w:p w14:paraId="0D3B0F39">
      <w:pPr>
        <w:spacing w:line="360" w:lineRule="auto"/>
        <w:ind w:firstLine="500"/>
        <w:rPr>
          <w:rFonts w:ascii="宋体" w:hAnsi="宋体" w:cs="宋体"/>
          <w:sz w:val="24"/>
          <w:highlight w:val="none"/>
        </w:rPr>
      </w:pPr>
      <w:r>
        <w:rPr>
          <w:rFonts w:hint="eastAsia" w:ascii="宋体" w:hAnsi="宋体" w:cs="宋体"/>
          <w:sz w:val="24"/>
          <w:highlight w:val="none"/>
        </w:rPr>
        <w:t>25.7 招标代理机构工作人员对开标过程进行记录，并经纪检监察人员签字确认后存档备查。</w:t>
      </w:r>
    </w:p>
    <w:p w14:paraId="4B1C8785">
      <w:pPr>
        <w:pStyle w:val="7"/>
        <w:ind w:left="1008" w:hanging="1008"/>
        <w:rPr>
          <w:rFonts w:cs="宋体"/>
          <w:highlight w:val="none"/>
        </w:rPr>
      </w:pPr>
      <w:r>
        <w:rPr>
          <w:rFonts w:hint="eastAsia" w:cs="宋体"/>
          <w:highlight w:val="none"/>
        </w:rPr>
        <w:t>26、投标文件的有效性</w:t>
      </w:r>
    </w:p>
    <w:p w14:paraId="2E98F2C2">
      <w:pPr>
        <w:spacing w:line="360" w:lineRule="auto"/>
        <w:ind w:firstLine="500"/>
        <w:rPr>
          <w:rFonts w:ascii="宋体" w:hAnsi="宋体" w:cs="宋体"/>
          <w:sz w:val="24"/>
          <w:highlight w:val="none"/>
        </w:rPr>
      </w:pPr>
      <w:r>
        <w:rPr>
          <w:rFonts w:hint="eastAsia" w:ascii="宋体" w:hAnsi="宋体" w:cs="宋体"/>
          <w:sz w:val="24"/>
          <w:highlight w:val="none"/>
        </w:rPr>
        <w:t>26.1 开标时，投标文件有下列情形之一的，招标人不予受理：</w:t>
      </w:r>
    </w:p>
    <w:p w14:paraId="140F7354">
      <w:pPr>
        <w:spacing w:line="360" w:lineRule="auto"/>
        <w:ind w:firstLine="500"/>
        <w:rPr>
          <w:rFonts w:ascii="宋体" w:hAnsi="宋体" w:cs="宋体"/>
          <w:sz w:val="24"/>
          <w:highlight w:val="none"/>
        </w:rPr>
      </w:pPr>
      <w:r>
        <w:rPr>
          <w:rFonts w:hint="eastAsia" w:ascii="宋体" w:hAnsi="宋体" w:cs="宋体"/>
          <w:sz w:val="24"/>
          <w:highlight w:val="none"/>
        </w:rPr>
        <w:t xml:space="preserve">    26.1.1逾期送达或未送达指定地点的；</w:t>
      </w:r>
    </w:p>
    <w:p w14:paraId="136BB75E">
      <w:pPr>
        <w:spacing w:line="360" w:lineRule="auto"/>
        <w:ind w:firstLine="500"/>
        <w:rPr>
          <w:rFonts w:ascii="宋体" w:hAnsi="宋体" w:cs="宋体"/>
          <w:sz w:val="24"/>
          <w:highlight w:val="none"/>
        </w:rPr>
      </w:pPr>
      <w:r>
        <w:rPr>
          <w:rFonts w:hint="eastAsia" w:ascii="宋体" w:hAnsi="宋体" w:cs="宋体"/>
          <w:sz w:val="24"/>
          <w:highlight w:val="none"/>
        </w:rPr>
        <w:t xml:space="preserve">    26.1.2投标文件在规定时间内未解密或解密失败的；</w:t>
      </w:r>
    </w:p>
    <w:p w14:paraId="537C3F7A">
      <w:pPr>
        <w:spacing w:line="360" w:lineRule="auto"/>
        <w:ind w:firstLine="500"/>
        <w:rPr>
          <w:rFonts w:ascii="宋体" w:hAnsi="宋体" w:cs="宋体"/>
          <w:sz w:val="24"/>
          <w:highlight w:val="none"/>
        </w:rPr>
      </w:pPr>
      <w:r>
        <w:rPr>
          <w:rFonts w:hint="eastAsia" w:ascii="宋体" w:hAnsi="宋体" w:cs="宋体"/>
          <w:sz w:val="24"/>
          <w:highlight w:val="none"/>
        </w:rPr>
        <w:t>26.2开标结束后，所有开启并唱标完毕的投标文件将送达评标委员会进行评审、比较。</w:t>
      </w:r>
    </w:p>
    <w:p w14:paraId="6E745908">
      <w:pPr>
        <w:pStyle w:val="6"/>
        <w:tabs>
          <w:tab w:val="center" w:pos="4677"/>
          <w:tab w:val="left" w:pos="6240"/>
        </w:tabs>
        <w:rPr>
          <w:rFonts w:ascii="宋体" w:hAnsi="宋体" w:eastAsia="宋体" w:cs="宋体"/>
          <w:b/>
          <w:highlight w:val="none"/>
        </w:rPr>
      </w:pPr>
      <w:r>
        <w:rPr>
          <w:rFonts w:hint="eastAsia" w:ascii="宋体" w:hAnsi="宋体" w:eastAsia="宋体" w:cs="宋体"/>
          <w:b/>
          <w:highlight w:val="none"/>
        </w:rPr>
        <w:t>（六）评   标</w:t>
      </w:r>
    </w:p>
    <w:p w14:paraId="2CEFB4DA">
      <w:pPr>
        <w:pStyle w:val="7"/>
        <w:ind w:left="1008" w:hanging="1008"/>
        <w:rPr>
          <w:rFonts w:cs="宋体"/>
          <w:highlight w:val="none"/>
        </w:rPr>
      </w:pPr>
      <w:r>
        <w:rPr>
          <w:rFonts w:hint="eastAsia" w:cs="宋体"/>
          <w:highlight w:val="none"/>
        </w:rPr>
        <w:t>27、评标委员会与评标</w:t>
      </w:r>
    </w:p>
    <w:p w14:paraId="39778C51">
      <w:pPr>
        <w:spacing w:line="360" w:lineRule="auto"/>
        <w:ind w:firstLine="500"/>
        <w:rPr>
          <w:rFonts w:ascii="宋体" w:hAnsi="宋体" w:cs="宋体"/>
          <w:sz w:val="24"/>
          <w:highlight w:val="none"/>
        </w:rPr>
      </w:pPr>
      <w:r>
        <w:rPr>
          <w:rFonts w:hint="eastAsia" w:ascii="宋体" w:hAnsi="宋体" w:cs="宋体"/>
          <w:sz w:val="24"/>
          <w:highlight w:val="none"/>
        </w:rPr>
        <w:t>27.1评标委员会由招标人依法组建，负责评标活动。</w:t>
      </w:r>
    </w:p>
    <w:p w14:paraId="00170B7D">
      <w:pPr>
        <w:spacing w:line="360" w:lineRule="auto"/>
        <w:ind w:firstLine="500"/>
        <w:rPr>
          <w:rFonts w:ascii="宋体" w:hAnsi="宋体" w:cs="宋体"/>
          <w:sz w:val="24"/>
          <w:highlight w:val="none"/>
        </w:rPr>
      </w:pPr>
      <w:r>
        <w:rPr>
          <w:rFonts w:hint="eastAsia" w:ascii="宋体" w:hAnsi="宋体" w:cs="宋体"/>
          <w:sz w:val="24"/>
          <w:highlight w:val="none"/>
        </w:rPr>
        <w:t>27.2开标结束后，开始评标，评标采用保密方式进行。</w:t>
      </w:r>
    </w:p>
    <w:p w14:paraId="10C4EE3E">
      <w:pPr>
        <w:pStyle w:val="7"/>
        <w:ind w:left="1008" w:hanging="1008"/>
        <w:rPr>
          <w:rFonts w:cs="宋体"/>
          <w:highlight w:val="none"/>
        </w:rPr>
      </w:pPr>
      <w:r>
        <w:rPr>
          <w:rFonts w:hint="eastAsia" w:cs="宋体"/>
          <w:highlight w:val="none"/>
        </w:rPr>
        <w:t>28、评标过程的保密</w:t>
      </w:r>
    </w:p>
    <w:p w14:paraId="6CCC74B5">
      <w:pPr>
        <w:spacing w:line="360" w:lineRule="auto"/>
        <w:ind w:firstLine="500"/>
        <w:rPr>
          <w:rFonts w:ascii="宋体" w:hAnsi="宋体" w:cs="宋体"/>
          <w:sz w:val="24"/>
          <w:highlight w:val="none"/>
        </w:rPr>
      </w:pPr>
      <w:r>
        <w:rPr>
          <w:rFonts w:hint="eastAsia" w:ascii="宋体" w:hAnsi="宋体" w:cs="宋体"/>
          <w:sz w:val="24"/>
          <w:highlight w:val="none"/>
        </w:rPr>
        <w:t>28.1开标后，直至授予中标单位合同为止，凡属于对投标文件的审查、澄清、评价和比较的有关资料以及中标单位的推荐情况，与评标有关的其他任何情况均严格保密，评标委员会成员及相关工作人员必须严格遵守保密纪律。</w:t>
      </w:r>
    </w:p>
    <w:p w14:paraId="4A5B1B80">
      <w:pPr>
        <w:spacing w:line="360" w:lineRule="auto"/>
        <w:ind w:firstLine="500"/>
        <w:rPr>
          <w:rFonts w:ascii="宋体" w:hAnsi="宋体" w:cs="宋体"/>
          <w:sz w:val="24"/>
          <w:highlight w:val="none"/>
        </w:rPr>
      </w:pPr>
      <w:r>
        <w:rPr>
          <w:rFonts w:hint="eastAsia" w:ascii="宋体" w:hAnsi="宋体" w:cs="宋体"/>
          <w:sz w:val="24"/>
          <w:highlight w:val="none"/>
        </w:rPr>
        <w:t>28.2 在投标文件的评审和比较、中标单位入选以及授予合同的过程中，投标人向招标人和评标委员会施加影响的任何行为，都将会导致其投标被拒绝。</w:t>
      </w:r>
    </w:p>
    <w:p w14:paraId="7821C8E0">
      <w:pPr>
        <w:spacing w:line="360" w:lineRule="auto"/>
        <w:ind w:firstLine="500"/>
        <w:rPr>
          <w:rFonts w:ascii="宋体" w:hAnsi="宋体" w:cs="宋体"/>
          <w:sz w:val="24"/>
          <w:highlight w:val="none"/>
        </w:rPr>
      </w:pPr>
      <w:r>
        <w:rPr>
          <w:rFonts w:hint="eastAsia" w:ascii="宋体" w:hAnsi="宋体" w:cs="宋体"/>
          <w:sz w:val="24"/>
          <w:highlight w:val="none"/>
        </w:rPr>
        <w:t>28.3中标单位确定后，招标人不对未入选单位就评标过程以及未能入选原因作出任何解释。未中标单位不得向评标委员会组成人员或其他有关人员索问评标过程的情况和材料。</w:t>
      </w:r>
    </w:p>
    <w:p w14:paraId="591C6B84">
      <w:pPr>
        <w:pStyle w:val="7"/>
        <w:ind w:firstLine="0"/>
        <w:rPr>
          <w:rFonts w:cs="宋体"/>
          <w:highlight w:val="none"/>
        </w:rPr>
      </w:pPr>
      <w:r>
        <w:rPr>
          <w:rFonts w:hint="eastAsia" w:cs="宋体"/>
          <w:highlight w:val="none"/>
        </w:rPr>
        <w:t>29、投标文件的澄清</w:t>
      </w:r>
    </w:p>
    <w:p w14:paraId="644797CA">
      <w:pPr>
        <w:spacing w:line="360" w:lineRule="auto"/>
        <w:ind w:firstLine="500"/>
        <w:rPr>
          <w:rFonts w:ascii="宋体" w:hAnsi="宋体" w:cs="宋体"/>
          <w:sz w:val="24"/>
          <w:highlight w:val="none"/>
        </w:rPr>
      </w:pPr>
      <w:r>
        <w:rPr>
          <w:rFonts w:hint="eastAsia" w:ascii="宋体" w:hAnsi="宋体" w:cs="宋体"/>
          <w:sz w:val="24"/>
          <w:highlight w:val="none"/>
        </w:rPr>
        <w:t>29.1为有助于投标文件的审查、评价和比较，评标委员会可以书面形式要求投标人对投标文件含义不明确的内容作必要的澄清或说明，投标人应采用书面形式进行澄清或说明，但不得超出投标文件的范围或改变投标文件的实质性内容。根据本须知第27条规定，凡属于评标委员会在评标中发现的计算错误进行核实的修改不在此列。</w:t>
      </w:r>
    </w:p>
    <w:p w14:paraId="2A0C666F">
      <w:pPr>
        <w:pStyle w:val="7"/>
        <w:ind w:firstLine="0"/>
        <w:rPr>
          <w:rFonts w:cs="宋体"/>
          <w:highlight w:val="none"/>
        </w:rPr>
      </w:pPr>
      <w:r>
        <w:rPr>
          <w:rFonts w:hint="eastAsia" w:cs="宋体"/>
          <w:highlight w:val="none"/>
        </w:rPr>
        <w:t>30、投标文件的评审</w:t>
      </w:r>
    </w:p>
    <w:p w14:paraId="78A10E8E">
      <w:pPr>
        <w:spacing w:line="360" w:lineRule="auto"/>
        <w:ind w:firstLine="500"/>
        <w:rPr>
          <w:rFonts w:ascii="宋体" w:hAnsi="宋体" w:cs="宋体"/>
          <w:sz w:val="24"/>
          <w:highlight w:val="none"/>
        </w:rPr>
      </w:pPr>
      <w:r>
        <w:rPr>
          <w:rFonts w:hint="eastAsia" w:ascii="宋体" w:hAnsi="宋体" w:cs="宋体"/>
          <w:sz w:val="24"/>
          <w:highlight w:val="none"/>
        </w:rPr>
        <w:t>30.1投标文件的评审分资格审查、初步评审和详细评审三步（详见《第七章 评标办法》）。</w:t>
      </w:r>
    </w:p>
    <w:p w14:paraId="55E1C279">
      <w:pPr>
        <w:pStyle w:val="7"/>
        <w:ind w:firstLine="0"/>
        <w:rPr>
          <w:rFonts w:cs="宋体"/>
          <w:highlight w:val="none"/>
        </w:rPr>
      </w:pPr>
      <w:r>
        <w:rPr>
          <w:rFonts w:hint="eastAsia" w:cs="宋体"/>
          <w:highlight w:val="none"/>
        </w:rPr>
        <w:t>31、投标文件的评审、比较和否决</w:t>
      </w:r>
    </w:p>
    <w:p w14:paraId="78AE7D4B">
      <w:pPr>
        <w:spacing w:line="360" w:lineRule="auto"/>
        <w:ind w:firstLine="500"/>
        <w:rPr>
          <w:rFonts w:ascii="宋体" w:hAnsi="宋体" w:cs="宋体"/>
          <w:sz w:val="24"/>
          <w:szCs w:val="28"/>
          <w:highlight w:val="none"/>
        </w:rPr>
      </w:pPr>
      <w:r>
        <w:rPr>
          <w:rFonts w:hint="eastAsia" w:ascii="宋体" w:hAnsi="宋体" w:cs="宋体"/>
          <w:sz w:val="24"/>
          <w:szCs w:val="28"/>
          <w:highlight w:val="none"/>
        </w:rPr>
        <w:t>31.1评标委员会将按照本须知第26条规定，仅对在实质上响应招标文件要求的投标文件进行评估和比较。</w:t>
      </w:r>
    </w:p>
    <w:p w14:paraId="469668ED">
      <w:pPr>
        <w:spacing w:line="360" w:lineRule="auto"/>
        <w:ind w:firstLine="500"/>
        <w:rPr>
          <w:rFonts w:ascii="宋体" w:hAnsi="宋体" w:cs="宋体"/>
          <w:sz w:val="24"/>
          <w:szCs w:val="28"/>
          <w:highlight w:val="none"/>
        </w:rPr>
      </w:pPr>
      <w:r>
        <w:rPr>
          <w:rFonts w:hint="eastAsia" w:ascii="宋体" w:hAnsi="宋体" w:cs="宋体"/>
          <w:sz w:val="24"/>
          <w:szCs w:val="28"/>
          <w:highlight w:val="none"/>
        </w:rPr>
        <w:t>31.2 在评审过程中,评标委员会可以书面形式要求投标人就投标文件中含义不明确的内容进行书面说明并提供相关材料。</w:t>
      </w:r>
    </w:p>
    <w:p w14:paraId="6EB9C4E6">
      <w:pPr>
        <w:spacing w:line="360" w:lineRule="auto"/>
        <w:ind w:firstLine="500"/>
        <w:rPr>
          <w:rFonts w:ascii="宋体" w:hAnsi="宋体" w:cs="宋体"/>
          <w:sz w:val="24"/>
          <w:szCs w:val="28"/>
          <w:highlight w:val="none"/>
        </w:rPr>
      </w:pPr>
      <w:r>
        <w:rPr>
          <w:rFonts w:hint="eastAsia" w:ascii="宋体" w:hAnsi="宋体" w:cs="宋体"/>
          <w:sz w:val="24"/>
          <w:szCs w:val="28"/>
          <w:highlight w:val="none"/>
        </w:rPr>
        <w:t>31.3评标委员会依据本须知前附表第22项规定的评标标准和方法，对投标文件进行评审和比较，向招标人提出书面评标报告，中标单位须符合本须知第4款之规定。</w:t>
      </w:r>
    </w:p>
    <w:p w14:paraId="657E57EA">
      <w:pPr>
        <w:spacing w:line="360" w:lineRule="auto"/>
        <w:ind w:firstLine="500"/>
        <w:rPr>
          <w:rFonts w:ascii="宋体" w:hAnsi="宋体" w:cs="宋体"/>
          <w:sz w:val="24"/>
          <w:szCs w:val="28"/>
          <w:highlight w:val="none"/>
        </w:rPr>
      </w:pPr>
      <w:r>
        <w:rPr>
          <w:rFonts w:hint="eastAsia" w:ascii="宋体" w:hAnsi="宋体" w:cs="宋体"/>
          <w:sz w:val="24"/>
          <w:szCs w:val="28"/>
          <w:highlight w:val="none"/>
        </w:rPr>
        <w:t>31.4 评标方法和标准</w:t>
      </w:r>
    </w:p>
    <w:p w14:paraId="62D9952D">
      <w:pPr>
        <w:spacing w:line="360" w:lineRule="auto"/>
        <w:ind w:firstLine="500"/>
        <w:rPr>
          <w:rFonts w:ascii="宋体" w:hAnsi="宋体" w:cs="宋体"/>
          <w:b/>
          <w:sz w:val="24"/>
          <w:szCs w:val="28"/>
          <w:highlight w:val="none"/>
        </w:rPr>
      </w:pPr>
      <w:r>
        <w:rPr>
          <w:rFonts w:hint="eastAsia" w:ascii="宋体" w:hAnsi="宋体" w:cs="宋体"/>
          <w:b/>
          <w:sz w:val="24"/>
          <w:szCs w:val="28"/>
          <w:highlight w:val="none"/>
        </w:rPr>
        <w:t>详见本</w:t>
      </w:r>
      <w:r>
        <w:rPr>
          <w:rFonts w:hint="eastAsia" w:ascii="宋体" w:hAnsi="宋体" w:cs="宋体"/>
          <w:b/>
          <w:sz w:val="24"/>
          <w:highlight w:val="none"/>
        </w:rPr>
        <w:t>招标文件《第七章 评标办法》</w:t>
      </w:r>
    </w:p>
    <w:p w14:paraId="302EBE2D">
      <w:pPr>
        <w:spacing w:line="360" w:lineRule="auto"/>
        <w:ind w:firstLine="523" w:firstLineChars="218"/>
        <w:rPr>
          <w:rFonts w:ascii="宋体" w:hAnsi="宋体" w:cs="宋体"/>
          <w:sz w:val="24"/>
          <w:szCs w:val="28"/>
          <w:highlight w:val="none"/>
        </w:rPr>
      </w:pPr>
      <w:r>
        <w:rPr>
          <w:rFonts w:hint="eastAsia" w:ascii="宋体" w:hAnsi="宋体" w:cs="宋体"/>
          <w:sz w:val="24"/>
          <w:szCs w:val="28"/>
          <w:highlight w:val="none"/>
        </w:rPr>
        <w:t>31.5评分要求和统计分数原则</w:t>
      </w:r>
    </w:p>
    <w:p w14:paraId="4FE8F666">
      <w:pPr>
        <w:spacing w:line="360" w:lineRule="auto"/>
        <w:ind w:firstLine="523" w:firstLineChars="218"/>
        <w:rPr>
          <w:rFonts w:ascii="宋体" w:hAnsi="宋体" w:cs="宋体"/>
          <w:sz w:val="24"/>
          <w:szCs w:val="28"/>
          <w:highlight w:val="none"/>
        </w:rPr>
      </w:pPr>
      <w:r>
        <w:rPr>
          <w:rFonts w:hint="eastAsia" w:ascii="宋体" w:hAnsi="宋体" w:cs="宋体"/>
          <w:sz w:val="24"/>
          <w:szCs w:val="28"/>
          <w:highlight w:val="none"/>
        </w:rPr>
        <w:t>31.5.1评标委员会评委应首先对各投标人投标书进行评审，并按招标文件规定分值评分，</w:t>
      </w:r>
      <w:r>
        <w:rPr>
          <w:rFonts w:hint="eastAsia" w:ascii="宋体" w:hAnsi="宋体" w:cs="宋体"/>
          <w:spacing w:val="4"/>
          <w:sz w:val="24"/>
          <w:highlight w:val="none"/>
        </w:rPr>
        <w:t>中间用插入法确定分数</w:t>
      </w:r>
      <w:r>
        <w:rPr>
          <w:rFonts w:hint="eastAsia" w:ascii="宋体" w:hAnsi="宋体" w:cs="宋体"/>
          <w:sz w:val="24"/>
          <w:szCs w:val="28"/>
          <w:highlight w:val="none"/>
        </w:rPr>
        <w:t>。</w:t>
      </w:r>
    </w:p>
    <w:p w14:paraId="77EB2F5F">
      <w:pPr>
        <w:spacing w:line="360" w:lineRule="auto"/>
        <w:ind w:firstLine="523" w:firstLineChars="218"/>
        <w:rPr>
          <w:rFonts w:ascii="宋体" w:hAnsi="宋体" w:cs="宋体"/>
          <w:sz w:val="24"/>
          <w:szCs w:val="28"/>
          <w:highlight w:val="none"/>
        </w:rPr>
      </w:pPr>
      <w:r>
        <w:rPr>
          <w:rFonts w:hint="eastAsia" w:ascii="宋体" w:hAnsi="宋体" w:cs="宋体"/>
          <w:sz w:val="24"/>
          <w:szCs w:val="28"/>
          <w:highlight w:val="none"/>
        </w:rPr>
        <w:t>31.5.2 技术部分、商务部分评分中，各评委应自主评分并签字确认。</w:t>
      </w:r>
    </w:p>
    <w:p w14:paraId="49D28AB4">
      <w:pPr>
        <w:spacing w:line="360" w:lineRule="auto"/>
        <w:ind w:firstLine="523" w:firstLineChars="218"/>
        <w:rPr>
          <w:rFonts w:ascii="宋体" w:hAnsi="宋体" w:cs="宋体"/>
          <w:sz w:val="24"/>
          <w:szCs w:val="28"/>
          <w:highlight w:val="none"/>
        </w:rPr>
      </w:pPr>
      <w:r>
        <w:rPr>
          <w:rFonts w:hint="eastAsia" w:ascii="宋体" w:hAnsi="宋体" w:cs="宋体"/>
          <w:sz w:val="24"/>
          <w:szCs w:val="28"/>
          <w:highlight w:val="none"/>
        </w:rPr>
        <w:t>31.5.3 统计分数原则：评分后计算平均分值为投标人技术部分的得分（保留小数点后两位）。</w:t>
      </w:r>
    </w:p>
    <w:p w14:paraId="325BBB45">
      <w:pPr>
        <w:spacing w:line="360" w:lineRule="auto"/>
        <w:ind w:firstLine="525" w:firstLineChars="218"/>
        <w:rPr>
          <w:rFonts w:ascii="宋体" w:hAnsi="宋体" w:cs="宋体"/>
          <w:b/>
          <w:sz w:val="24"/>
          <w:szCs w:val="28"/>
          <w:highlight w:val="none"/>
        </w:rPr>
      </w:pPr>
      <w:r>
        <w:rPr>
          <w:rFonts w:hint="eastAsia" w:ascii="宋体" w:hAnsi="宋体" w:cs="宋体"/>
          <w:b/>
          <w:sz w:val="24"/>
          <w:szCs w:val="28"/>
          <w:highlight w:val="none"/>
        </w:rPr>
        <w:t>31.6招标人在评标委员会推荐的中标候选人中，确定排名第一的为中标人。</w:t>
      </w:r>
    </w:p>
    <w:p w14:paraId="2C14A2F0">
      <w:pPr>
        <w:spacing w:line="360" w:lineRule="auto"/>
        <w:ind w:firstLine="523" w:firstLineChars="218"/>
        <w:rPr>
          <w:rFonts w:ascii="宋体" w:hAnsi="宋体" w:cs="宋体"/>
          <w:sz w:val="24"/>
          <w:szCs w:val="28"/>
          <w:highlight w:val="none"/>
        </w:rPr>
      </w:pPr>
      <w:r>
        <w:rPr>
          <w:rFonts w:hint="eastAsia" w:ascii="宋体" w:hAnsi="宋体" w:cs="宋体"/>
          <w:sz w:val="24"/>
          <w:szCs w:val="28"/>
          <w:highlight w:val="none"/>
        </w:rPr>
        <w:t>31.7中标候选人的经营、财务状况发生较大变化或者存在违法行为，招标人认为可能影响其履约能力的，应当在发出中标通知书前由原评标委员会按照招标文件规定的标准和方法审查确认。</w:t>
      </w:r>
    </w:p>
    <w:p w14:paraId="3CBAF237">
      <w:pPr>
        <w:spacing w:line="360" w:lineRule="auto"/>
        <w:ind w:firstLine="523" w:firstLineChars="218"/>
        <w:rPr>
          <w:rFonts w:ascii="宋体" w:hAnsi="宋体" w:cs="宋体"/>
          <w:sz w:val="24"/>
          <w:szCs w:val="28"/>
          <w:highlight w:val="none"/>
        </w:rPr>
      </w:pPr>
      <w:r>
        <w:rPr>
          <w:rFonts w:hint="eastAsia" w:ascii="宋体" w:hAnsi="宋体" w:cs="宋体"/>
          <w:sz w:val="24"/>
          <w:szCs w:val="28"/>
          <w:highlight w:val="none"/>
        </w:rPr>
        <w:t>31.8招标人不向未中标的投标人解释未中标原因。</w:t>
      </w:r>
    </w:p>
    <w:p w14:paraId="5EF0AD44">
      <w:pPr>
        <w:spacing w:line="360" w:lineRule="auto"/>
        <w:ind w:firstLine="523" w:firstLineChars="218"/>
        <w:rPr>
          <w:rFonts w:ascii="宋体" w:hAnsi="宋体" w:cs="宋体"/>
          <w:sz w:val="24"/>
          <w:szCs w:val="28"/>
          <w:highlight w:val="none"/>
        </w:rPr>
      </w:pPr>
      <w:r>
        <w:rPr>
          <w:rFonts w:hint="eastAsia" w:ascii="宋体" w:hAnsi="宋体" w:cs="宋体"/>
          <w:sz w:val="24"/>
          <w:szCs w:val="28"/>
          <w:highlight w:val="none"/>
        </w:rPr>
        <w:t>31.9投标人或者其他利害关系人对本项目的评标结果有异议的，应当在中标候选人公示期间提出。招标人应当自收到异议之日起3日内作出答复；作出答复前，应当暂停招标投标活动。</w:t>
      </w:r>
    </w:p>
    <w:p w14:paraId="61426CF8">
      <w:pPr>
        <w:pStyle w:val="6"/>
        <w:tabs>
          <w:tab w:val="center" w:pos="4677"/>
          <w:tab w:val="left" w:pos="6240"/>
        </w:tabs>
        <w:rPr>
          <w:rFonts w:ascii="宋体" w:hAnsi="宋体" w:eastAsia="宋体" w:cs="宋体"/>
          <w:b/>
          <w:highlight w:val="none"/>
        </w:rPr>
      </w:pPr>
      <w:r>
        <w:rPr>
          <w:rFonts w:hint="eastAsia" w:ascii="宋体" w:hAnsi="宋体" w:eastAsia="宋体" w:cs="宋体"/>
          <w:b/>
          <w:highlight w:val="none"/>
        </w:rPr>
        <w:t>（七）合同的授予</w:t>
      </w:r>
    </w:p>
    <w:p w14:paraId="598FD8F0">
      <w:pPr>
        <w:pStyle w:val="7"/>
        <w:ind w:firstLine="0"/>
        <w:rPr>
          <w:rFonts w:cs="宋体"/>
          <w:highlight w:val="none"/>
        </w:rPr>
      </w:pPr>
      <w:r>
        <w:rPr>
          <w:rFonts w:hint="eastAsia" w:cs="宋体"/>
          <w:highlight w:val="none"/>
        </w:rPr>
        <w:t>32、合同授予标准</w:t>
      </w:r>
    </w:p>
    <w:p w14:paraId="6F8DFCAA">
      <w:pPr>
        <w:spacing w:line="360" w:lineRule="auto"/>
        <w:ind w:firstLine="500"/>
        <w:rPr>
          <w:rFonts w:ascii="宋体" w:hAnsi="宋体" w:cs="宋体"/>
          <w:sz w:val="24"/>
          <w:highlight w:val="none"/>
        </w:rPr>
      </w:pPr>
      <w:r>
        <w:rPr>
          <w:rFonts w:hint="eastAsia" w:ascii="宋体" w:hAnsi="宋体" w:cs="宋体"/>
          <w:sz w:val="24"/>
          <w:highlight w:val="none"/>
        </w:rPr>
        <w:t>32.1本招标项目的服务合同将授予按本须知第31.6款所确定的中标人，招标人与中标人签订服务合同。</w:t>
      </w:r>
    </w:p>
    <w:p w14:paraId="5810FD22">
      <w:pPr>
        <w:spacing w:line="360" w:lineRule="auto"/>
        <w:ind w:firstLine="500"/>
        <w:rPr>
          <w:rFonts w:ascii="宋体" w:hAnsi="宋体" w:cs="宋体"/>
          <w:sz w:val="24"/>
          <w:highlight w:val="none"/>
        </w:rPr>
      </w:pPr>
      <w:r>
        <w:rPr>
          <w:rFonts w:hint="eastAsia" w:ascii="宋体" w:hAnsi="宋体" w:cs="宋体"/>
          <w:sz w:val="24"/>
          <w:highlight w:val="none"/>
        </w:rPr>
        <w:t>32.2非招标人原因中标人在中标通知书发出后30日内不与招标人签订服务合同的，招标人将有充分理由取消中标资格，招标人有权按照评标推荐意见选择下一名中标候选人作为中标人或者重新招标。</w:t>
      </w:r>
    </w:p>
    <w:p w14:paraId="25107B32">
      <w:pPr>
        <w:spacing w:line="360" w:lineRule="auto"/>
        <w:ind w:firstLine="500"/>
        <w:rPr>
          <w:rFonts w:ascii="宋体" w:hAnsi="宋体" w:cs="宋体"/>
          <w:sz w:val="24"/>
          <w:highlight w:val="none"/>
        </w:rPr>
      </w:pPr>
      <w:r>
        <w:rPr>
          <w:rFonts w:hint="eastAsia" w:ascii="宋体" w:hAnsi="宋体" w:cs="宋体"/>
          <w:sz w:val="24"/>
          <w:highlight w:val="none"/>
        </w:rPr>
        <w:t>32.3在招标人与中标人签订下一次合同之前，由中标人按招标人的相关规定对成交人上一次合同执行情况进行评定，评定结果合格的续签下一次合同，评定结果不合格的取消中标人下一次合同执行权利。</w:t>
      </w:r>
    </w:p>
    <w:p w14:paraId="7D90DF15">
      <w:pPr>
        <w:pStyle w:val="7"/>
        <w:ind w:firstLine="0"/>
        <w:rPr>
          <w:rFonts w:cs="宋体"/>
          <w:highlight w:val="none"/>
        </w:rPr>
      </w:pPr>
      <w:r>
        <w:rPr>
          <w:rFonts w:hint="eastAsia" w:cs="宋体"/>
          <w:highlight w:val="none"/>
        </w:rPr>
        <w:t>33、招标人拒绝投标的权力</w:t>
      </w:r>
    </w:p>
    <w:p w14:paraId="32A2DD8F">
      <w:pPr>
        <w:spacing w:line="360" w:lineRule="auto"/>
        <w:ind w:firstLine="500"/>
        <w:rPr>
          <w:rFonts w:ascii="宋体" w:hAnsi="宋体" w:cs="宋体"/>
          <w:sz w:val="24"/>
          <w:highlight w:val="none"/>
        </w:rPr>
      </w:pPr>
      <w:r>
        <w:rPr>
          <w:rFonts w:hint="eastAsia" w:ascii="宋体" w:hAnsi="宋体" w:cs="宋体"/>
          <w:sz w:val="24"/>
          <w:highlight w:val="none"/>
        </w:rPr>
        <w:t>33.1</w:t>
      </w:r>
      <w:r>
        <w:rPr>
          <w:rFonts w:hint="eastAsia" w:ascii="宋体" w:hAnsi="宋体" w:cs="宋体"/>
          <w:spacing w:val="6"/>
          <w:kern w:val="0"/>
          <w:sz w:val="24"/>
          <w:highlight w:val="none"/>
        </w:rPr>
        <w:t>招标人在发出中标通知书前，有权依据评标委员会的评标报告拒绝不合格的投标。</w:t>
      </w:r>
    </w:p>
    <w:p w14:paraId="599105D6">
      <w:pPr>
        <w:pStyle w:val="7"/>
        <w:ind w:firstLine="0"/>
        <w:rPr>
          <w:rFonts w:cs="宋体"/>
          <w:highlight w:val="none"/>
        </w:rPr>
      </w:pPr>
      <w:r>
        <w:rPr>
          <w:rFonts w:hint="eastAsia" w:cs="宋体"/>
          <w:highlight w:val="none"/>
        </w:rPr>
        <w:t>34、中标通知书</w:t>
      </w:r>
    </w:p>
    <w:p w14:paraId="6D86A0BC">
      <w:pPr>
        <w:spacing w:line="360" w:lineRule="auto"/>
        <w:ind w:firstLine="500"/>
        <w:rPr>
          <w:rFonts w:ascii="宋体" w:hAnsi="宋体" w:cs="宋体"/>
          <w:sz w:val="24"/>
          <w:highlight w:val="none"/>
        </w:rPr>
      </w:pPr>
      <w:r>
        <w:rPr>
          <w:rFonts w:hint="eastAsia" w:ascii="宋体" w:hAnsi="宋体" w:cs="宋体"/>
          <w:sz w:val="24"/>
          <w:highlight w:val="none"/>
        </w:rPr>
        <w:t>34.1中标单位确定后招标人向中标单位发出中标通知书，并将中标结果告知所有未中标的投标人。</w:t>
      </w:r>
    </w:p>
    <w:p w14:paraId="2598C51D">
      <w:pPr>
        <w:spacing w:line="360" w:lineRule="auto"/>
        <w:ind w:firstLine="500"/>
        <w:rPr>
          <w:rFonts w:ascii="宋体" w:hAnsi="宋体" w:cs="宋体"/>
          <w:sz w:val="24"/>
          <w:highlight w:val="none"/>
        </w:rPr>
      </w:pPr>
      <w:r>
        <w:rPr>
          <w:rFonts w:hint="eastAsia" w:ascii="宋体" w:hAnsi="宋体" w:cs="宋体"/>
          <w:sz w:val="24"/>
          <w:highlight w:val="none"/>
        </w:rPr>
        <w:t>34.2中标通知书是合同的一个组成部分。</w:t>
      </w:r>
    </w:p>
    <w:p w14:paraId="3F813BF6">
      <w:pPr>
        <w:pStyle w:val="7"/>
        <w:ind w:firstLine="0"/>
        <w:rPr>
          <w:rFonts w:cs="宋体"/>
          <w:highlight w:val="none"/>
        </w:rPr>
      </w:pPr>
      <w:r>
        <w:rPr>
          <w:rFonts w:hint="eastAsia" w:cs="宋体"/>
          <w:highlight w:val="none"/>
        </w:rPr>
        <w:t>35、合同协议书的签订</w:t>
      </w:r>
    </w:p>
    <w:p w14:paraId="4D460AEC">
      <w:pPr>
        <w:spacing w:line="360" w:lineRule="auto"/>
        <w:ind w:firstLine="500"/>
        <w:rPr>
          <w:rFonts w:ascii="宋体" w:hAnsi="宋体" w:cs="宋体"/>
          <w:b/>
          <w:sz w:val="24"/>
          <w:highlight w:val="none"/>
        </w:rPr>
      </w:pPr>
      <w:r>
        <w:rPr>
          <w:rFonts w:hint="eastAsia" w:ascii="宋体" w:hAnsi="宋体" w:cs="宋体"/>
          <w:b/>
          <w:sz w:val="24"/>
          <w:highlight w:val="none"/>
        </w:rPr>
        <w:t>35.1 合同签订前，招标人有权对中标人投标文件中提供材料的真实性进行核查，若被查实存在影响中标结果的违法行为等情形，不符合中标条件的，取消其中标资格，且已交纳的投标保证金不予退还，招标人可以按照评标委员会推荐的中标候选人名单排序依次确定其他中标候选人为中标人，或重新组织招标。</w:t>
      </w:r>
    </w:p>
    <w:p w14:paraId="6D0B7F1D">
      <w:pPr>
        <w:spacing w:line="360" w:lineRule="auto"/>
        <w:ind w:firstLine="500"/>
        <w:rPr>
          <w:rFonts w:ascii="宋体" w:hAnsi="宋体" w:cs="宋体"/>
          <w:sz w:val="24"/>
          <w:highlight w:val="none"/>
        </w:rPr>
      </w:pPr>
      <w:r>
        <w:rPr>
          <w:rFonts w:hint="eastAsia" w:ascii="宋体" w:hAnsi="宋体" w:cs="宋体"/>
          <w:sz w:val="24"/>
          <w:highlight w:val="none"/>
        </w:rPr>
        <w:t>35.2招标人与中标人将于中标通知书发出之日起30日内，按照招标文件和中标人的投标文件订立书面服务合同，招标人和中标人不得再行订立背离合同实质性内容的其他协议。</w:t>
      </w:r>
    </w:p>
    <w:p w14:paraId="579EDAEC">
      <w:pPr>
        <w:spacing w:line="360" w:lineRule="auto"/>
        <w:ind w:firstLine="500"/>
        <w:rPr>
          <w:rFonts w:ascii="宋体" w:hAnsi="宋体" w:cs="宋体"/>
          <w:sz w:val="24"/>
          <w:highlight w:val="none"/>
        </w:rPr>
      </w:pPr>
      <w:r>
        <w:rPr>
          <w:rFonts w:hint="eastAsia" w:ascii="宋体" w:hAnsi="宋体" w:cs="宋体"/>
          <w:sz w:val="24"/>
          <w:highlight w:val="none"/>
        </w:rPr>
        <w:t>35.3招标人如不按本投标须知第35.1款的规定与中标人订立合同，或者招标人、中标人订立背离合同实质性内容的协议，应改正并按规定处予罚款。</w:t>
      </w:r>
    </w:p>
    <w:p w14:paraId="11DAE441">
      <w:pPr>
        <w:spacing w:line="360" w:lineRule="auto"/>
        <w:ind w:firstLine="500"/>
        <w:rPr>
          <w:rFonts w:ascii="宋体" w:hAnsi="宋体" w:cs="宋体"/>
          <w:sz w:val="24"/>
          <w:highlight w:val="none"/>
        </w:rPr>
      </w:pPr>
      <w:r>
        <w:rPr>
          <w:rFonts w:hint="eastAsia" w:ascii="宋体" w:hAnsi="宋体" w:cs="宋体"/>
          <w:sz w:val="24"/>
          <w:highlight w:val="none"/>
        </w:rPr>
        <w:t>35.4在确定中标人之前，招标人应遵守《中华人民共和国招标投标法》和其它有关规定，不得无故调整招标文件规定的有关条款，不得与投标人就投标价格、投标承诺、投标方案等实质性内容进行谈判。</w:t>
      </w:r>
    </w:p>
    <w:p w14:paraId="5BCA9E50">
      <w:pPr>
        <w:spacing w:line="360" w:lineRule="auto"/>
        <w:ind w:firstLine="500"/>
        <w:rPr>
          <w:rFonts w:ascii="宋体" w:hAnsi="宋体" w:cs="宋体"/>
          <w:sz w:val="24"/>
          <w:highlight w:val="none"/>
        </w:rPr>
      </w:pPr>
      <w:r>
        <w:rPr>
          <w:rFonts w:hint="eastAsia" w:ascii="宋体" w:hAnsi="宋体" w:cs="宋体"/>
          <w:sz w:val="24"/>
          <w:highlight w:val="none"/>
        </w:rPr>
        <w:t>35.5招标人、中标人双方在签定服务合同时，不得随意变更招标文件和投标书的实质性条款。</w:t>
      </w:r>
    </w:p>
    <w:p w14:paraId="5FAD330B">
      <w:pPr>
        <w:spacing w:line="360" w:lineRule="auto"/>
        <w:ind w:firstLine="500"/>
        <w:rPr>
          <w:rFonts w:ascii="宋体" w:hAnsi="宋体" w:cs="宋体"/>
          <w:sz w:val="24"/>
          <w:highlight w:val="none"/>
        </w:rPr>
      </w:pPr>
      <w:r>
        <w:rPr>
          <w:rFonts w:hint="eastAsia" w:ascii="宋体" w:hAnsi="宋体" w:cs="宋体"/>
          <w:sz w:val="24"/>
          <w:highlight w:val="none"/>
        </w:rPr>
        <w:t>35.6投标人的投标报价应本着科学、合理的原则进行。投标人一旦中标，若因报价过低致使合同无法签订和履行的，或在合同签订、履行中无故要求变更投标承诺和变更投标报价（含单价、合价和总价）的，按下列规定执行：</w:t>
      </w:r>
    </w:p>
    <w:p w14:paraId="5E3880F2">
      <w:pPr>
        <w:spacing w:line="360" w:lineRule="auto"/>
        <w:ind w:firstLine="500"/>
        <w:rPr>
          <w:rFonts w:ascii="宋体" w:hAnsi="宋体" w:cs="宋体"/>
          <w:sz w:val="24"/>
          <w:highlight w:val="none"/>
        </w:rPr>
      </w:pPr>
      <w:r>
        <w:rPr>
          <w:rFonts w:hint="eastAsia" w:ascii="宋体" w:hAnsi="宋体" w:cs="宋体"/>
          <w:sz w:val="24"/>
          <w:highlight w:val="none"/>
        </w:rPr>
        <w:t>35.6.1不与招标人签订服务合同的，或在合同签订时要求变更投标承诺和变更投标报价（含单价、合价和总价）的，招标人可取消其中标资格，其投标保证金不予退还；给招标人造成的损失超过投标保证金数额的，中标人应对超过部分予以赔偿；没有提交投标保证金的，应当对招标人的实际损失承担赔偿责任。</w:t>
      </w:r>
    </w:p>
    <w:p w14:paraId="1B81DB11">
      <w:pPr>
        <w:spacing w:line="360" w:lineRule="auto"/>
        <w:ind w:firstLine="500"/>
        <w:rPr>
          <w:rFonts w:ascii="宋体" w:hAnsi="宋体" w:cs="宋体"/>
          <w:sz w:val="24"/>
          <w:highlight w:val="none"/>
        </w:rPr>
      </w:pPr>
      <w:r>
        <w:rPr>
          <w:rFonts w:hint="eastAsia" w:ascii="宋体" w:hAnsi="宋体" w:cs="宋体"/>
          <w:sz w:val="24"/>
          <w:highlight w:val="none"/>
        </w:rPr>
        <w:t>35.6.2不全面履行合同的，应承担由此造成招标人的实际损失。此外，招标人可将有关情况报行政主管部门，由行政主管部门依据有关法律、法规给予相应处罚，并作不良市场行为记录；</w:t>
      </w:r>
    </w:p>
    <w:p w14:paraId="29F50D0F">
      <w:pPr>
        <w:spacing w:line="360" w:lineRule="auto"/>
        <w:ind w:firstLine="500"/>
        <w:rPr>
          <w:rFonts w:ascii="宋体" w:hAnsi="宋体" w:cs="宋体"/>
          <w:sz w:val="24"/>
          <w:highlight w:val="none"/>
        </w:rPr>
      </w:pPr>
      <w:r>
        <w:rPr>
          <w:rFonts w:hint="eastAsia" w:ascii="宋体" w:hAnsi="宋体" w:cs="宋体"/>
          <w:sz w:val="24"/>
          <w:highlight w:val="none"/>
        </w:rPr>
        <w:t>35.6.3在合同履行中，中标人无故要求变更投标承诺和变更投标报价（含单价、合价和总价）的，招标人不得给予调整，可视情况终止合同，由此造成招标人的实际损失由中标人承担赔偿责任。</w:t>
      </w:r>
    </w:p>
    <w:p w14:paraId="46F87A9D">
      <w:pPr>
        <w:spacing w:line="360" w:lineRule="auto"/>
        <w:ind w:firstLine="500"/>
        <w:rPr>
          <w:rFonts w:ascii="宋体" w:hAnsi="宋体" w:cs="宋体"/>
          <w:sz w:val="24"/>
          <w:highlight w:val="none"/>
        </w:rPr>
      </w:pPr>
      <w:r>
        <w:rPr>
          <w:rFonts w:hint="eastAsia" w:ascii="宋体" w:hAnsi="宋体" w:cs="宋体"/>
          <w:sz w:val="24"/>
          <w:highlight w:val="none"/>
        </w:rPr>
        <w:t>35.7中标人应当按照合同约定履行义务，完成中标项目服务，不得将中标项目转让（转包）给他人。</w:t>
      </w:r>
    </w:p>
    <w:p w14:paraId="38979E2A">
      <w:pPr>
        <w:pStyle w:val="7"/>
        <w:ind w:firstLine="0"/>
        <w:rPr>
          <w:rFonts w:cs="宋体"/>
          <w:highlight w:val="none"/>
        </w:rPr>
      </w:pPr>
      <w:r>
        <w:rPr>
          <w:rFonts w:hint="eastAsia" w:cs="宋体"/>
          <w:highlight w:val="none"/>
        </w:rPr>
        <w:t>36、履约担保</w:t>
      </w:r>
    </w:p>
    <w:p w14:paraId="06444A14">
      <w:pPr>
        <w:spacing w:line="360" w:lineRule="auto"/>
        <w:ind w:firstLine="500"/>
        <w:rPr>
          <w:rFonts w:ascii="宋体" w:hAnsi="宋体" w:cs="宋体"/>
          <w:sz w:val="24"/>
          <w:highlight w:val="none"/>
        </w:rPr>
      </w:pPr>
      <w:r>
        <w:rPr>
          <w:rFonts w:hint="eastAsia" w:ascii="宋体" w:hAnsi="宋体" w:cs="宋体"/>
          <w:sz w:val="24"/>
          <w:szCs w:val="28"/>
          <w:highlight w:val="none"/>
        </w:rPr>
        <w:t>无。</w:t>
      </w:r>
    </w:p>
    <w:p w14:paraId="65056997">
      <w:pPr>
        <w:pStyle w:val="7"/>
        <w:ind w:firstLine="0"/>
        <w:rPr>
          <w:rFonts w:cs="宋体"/>
          <w:highlight w:val="none"/>
        </w:rPr>
      </w:pPr>
      <w:r>
        <w:rPr>
          <w:rFonts w:hint="eastAsia" w:cs="宋体"/>
          <w:highlight w:val="none"/>
        </w:rPr>
        <w:t>37、知识产权</w:t>
      </w:r>
    </w:p>
    <w:p w14:paraId="1C3F0B4E">
      <w:pPr>
        <w:pStyle w:val="7"/>
        <w:ind w:left="8" w:firstLine="412"/>
        <w:rPr>
          <w:rFonts w:cs="宋体"/>
          <w:b w:val="0"/>
          <w:kern w:val="2"/>
          <w:highlight w:val="none"/>
        </w:rPr>
      </w:pPr>
      <w:bookmarkStart w:id="27" w:name="_Toc414893184"/>
      <w:bookmarkStart w:id="28" w:name="_Toc462772982"/>
      <w:bookmarkStart w:id="29" w:name="_Toc406050251"/>
      <w:bookmarkStart w:id="30" w:name="_Toc452968012"/>
      <w:bookmarkStart w:id="31" w:name="_Toc407575715"/>
      <w:bookmarkStart w:id="32" w:name="_Toc407017581"/>
      <w:bookmarkStart w:id="33" w:name="_Toc415066900"/>
      <w:bookmarkStart w:id="34" w:name="_Toc398284558"/>
      <w:bookmarkStart w:id="35" w:name="_Toc459193929"/>
      <w:bookmarkStart w:id="36" w:name="_Toc459115259"/>
      <w:bookmarkStart w:id="37" w:name="_Toc462956953"/>
      <w:bookmarkStart w:id="38" w:name="_Toc462750232"/>
      <w:bookmarkStart w:id="39" w:name="_Toc415068443"/>
      <w:bookmarkStart w:id="40" w:name="_Toc450901008"/>
      <w:bookmarkStart w:id="41" w:name="_Toc408414923"/>
      <w:bookmarkStart w:id="42" w:name="_Toc452732935"/>
      <w:bookmarkStart w:id="43" w:name="_Toc465340531"/>
      <w:bookmarkStart w:id="44" w:name="_Toc465195490"/>
      <w:bookmarkStart w:id="45" w:name="_Toc405841715"/>
      <w:r>
        <w:rPr>
          <w:rFonts w:hint="eastAsia" w:cs="宋体"/>
          <w:b w:val="0"/>
          <w:kern w:val="2"/>
          <w:highlight w:val="none"/>
        </w:rPr>
        <w:t>中标人应保证招标人在使用该服务或其任何一部分时不受第三方提出的侵犯专利权、商标权、著作权或其它知识产权的起诉。如果任何第三方提出侵权指控，中标人须与第三方交涉并承担可能发生的一切法律责任和费用。</w:t>
      </w: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14:paraId="4B0F46C5">
      <w:pPr>
        <w:numPr>
          <w:ilvl w:val="255"/>
          <w:numId w:val="0"/>
        </w:numPr>
        <w:spacing w:line="360" w:lineRule="auto"/>
        <w:rPr>
          <w:rFonts w:ascii="宋体" w:hAnsi="宋体" w:cs="宋体"/>
          <w:b/>
          <w:kern w:val="0"/>
          <w:sz w:val="24"/>
          <w:highlight w:val="none"/>
        </w:rPr>
      </w:pPr>
      <w:r>
        <w:rPr>
          <w:rFonts w:hint="eastAsia" w:ascii="宋体" w:hAnsi="宋体" w:cs="宋体"/>
          <w:b/>
          <w:kern w:val="0"/>
          <w:sz w:val="24"/>
          <w:highlight w:val="none"/>
        </w:rPr>
        <w:t>38、异议</w:t>
      </w:r>
    </w:p>
    <w:p w14:paraId="5219D5FA">
      <w:pPr>
        <w:spacing w:line="360" w:lineRule="auto"/>
        <w:ind w:firstLine="360" w:firstLineChars="150"/>
        <w:rPr>
          <w:rFonts w:ascii="宋体" w:hAnsi="宋体" w:cs="宋体"/>
          <w:sz w:val="24"/>
          <w:highlight w:val="none"/>
        </w:rPr>
      </w:pPr>
      <w:r>
        <w:rPr>
          <w:rFonts w:hint="eastAsia" w:ascii="宋体" w:hAnsi="宋体" w:cs="宋体"/>
          <w:sz w:val="24"/>
          <w:highlight w:val="none"/>
        </w:rPr>
        <w:t>38.1潜在投标人或者其他利害关系人对招标文件有异议的，应当在投标截止时间10日前提出。招标人应当自收到异议之日起3日内做出答复；做出答复前，应当暂停招标投标活动。</w:t>
      </w:r>
    </w:p>
    <w:p w14:paraId="3F9EB8F1">
      <w:pPr>
        <w:spacing w:line="360" w:lineRule="auto"/>
        <w:ind w:firstLine="360" w:firstLineChars="150"/>
        <w:rPr>
          <w:rFonts w:ascii="宋体" w:hAnsi="宋体" w:cs="宋体"/>
          <w:sz w:val="24"/>
          <w:highlight w:val="none"/>
        </w:rPr>
      </w:pPr>
      <w:r>
        <w:rPr>
          <w:rFonts w:hint="eastAsia" w:ascii="宋体" w:hAnsi="宋体" w:cs="宋体"/>
          <w:sz w:val="24"/>
          <w:highlight w:val="none"/>
        </w:rPr>
        <w:t>38.2投标人对开标有异议的，应当在开标现场提出，招标人应当当场做出答复，并制作记录。</w:t>
      </w:r>
    </w:p>
    <w:p w14:paraId="31C37C56">
      <w:pPr>
        <w:spacing w:line="360" w:lineRule="auto"/>
        <w:ind w:firstLine="360" w:firstLineChars="150"/>
        <w:rPr>
          <w:rFonts w:ascii="宋体" w:hAnsi="宋体" w:cs="宋体"/>
          <w:sz w:val="24"/>
          <w:highlight w:val="none"/>
        </w:rPr>
      </w:pPr>
      <w:r>
        <w:rPr>
          <w:rFonts w:hint="eastAsia" w:ascii="宋体" w:hAnsi="宋体" w:cs="宋体"/>
          <w:sz w:val="24"/>
          <w:highlight w:val="none"/>
        </w:rPr>
        <w:t>38.3投标人或者其他利害关系人对依法必须招标项目的评标结果有异议的，应当在中标候选人公示期间提出。招标人应当自收到异议之日起3日内做出答复；做出答复前，应当暂停招标投标活动。</w:t>
      </w:r>
    </w:p>
    <w:p w14:paraId="5B829FD8">
      <w:pPr>
        <w:spacing w:line="360" w:lineRule="auto"/>
        <w:ind w:firstLine="360" w:firstLineChars="150"/>
        <w:rPr>
          <w:rFonts w:ascii="宋体" w:hAnsi="宋体" w:cs="宋体"/>
          <w:sz w:val="24"/>
          <w:highlight w:val="none"/>
        </w:rPr>
      </w:pPr>
      <w:r>
        <w:rPr>
          <w:rFonts w:hint="eastAsia" w:ascii="宋体" w:hAnsi="宋体" w:cs="宋体"/>
          <w:sz w:val="24"/>
          <w:highlight w:val="none"/>
        </w:rPr>
        <w:t>38.4提交异议函的方式：加盖单位公章的书面异议函，写明联系人、联系电话、通讯地址等信息，并附相关证明材料和依据，否则不予接收。</w:t>
      </w:r>
    </w:p>
    <w:p w14:paraId="51E08053">
      <w:pPr>
        <w:spacing w:line="360" w:lineRule="auto"/>
        <w:rPr>
          <w:rFonts w:ascii="宋体" w:hAnsi="宋体" w:cs="宋体"/>
          <w:sz w:val="28"/>
          <w:szCs w:val="28"/>
          <w:highlight w:val="none"/>
        </w:rPr>
        <w:sectPr>
          <w:headerReference r:id="rId9" w:type="default"/>
          <w:pgSz w:w="11906" w:h="16838"/>
          <w:pgMar w:top="1134" w:right="1134" w:bottom="1134" w:left="1134" w:header="454" w:footer="454" w:gutter="0"/>
          <w:cols w:space="720" w:num="1"/>
          <w:docGrid w:linePitch="312" w:charSpace="0"/>
        </w:sectPr>
      </w:pPr>
    </w:p>
    <w:p w14:paraId="25B005F9">
      <w:pPr>
        <w:spacing w:line="360" w:lineRule="auto"/>
        <w:rPr>
          <w:rFonts w:ascii="宋体" w:hAnsi="宋体" w:cs="宋体"/>
          <w:sz w:val="28"/>
          <w:szCs w:val="28"/>
          <w:highlight w:val="none"/>
        </w:rPr>
      </w:pPr>
    </w:p>
    <w:p w14:paraId="7CDCBB06">
      <w:pPr>
        <w:spacing w:line="360" w:lineRule="auto"/>
        <w:rPr>
          <w:rFonts w:ascii="宋体" w:hAnsi="宋体" w:cs="宋体"/>
          <w:sz w:val="28"/>
          <w:szCs w:val="28"/>
          <w:highlight w:val="none"/>
        </w:rPr>
      </w:pPr>
    </w:p>
    <w:p w14:paraId="1D1AD805">
      <w:pPr>
        <w:spacing w:line="360" w:lineRule="auto"/>
        <w:rPr>
          <w:rFonts w:ascii="宋体" w:hAnsi="宋体" w:cs="宋体"/>
          <w:sz w:val="28"/>
          <w:szCs w:val="28"/>
          <w:highlight w:val="none"/>
        </w:rPr>
      </w:pPr>
    </w:p>
    <w:p w14:paraId="1E6FA6FF">
      <w:pPr>
        <w:spacing w:line="360" w:lineRule="auto"/>
        <w:rPr>
          <w:rFonts w:ascii="宋体" w:hAnsi="宋体" w:cs="宋体"/>
          <w:sz w:val="28"/>
          <w:szCs w:val="28"/>
          <w:highlight w:val="none"/>
        </w:rPr>
      </w:pPr>
    </w:p>
    <w:p w14:paraId="79D434C8">
      <w:pPr>
        <w:spacing w:line="360" w:lineRule="auto"/>
        <w:rPr>
          <w:rFonts w:ascii="宋体" w:hAnsi="宋体" w:cs="宋体"/>
          <w:sz w:val="28"/>
          <w:szCs w:val="28"/>
          <w:highlight w:val="none"/>
        </w:rPr>
      </w:pPr>
    </w:p>
    <w:p w14:paraId="4EE3482E">
      <w:pPr>
        <w:spacing w:line="360" w:lineRule="auto"/>
        <w:rPr>
          <w:rFonts w:ascii="宋体" w:hAnsi="宋体" w:cs="宋体"/>
          <w:sz w:val="28"/>
          <w:szCs w:val="28"/>
          <w:highlight w:val="none"/>
        </w:rPr>
      </w:pPr>
    </w:p>
    <w:p w14:paraId="42F833BA">
      <w:pPr>
        <w:spacing w:line="360" w:lineRule="auto"/>
        <w:rPr>
          <w:rFonts w:ascii="宋体" w:hAnsi="宋体" w:cs="宋体"/>
          <w:sz w:val="28"/>
          <w:szCs w:val="28"/>
          <w:highlight w:val="none"/>
        </w:rPr>
      </w:pPr>
    </w:p>
    <w:p w14:paraId="4D1EFC6A">
      <w:pPr>
        <w:spacing w:line="360" w:lineRule="auto"/>
        <w:rPr>
          <w:rFonts w:ascii="宋体" w:hAnsi="宋体" w:cs="宋体"/>
          <w:sz w:val="28"/>
          <w:szCs w:val="28"/>
          <w:highlight w:val="none"/>
        </w:rPr>
      </w:pPr>
    </w:p>
    <w:p w14:paraId="6437A94C">
      <w:pPr>
        <w:pStyle w:val="3"/>
        <w:numPr>
          <w:ilvl w:val="0"/>
          <w:numId w:val="2"/>
        </w:numPr>
        <w:spacing w:line="360" w:lineRule="auto"/>
        <w:jc w:val="center"/>
        <w:rPr>
          <w:rFonts w:ascii="宋体" w:hAnsi="宋体" w:cs="宋体"/>
          <w:w w:val="90"/>
          <w:highlight w:val="none"/>
        </w:rPr>
      </w:pPr>
      <w:r>
        <w:rPr>
          <w:rFonts w:hint="eastAsia" w:ascii="宋体" w:hAnsi="宋体" w:cs="宋体"/>
          <w:w w:val="90"/>
          <w:highlight w:val="none"/>
        </w:rPr>
        <w:t xml:space="preserve">  </w:t>
      </w:r>
      <w:bookmarkStart w:id="46" w:name="_Toc349568453"/>
      <w:bookmarkStart w:id="47" w:name="_Toc344394140"/>
      <w:bookmarkStart w:id="48" w:name="_Toc343510554"/>
      <w:bookmarkStart w:id="49" w:name="_Toc349568712"/>
      <w:bookmarkStart w:id="50" w:name="_Toc23648"/>
      <w:bookmarkStart w:id="51" w:name="_Toc17991"/>
      <w:bookmarkStart w:id="52" w:name="_Toc350515649"/>
      <w:r>
        <w:rPr>
          <w:rFonts w:hint="eastAsia" w:ascii="宋体" w:hAnsi="宋体" w:cs="宋体"/>
          <w:w w:val="90"/>
          <w:highlight w:val="none"/>
        </w:rPr>
        <w:t>合同</w:t>
      </w:r>
      <w:bookmarkEnd w:id="46"/>
      <w:bookmarkEnd w:id="47"/>
      <w:bookmarkEnd w:id="48"/>
      <w:bookmarkEnd w:id="49"/>
      <w:r>
        <w:rPr>
          <w:rFonts w:hint="eastAsia" w:ascii="宋体" w:hAnsi="宋体" w:cs="宋体"/>
          <w:w w:val="90"/>
          <w:highlight w:val="none"/>
        </w:rPr>
        <w:t>主要条款</w:t>
      </w:r>
      <w:bookmarkEnd w:id="50"/>
      <w:bookmarkEnd w:id="51"/>
      <w:bookmarkEnd w:id="52"/>
    </w:p>
    <w:p w14:paraId="44BC777F">
      <w:pPr>
        <w:pStyle w:val="3"/>
        <w:spacing w:line="360" w:lineRule="auto"/>
        <w:jc w:val="center"/>
        <w:rPr>
          <w:rFonts w:ascii="宋体" w:hAnsi="宋体" w:cs="宋体"/>
          <w:w w:val="90"/>
          <w:sz w:val="28"/>
          <w:szCs w:val="28"/>
          <w:highlight w:val="none"/>
        </w:rPr>
      </w:pPr>
      <w:bookmarkStart w:id="53" w:name="_Toc19053"/>
      <w:bookmarkStart w:id="54" w:name="_Toc4172"/>
      <w:bookmarkStart w:id="55" w:name="_Toc13064"/>
      <w:bookmarkStart w:id="56" w:name="_Toc20137"/>
      <w:bookmarkStart w:id="57" w:name="_Toc23351"/>
      <w:bookmarkStart w:id="58" w:name="_Toc12009"/>
      <w:bookmarkStart w:id="59" w:name="_Toc4407"/>
      <w:bookmarkStart w:id="60" w:name="_Toc14503"/>
      <w:r>
        <w:rPr>
          <w:rFonts w:hint="eastAsia" w:ascii="宋体" w:hAnsi="宋体" w:cs="宋体"/>
          <w:w w:val="90"/>
          <w:sz w:val="28"/>
          <w:szCs w:val="28"/>
          <w:highlight w:val="none"/>
        </w:rPr>
        <w:t>（以实际签订为准）</w:t>
      </w:r>
      <w:bookmarkEnd w:id="53"/>
      <w:bookmarkEnd w:id="54"/>
      <w:bookmarkEnd w:id="55"/>
      <w:bookmarkEnd w:id="56"/>
      <w:bookmarkEnd w:id="57"/>
      <w:bookmarkEnd w:id="58"/>
      <w:bookmarkEnd w:id="59"/>
      <w:bookmarkEnd w:id="60"/>
    </w:p>
    <w:p w14:paraId="70B25252">
      <w:pPr>
        <w:spacing w:line="360" w:lineRule="auto"/>
        <w:rPr>
          <w:rFonts w:ascii="宋体" w:hAnsi="宋体" w:cs="宋体"/>
          <w:highlight w:val="none"/>
        </w:rPr>
      </w:pPr>
    </w:p>
    <w:p w14:paraId="4E240DE6">
      <w:pPr>
        <w:rPr>
          <w:rFonts w:ascii="宋体" w:hAnsi="宋体" w:cs="宋体"/>
          <w:b/>
          <w:sz w:val="30"/>
          <w:szCs w:val="30"/>
          <w:highlight w:val="none"/>
          <w:u w:val="single"/>
        </w:rPr>
      </w:pPr>
      <w:r>
        <w:rPr>
          <w:rFonts w:hint="eastAsia" w:ascii="宋体" w:hAnsi="宋体" w:cs="宋体"/>
          <w:highlight w:val="none"/>
        </w:rPr>
        <w:br w:type="page"/>
      </w:r>
      <w:r>
        <w:rPr>
          <w:rFonts w:hint="eastAsia" w:ascii="宋体" w:hAnsi="宋体" w:cs="宋体"/>
          <w:b/>
          <w:sz w:val="30"/>
          <w:szCs w:val="30"/>
          <w:highlight w:val="none"/>
        </w:rPr>
        <w:t>合同编号：</w:t>
      </w:r>
    </w:p>
    <w:p w14:paraId="4AE0FC63">
      <w:pPr>
        <w:spacing w:line="160" w:lineRule="atLeast"/>
        <w:rPr>
          <w:rFonts w:ascii="宋体" w:hAnsi="宋体" w:cs="宋体"/>
          <w:b/>
          <w:sz w:val="72"/>
          <w:szCs w:val="72"/>
          <w:highlight w:val="none"/>
        </w:rPr>
      </w:pPr>
    </w:p>
    <w:p w14:paraId="12643F67">
      <w:pPr>
        <w:spacing w:line="160" w:lineRule="atLeast"/>
        <w:jc w:val="center"/>
        <w:rPr>
          <w:rFonts w:ascii="宋体" w:hAnsi="宋体" w:cs="宋体"/>
          <w:b/>
          <w:sz w:val="52"/>
          <w:szCs w:val="52"/>
          <w:highlight w:val="none"/>
        </w:rPr>
      </w:pPr>
    </w:p>
    <w:p w14:paraId="4A7CCD82">
      <w:pPr>
        <w:spacing w:line="160" w:lineRule="atLeast"/>
        <w:jc w:val="center"/>
        <w:rPr>
          <w:rFonts w:ascii="宋体" w:hAnsi="宋体" w:cs="宋体"/>
          <w:b/>
          <w:sz w:val="52"/>
          <w:szCs w:val="52"/>
          <w:highlight w:val="none"/>
        </w:rPr>
      </w:pPr>
    </w:p>
    <w:p w14:paraId="601E3398">
      <w:pPr>
        <w:spacing w:line="160" w:lineRule="atLeast"/>
        <w:jc w:val="center"/>
        <w:rPr>
          <w:rFonts w:ascii="宋体" w:hAnsi="宋体" w:cs="宋体"/>
          <w:b/>
          <w:sz w:val="110"/>
          <w:szCs w:val="110"/>
          <w:highlight w:val="none"/>
        </w:rPr>
      </w:pPr>
      <w:r>
        <w:rPr>
          <w:rFonts w:hint="eastAsia" w:ascii="宋体" w:hAnsi="宋体" w:cs="宋体"/>
          <w:b/>
          <w:sz w:val="110"/>
          <w:szCs w:val="110"/>
          <w:highlight w:val="none"/>
        </w:rPr>
        <w:t>合  同  书</w:t>
      </w:r>
    </w:p>
    <w:p w14:paraId="1AC1D792">
      <w:pPr>
        <w:spacing w:line="160" w:lineRule="atLeast"/>
        <w:jc w:val="center"/>
        <w:rPr>
          <w:rFonts w:ascii="宋体" w:hAnsi="宋体" w:cs="宋体"/>
          <w:b/>
          <w:highlight w:val="none"/>
        </w:rPr>
      </w:pPr>
    </w:p>
    <w:p w14:paraId="724F2224">
      <w:pPr>
        <w:spacing w:line="160" w:lineRule="atLeast"/>
        <w:jc w:val="center"/>
        <w:rPr>
          <w:rFonts w:ascii="宋体" w:hAnsi="宋体" w:cs="宋体"/>
          <w:b/>
          <w:highlight w:val="none"/>
        </w:rPr>
      </w:pPr>
    </w:p>
    <w:p w14:paraId="5092792C">
      <w:pPr>
        <w:spacing w:line="160" w:lineRule="atLeast"/>
        <w:jc w:val="center"/>
        <w:rPr>
          <w:rFonts w:ascii="宋体" w:hAnsi="宋体" w:cs="宋体"/>
          <w:b/>
          <w:highlight w:val="none"/>
        </w:rPr>
      </w:pPr>
    </w:p>
    <w:p w14:paraId="57AD3924">
      <w:pPr>
        <w:spacing w:line="160" w:lineRule="atLeast"/>
        <w:jc w:val="center"/>
        <w:rPr>
          <w:rFonts w:ascii="宋体" w:hAnsi="宋体" w:cs="宋体"/>
          <w:b/>
          <w:highlight w:val="none"/>
        </w:rPr>
      </w:pPr>
    </w:p>
    <w:p w14:paraId="123CB472">
      <w:pPr>
        <w:spacing w:line="160" w:lineRule="atLeast"/>
        <w:ind w:firstLine="1044" w:firstLineChars="495"/>
        <w:rPr>
          <w:rFonts w:ascii="宋体" w:hAnsi="宋体" w:cs="宋体"/>
          <w:b/>
          <w:highlight w:val="none"/>
        </w:rPr>
      </w:pPr>
    </w:p>
    <w:p w14:paraId="607C3140">
      <w:pPr>
        <w:spacing w:line="160" w:lineRule="atLeast"/>
        <w:rPr>
          <w:rFonts w:ascii="宋体" w:hAnsi="宋体" w:cs="宋体"/>
          <w:b/>
          <w:highlight w:val="none"/>
        </w:rPr>
      </w:pPr>
    </w:p>
    <w:p w14:paraId="76BD60EA">
      <w:pPr>
        <w:tabs>
          <w:tab w:val="left" w:pos="1260"/>
          <w:tab w:val="left" w:pos="1620"/>
          <w:tab w:val="left" w:pos="6840"/>
          <w:tab w:val="left" w:pos="7020"/>
          <w:tab w:val="left" w:pos="7200"/>
        </w:tabs>
        <w:spacing w:line="160" w:lineRule="atLeast"/>
        <w:ind w:firstLine="1084" w:firstLineChars="300"/>
        <w:rPr>
          <w:rFonts w:ascii="宋体" w:hAnsi="宋体" w:cs="宋体"/>
          <w:b/>
          <w:sz w:val="36"/>
          <w:szCs w:val="36"/>
          <w:highlight w:val="none"/>
        </w:rPr>
      </w:pPr>
      <w:r>
        <w:rPr>
          <w:rFonts w:hint="eastAsia" w:ascii="宋体" w:hAnsi="宋体" w:cs="宋体"/>
          <w:b/>
          <w:sz w:val="36"/>
          <w:szCs w:val="36"/>
          <w:highlight w:val="none"/>
        </w:rPr>
        <w:t xml:space="preserve">甲方： </w:t>
      </w:r>
    </w:p>
    <w:p w14:paraId="255732C2">
      <w:pPr>
        <w:tabs>
          <w:tab w:val="left" w:pos="1260"/>
          <w:tab w:val="left" w:pos="1620"/>
          <w:tab w:val="left" w:pos="6840"/>
          <w:tab w:val="left" w:pos="7020"/>
          <w:tab w:val="left" w:pos="7200"/>
        </w:tabs>
        <w:spacing w:line="160" w:lineRule="atLeast"/>
        <w:ind w:firstLine="1084" w:firstLineChars="300"/>
        <w:rPr>
          <w:rFonts w:ascii="宋体" w:hAnsi="宋体" w:cs="宋体"/>
          <w:b/>
          <w:sz w:val="36"/>
          <w:szCs w:val="36"/>
          <w:highlight w:val="none"/>
        </w:rPr>
      </w:pPr>
      <w:r>
        <w:rPr>
          <w:rFonts w:hint="eastAsia" w:ascii="宋体" w:hAnsi="宋体" w:cs="宋体"/>
          <w:b/>
          <w:sz w:val="36"/>
          <w:szCs w:val="36"/>
          <w:highlight w:val="none"/>
        </w:rPr>
        <w:t xml:space="preserve">乙方： </w:t>
      </w:r>
    </w:p>
    <w:p w14:paraId="241C0A9A">
      <w:pPr>
        <w:spacing w:line="560" w:lineRule="exact"/>
        <w:ind w:right="640"/>
        <w:jc w:val="center"/>
        <w:rPr>
          <w:rFonts w:ascii="宋体" w:hAnsi="宋体" w:cs="宋体"/>
          <w:b/>
          <w:sz w:val="36"/>
          <w:szCs w:val="36"/>
          <w:highlight w:val="none"/>
        </w:rPr>
      </w:pPr>
    </w:p>
    <w:p w14:paraId="0F0415BB">
      <w:pPr>
        <w:spacing w:line="560" w:lineRule="exact"/>
        <w:ind w:right="640"/>
        <w:jc w:val="center"/>
        <w:rPr>
          <w:rFonts w:ascii="宋体" w:hAnsi="宋体" w:cs="宋体"/>
          <w:b/>
          <w:sz w:val="36"/>
          <w:szCs w:val="36"/>
          <w:highlight w:val="none"/>
        </w:rPr>
      </w:pPr>
    </w:p>
    <w:p w14:paraId="57BE5A88">
      <w:pPr>
        <w:spacing w:line="360" w:lineRule="auto"/>
        <w:ind w:firstLine="480" w:firstLineChars="200"/>
        <w:rPr>
          <w:rFonts w:ascii="宋体" w:hAnsi="宋体" w:cs="宋体"/>
          <w:sz w:val="24"/>
          <w:highlight w:val="none"/>
        </w:rPr>
      </w:pPr>
      <w:r>
        <w:rPr>
          <w:rFonts w:hint="eastAsia" w:ascii="宋体" w:hAnsi="宋体" w:cs="宋体"/>
          <w:kern w:val="0"/>
          <w:sz w:val="24"/>
          <w:highlight w:val="none"/>
        </w:rPr>
        <w:br w:type="page"/>
      </w:r>
      <w:r>
        <w:rPr>
          <w:rFonts w:hint="eastAsia" w:ascii="宋体" w:hAnsi="宋体" w:cs="宋体"/>
          <w:sz w:val="24"/>
          <w:highlight w:val="none"/>
        </w:rPr>
        <w:t>甲乙双方根据《中华人民共和国民法典》和有关法律法规，遵循平等、自愿、公平和诚实信用原则，同意按照下面的条款和条件订立本合同，共同信守。</w:t>
      </w:r>
    </w:p>
    <w:p w14:paraId="493827D9">
      <w:pPr>
        <w:spacing w:line="360" w:lineRule="auto"/>
        <w:ind w:firstLine="480" w:firstLineChars="200"/>
        <w:rPr>
          <w:rFonts w:ascii="宋体" w:hAnsi="宋体" w:cs="宋体"/>
          <w:sz w:val="24"/>
          <w:highlight w:val="none"/>
        </w:rPr>
      </w:pPr>
      <w:r>
        <w:rPr>
          <w:rFonts w:hint="eastAsia" w:ascii="宋体" w:hAnsi="宋体" w:cs="宋体"/>
          <w:sz w:val="24"/>
          <w:highlight w:val="none"/>
        </w:rPr>
        <w:t>一.</w:t>
      </w:r>
      <w:r>
        <w:rPr>
          <w:rFonts w:hint="eastAsia" w:ascii="宋体" w:hAnsi="宋体" w:cs="宋体"/>
          <w:b/>
          <w:sz w:val="24"/>
          <w:highlight w:val="none"/>
        </w:rPr>
        <w:t>合同标的</w:t>
      </w:r>
    </w:p>
    <w:p w14:paraId="1A5E9966">
      <w:pPr>
        <w:spacing w:line="360" w:lineRule="auto"/>
        <w:ind w:firstLine="470" w:firstLineChars="196"/>
        <w:rPr>
          <w:rFonts w:ascii="宋体" w:hAnsi="宋体" w:cs="宋体"/>
          <w:b/>
          <w:sz w:val="24"/>
          <w:highlight w:val="none"/>
        </w:rPr>
      </w:pPr>
      <w:r>
        <w:rPr>
          <w:rFonts w:hint="eastAsia" w:ascii="宋体" w:hAnsi="宋体" w:cs="宋体"/>
          <w:sz w:val="24"/>
          <w:highlight w:val="none"/>
        </w:rPr>
        <w:t>甲方委托乙方按照本合同约定，为甲方提供</w:t>
      </w:r>
      <w:r>
        <w:rPr>
          <w:rFonts w:hint="eastAsia" w:ascii="宋体" w:hAnsi="宋体" w:cs="宋体"/>
          <w:highlight w:val="none"/>
          <w:u w:val="single"/>
        </w:rPr>
        <w:t xml:space="preserve">                </w:t>
      </w:r>
      <w:r>
        <w:rPr>
          <w:rFonts w:hint="eastAsia" w:ascii="宋体" w:hAnsi="宋体" w:cs="宋体"/>
          <w:sz w:val="24"/>
          <w:highlight w:val="none"/>
        </w:rPr>
        <w:t>服务。</w:t>
      </w:r>
    </w:p>
    <w:p w14:paraId="130412AC">
      <w:pPr>
        <w:spacing w:line="360" w:lineRule="auto"/>
        <w:ind w:firstLine="482" w:firstLineChars="200"/>
        <w:rPr>
          <w:rFonts w:ascii="宋体" w:hAnsi="宋体" w:cs="宋体"/>
          <w:b/>
          <w:sz w:val="24"/>
          <w:highlight w:val="none"/>
        </w:rPr>
      </w:pPr>
      <w:r>
        <w:rPr>
          <w:rFonts w:hint="eastAsia" w:ascii="宋体" w:hAnsi="宋体" w:cs="宋体"/>
          <w:b/>
          <w:sz w:val="24"/>
          <w:highlight w:val="none"/>
        </w:rPr>
        <w:t>二.合同金额</w:t>
      </w:r>
    </w:p>
    <w:p w14:paraId="23C7F461">
      <w:pPr>
        <w:spacing w:line="360" w:lineRule="auto"/>
        <w:ind w:firstLine="480" w:firstLineChars="200"/>
        <w:rPr>
          <w:rFonts w:ascii="宋体" w:hAnsi="宋体" w:cs="宋体"/>
          <w:sz w:val="24"/>
          <w:highlight w:val="none"/>
        </w:rPr>
      </w:pPr>
      <w:r>
        <w:rPr>
          <w:rFonts w:hint="eastAsia" w:ascii="宋体" w:hAnsi="宋体" w:cs="宋体"/>
          <w:sz w:val="24"/>
          <w:highlight w:val="none"/>
        </w:rPr>
        <w:t>合同的总金额为人民币（大写）：</w:t>
      </w:r>
      <w:r>
        <w:rPr>
          <w:rFonts w:hint="eastAsia" w:ascii="宋体" w:hAnsi="宋体" w:cs="宋体"/>
          <w:sz w:val="24"/>
          <w:highlight w:val="none"/>
          <w:u w:val="single"/>
        </w:rPr>
        <w:t xml:space="preserve">       </w:t>
      </w:r>
      <w:r>
        <w:rPr>
          <w:rFonts w:hint="eastAsia" w:ascii="宋体" w:hAnsi="宋体" w:cs="宋体"/>
          <w:sz w:val="24"/>
          <w:highlight w:val="none"/>
        </w:rPr>
        <w:t xml:space="preserve">元，小写: </w:t>
      </w:r>
      <w:r>
        <w:rPr>
          <w:rFonts w:hint="eastAsia" w:ascii="宋体" w:hAnsi="宋体" w:cs="宋体"/>
          <w:sz w:val="24"/>
          <w:highlight w:val="none"/>
          <w:u w:val="single"/>
        </w:rPr>
        <w:t xml:space="preserve">        </w:t>
      </w:r>
      <w:r>
        <w:rPr>
          <w:rFonts w:hint="eastAsia" w:ascii="宋体" w:hAnsi="宋体" w:cs="宋体"/>
          <w:sz w:val="24"/>
          <w:highlight w:val="none"/>
        </w:rPr>
        <w:t>元。</w:t>
      </w:r>
    </w:p>
    <w:p w14:paraId="058478E3">
      <w:pPr>
        <w:spacing w:line="360" w:lineRule="auto"/>
        <w:ind w:firstLine="482" w:firstLineChars="200"/>
        <w:rPr>
          <w:rFonts w:ascii="宋体" w:hAnsi="宋体" w:cs="宋体"/>
          <w:b/>
          <w:sz w:val="24"/>
          <w:highlight w:val="none"/>
        </w:rPr>
      </w:pPr>
      <w:r>
        <w:rPr>
          <w:rFonts w:hint="eastAsia" w:ascii="宋体" w:hAnsi="宋体" w:cs="宋体"/>
          <w:b/>
          <w:sz w:val="24"/>
          <w:highlight w:val="none"/>
        </w:rPr>
        <w:t>三.付款条件</w:t>
      </w:r>
    </w:p>
    <w:p w14:paraId="7D254901">
      <w:pPr>
        <w:spacing w:line="360" w:lineRule="auto"/>
        <w:ind w:firstLine="480" w:firstLineChars="200"/>
        <w:rPr>
          <w:rFonts w:ascii="宋体" w:hAnsi="宋体" w:cs="宋体"/>
          <w:bCs/>
          <w:color w:val="0000FF"/>
          <w:sz w:val="24"/>
          <w:highlight w:val="none"/>
        </w:rPr>
      </w:pPr>
      <w:r>
        <w:rPr>
          <w:rFonts w:hint="eastAsia" w:ascii="宋体" w:hAnsi="宋体" w:cs="宋体"/>
          <w:sz w:val="24"/>
          <w:highlight w:val="none"/>
        </w:rPr>
        <w:t>合同签订之日起，设备安装调试合格后支付至合同价款的40%；全部系统安装调试完毕后，支付至合同价款的70%；验收合格后支付至合同价款的90%；余款作为安装维护费，每年支付合同价款的2%（连续支付5年，无息）。</w:t>
      </w:r>
    </w:p>
    <w:p w14:paraId="47BC8488">
      <w:pPr>
        <w:spacing w:line="360" w:lineRule="auto"/>
        <w:ind w:firstLine="482" w:firstLineChars="200"/>
        <w:rPr>
          <w:rFonts w:ascii="宋体" w:hAnsi="宋体" w:cs="宋体"/>
          <w:b/>
          <w:sz w:val="24"/>
          <w:highlight w:val="none"/>
        </w:rPr>
      </w:pPr>
      <w:r>
        <w:rPr>
          <w:rFonts w:hint="eastAsia" w:ascii="宋体" w:hAnsi="宋体" w:cs="宋体"/>
          <w:b/>
          <w:sz w:val="24"/>
          <w:highlight w:val="none"/>
        </w:rPr>
        <w:t>四.供货及安装调试完成时间</w:t>
      </w:r>
    </w:p>
    <w:p w14:paraId="31E055B0">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供货及安装调试完成时间：</w:t>
      </w:r>
      <w:r>
        <w:rPr>
          <w:rFonts w:hint="eastAsia" w:ascii="宋体" w:hAnsi="宋体" w:cs="宋体"/>
          <w:sz w:val="24"/>
          <w:highlight w:val="none"/>
          <w:u w:val="single"/>
        </w:rPr>
        <w:t xml:space="preserve">                  </w:t>
      </w:r>
      <w:r>
        <w:rPr>
          <w:rFonts w:hint="eastAsia" w:ascii="宋体" w:hAnsi="宋体" w:cs="宋体"/>
          <w:sz w:val="24"/>
          <w:highlight w:val="none"/>
        </w:rPr>
        <w:t>，共计</w:t>
      </w:r>
      <w:r>
        <w:rPr>
          <w:rFonts w:hint="eastAsia" w:ascii="宋体" w:hAnsi="宋体" w:cs="宋体"/>
          <w:sz w:val="24"/>
          <w:highlight w:val="none"/>
          <w:u w:val="single"/>
        </w:rPr>
        <w:t xml:space="preserve">     </w:t>
      </w:r>
      <w:r>
        <w:rPr>
          <w:rFonts w:hint="eastAsia" w:ascii="宋体" w:hAnsi="宋体" w:cs="宋体"/>
          <w:sz w:val="24"/>
          <w:highlight w:val="none"/>
        </w:rPr>
        <w:t>日历天。</w:t>
      </w:r>
    </w:p>
    <w:p w14:paraId="3204606F">
      <w:pPr>
        <w:spacing w:line="360" w:lineRule="auto"/>
        <w:ind w:firstLine="482" w:firstLineChars="200"/>
        <w:rPr>
          <w:rFonts w:ascii="宋体" w:hAnsi="宋体" w:cs="宋体"/>
          <w:b/>
          <w:sz w:val="24"/>
          <w:highlight w:val="none"/>
        </w:rPr>
      </w:pPr>
      <w:r>
        <w:rPr>
          <w:rFonts w:hint="eastAsia" w:ascii="宋体" w:hAnsi="宋体" w:cs="宋体"/>
          <w:b/>
          <w:sz w:val="24"/>
          <w:highlight w:val="none"/>
        </w:rPr>
        <w:t>五.双方权利和义务</w:t>
      </w:r>
    </w:p>
    <w:p w14:paraId="5C3F6246">
      <w:pPr>
        <w:pStyle w:val="25"/>
        <w:shd w:val="clear" w:color="auto" w:fill="FFFFFF"/>
        <w:spacing w:line="450" w:lineRule="atLeast"/>
        <w:ind w:right="300" w:firstLine="480" w:firstLineChars="200"/>
        <w:rPr>
          <w:rFonts w:ascii="宋体" w:hAnsi="宋体" w:cs="宋体"/>
          <w:szCs w:val="32"/>
          <w:highlight w:val="none"/>
        </w:rPr>
      </w:pPr>
      <w:r>
        <w:rPr>
          <w:rFonts w:hint="eastAsia" w:ascii="宋体" w:hAnsi="宋体" w:cs="宋体"/>
          <w:szCs w:val="32"/>
          <w:highlight w:val="none"/>
        </w:rPr>
        <w:t>(一)甲方的权利和义务</w:t>
      </w:r>
    </w:p>
    <w:p w14:paraId="728EBE55">
      <w:pPr>
        <w:pStyle w:val="25"/>
        <w:shd w:val="clear" w:color="auto" w:fill="FFFFFF"/>
        <w:spacing w:line="450" w:lineRule="atLeast"/>
        <w:ind w:right="300" w:firstLine="480" w:firstLineChars="200"/>
        <w:rPr>
          <w:rFonts w:ascii="宋体" w:hAnsi="宋体" w:cs="宋体"/>
          <w:szCs w:val="32"/>
          <w:highlight w:val="none"/>
        </w:rPr>
      </w:pPr>
      <w:r>
        <w:rPr>
          <w:rFonts w:hint="eastAsia" w:ascii="宋体" w:hAnsi="宋体" w:cs="宋体"/>
          <w:szCs w:val="32"/>
          <w:highlight w:val="none"/>
        </w:rPr>
        <w:t>1.甲方有权向乙方询问工作进展情况及相关的内容，有权阐述对具体问题的</w:t>
      </w:r>
      <w:r>
        <w:rPr>
          <w:highlight w:val="none"/>
        </w:rPr>
        <w:fldChar w:fldCharType="begin"/>
      </w:r>
      <w:r>
        <w:rPr>
          <w:highlight w:val="none"/>
        </w:rPr>
        <w:instrText xml:space="preserve"> HYPERLINK "http://www.xuexila.com/fanwen/yijian/" \t "_blank" </w:instrText>
      </w:r>
      <w:r>
        <w:rPr>
          <w:highlight w:val="none"/>
        </w:rPr>
        <w:fldChar w:fldCharType="separate"/>
      </w:r>
      <w:r>
        <w:rPr>
          <w:rFonts w:hint="eastAsia" w:ascii="宋体" w:hAnsi="宋体" w:cs="宋体"/>
          <w:szCs w:val="32"/>
          <w:highlight w:val="none"/>
        </w:rPr>
        <w:t>意见</w:t>
      </w:r>
      <w:r>
        <w:rPr>
          <w:rFonts w:hint="eastAsia" w:ascii="宋体" w:hAnsi="宋体" w:cs="宋体"/>
          <w:szCs w:val="32"/>
          <w:highlight w:val="none"/>
        </w:rPr>
        <w:fldChar w:fldCharType="end"/>
      </w:r>
      <w:r>
        <w:rPr>
          <w:rFonts w:hint="eastAsia" w:ascii="宋体" w:hAnsi="宋体" w:cs="宋体"/>
          <w:szCs w:val="32"/>
          <w:highlight w:val="none"/>
        </w:rPr>
        <w:t>和建议。</w:t>
      </w:r>
    </w:p>
    <w:p w14:paraId="2B9FB9E4">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2.若乙方专业人员不按服务合同履行其职责，有权要求更换乙方专业人员，直至终止合同。</w:t>
      </w:r>
    </w:p>
    <w:p w14:paraId="3CF0F808">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3.配合乙方工作，向乙方提供相关资料，并保证所提供资料真实、准确、完整、有效。</w:t>
      </w:r>
    </w:p>
    <w:p w14:paraId="6E1E8597">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4.甲方应配合乙方现场访谈、勘察等事宜，并提供相关工作便利。</w:t>
      </w:r>
    </w:p>
    <w:p w14:paraId="0E83AE37">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5.甲方应承担保密义务，未经乙方许可，甲方不得向第三方提供(包括但不限于披露、转载等)乙方提交给甲方的任何材料、文件、和乙方网站所提供的资料，及其上述材料、文件、资料所包含的任何信息。</w:t>
      </w:r>
    </w:p>
    <w:p w14:paraId="3F12D768">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6.依据本合同规定，向乙方支付服务费用 。</w:t>
      </w:r>
    </w:p>
    <w:p w14:paraId="467EF647">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(二)乙方的权利和义务</w:t>
      </w:r>
    </w:p>
    <w:p w14:paraId="42730E22">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1.根据甲方服务需要，乙方有权了解相关情况。</w:t>
      </w:r>
    </w:p>
    <w:p w14:paraId="16FFC1AD">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2.乙方在提供服务过程中有权要求甲方提供所需的资料。</w:t>
      </w:r>
    </w:p>
    <w:p w14:paraId="358F3C38">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3.乙方在提供服务过程中有到现场访谈、勘察的权利。</w:t>
      </w:r>
    </w:p>
    <w:p w14:paraId="6C37D611">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4.乙方在提供服务过程中有权对第三人提出的与本服务相关的问题进行核对和查问。</w:t>
      </w:r>
    </w:p>
    <w:p w14:paraId="4AD79605">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5.乙方在我国现行法律、政策允许的范围内，遵循诚实、勤勉、尽职的原则，按合同约定为甲方提供服务。</w:t>
      </w:r>
    </w:p>
    <w:p w14:paraId="40BD069F">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6.服务形式根据甲方需要而定，乙方可以为甲方提供书面的服务方案、建议、报告、信息服务等，也可以为甲方提供现场服务等形式的服务。</w:t>
      </w:r>
    </w:p>
    <w:p w14:paraId="0EF4A8CD">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7.乙方应承担保密义务，未经甲方许可，乙方不得向第三方提供(披露)甲方提交乙方使用的、乙方通过其他渠道无法获得且尚未进入公共信息领域的材料与文件。</w:t>
      </w:r>
    </w:p>
    <w:p w14:paraId="4A66E2F4">
      <w:pPr>
        <w:pStyle w:val="25"/>
        <w:shd w:val="clear" w:color="auto" w:fill="FFFFFF"/>
        <w:spacing w:line="450" w:lineRule="atLeast"/>
        <w:ind w:right="300"/>
        <w:rPr>
          <w:rFonts w:ascii="宋体" w:hAnsi="宋体" w:cs="宋体"/>
          <w:szCs w:val="32"/>
          <w:highlight w:val="none"/>
        </w:rPr>
      </w:pPr>
      <w:r>
        <w:rPr>
          <w:rFonts w:hint="eastAsia" w:ascii="宋体" w:hAnsi="宋体" w:cs="宋体"/>
          <w:szCs w:val="32"/>
          <w:highlight w:val="none"/>
        </w:rPr>
        <w:t>　　8.依据本合同约定，向甲方收取服务费用。</w:t>
      </w:r>
    </w:p>
    <w:p w14:paraId="1DDF6506">
      <w:pPr>
        <w:spacing w:line="360" w:lineRule="auto"/>
        <w:ind w:firstLine="482" w:firstLineChars="200"/>
        <w:rPr>
          <w:rFonts w:ascii="宋体" w:hAnsi="宋体" w:cs="宋体"/>
          <w:b/>
          <w:sz w:val="24"/>
          <w:highlight w:val="none"/>
        </w:rPr>
      </w:pPr>
      <w:r>
        <w:rPr>
          <w:rFonts w:hint="eastAsia" w:ascii="宋体" w:hAnsi="宋体" w:cs="宋体"/>
          <w:b/>
          <w:sz w:val="24"/>
          <w:highlight w:val="none"/>
        </w:rPr>
        <w:t>六. 违约责任</w:t>
      </w:r>
    </w:p>
    <w:p w14:paraId="1B08F7C0">
      <w:pPr>
        <w:spacing w:line="360" w:lineRule="auto"/>
        <w:ind w:firstLine="480" w:firstLineChars="200"/>
        <w:rPr>
          <w:rFonts w:ascii="宋体" w:hAnsi="宋体" w:cs="宋体"/>
          <w:sz w:val="24"/>
          <w:highlight w:val="none"/>
        </w:rPr>
      </w:pPr>
      <w:r>
        <w:rPr>
          <w:rFonts w:hint="eastAsia" w:ascii="宋体" w:hAnsi="宋体" w:cs="宋体"/>
          <w:sz w:val="24"/>
          <w:highlight w:val="none"/>
        </w:rPr>
        <w:t>（一）如果乙方未按照合同规定的要求提供服务或乙方在收到甲方对服务存在问题的通知后10日内或在乙方在签署整改意见书后10日内，没有整改或整改仍不符合甲方要求，甲方有权向乙方发出违约通知书，乙方应按照甲方选择的下列一种或多种方式承担赔偿责任：</w:t>
      </w:r>
    </w:p>
    <w:p w14:paraId="19DF88DC">
      <w:pPr>
        <w:spacing w:line="360" w:lineRule="auto"/>
        <w:ind w:firstLine="480" w:firstLineChars="200"/>
        <w:rPr>
          <w:rFonts w:ascii="宋体" w:hAnsi="宋体" w:cs="宋体"/>
          <w:sz w:val="24"/>
          <w:highlight w:val="none"/>
        </w:rPr>
      </w:pPr>
      <w:r>
        <w:rPr>
          <w:rFonts w:hint="eastAsia" w:ascii="宋体" w:hAnsi="宋体" w:cs="宋体"/>
          <w:sz w:val="24"/>
          <w:highlight w:val="none"/>
        </w:rPr>
        <w:t>1.在服务期限内因乙方管理或其它自身问题造成的服务期限内影响甲方正常工作，乙方承担由此给甲方造成的一切损失。</w:t>
      </w:r>
    </w:p>
    <w:p w14:paraId="25F647EA">
      <w:pPr>
        <w:spacing w:line="360" w:lineRule="auto"/>
        <w:ind w:firstLine="480" w:firstLineChars="200"/>
        <w:rPr>
          <w:rFonts w:ascii="宋体" w:hAnsi="宋体" w:cs="宋体"/>
          <w:sz w:val="24"/>
          <w:highlight w:val="none"/>
        </w:rPr>
      </w:pPr>
      <w:r>
        <w:rPr>
          <w:rFonts w:hint="eastAsia" w:ascii="宋体" w:hAnsi="宋体" w:cs="宋体"/>
          <w:sz w:val="24"/>
          <w:highlight w:val="none"/>
        </w:rPr>
        <w:t>2.在甲方规定的服务期限内，按照合同约定的范围、内容、要求，乙方应承担由此发生的一切费用和风险。</w:t>
      </w:r>
    </w:p>
    <w:p w14:paraId="6C9D730C">
      <w:pPr>
        <w:spacing w:line="360" w:lineRule="auto"/>
        <w:ind w:firstLine="480" w:firstLineChars="200"/>
        <w:rPr>
          <w:rFonts w:ascii="宋体" w:hAnsi="宋体" w:cs="宋体"/>
          <w:sz w:val="24"/>
          <w:highlight w:val="none"/>
        </w:rPr>
      </w:pPr>
      <w:r>
        <w:rPr>
          <w:rFonts w:hint="eastAsia" w:ascii="宋体" w:hAnsi="宋体" w:cs="宋体"/>
          <w:sz w:val="24"/>
          <w:highlight w:val="none"/>
        </w:rPr>
        <w:t>3.根据甲方所遭受的损失，经双方商定降低标的的价格或赔偿甲方所遭受的损失。</w:t>
      </w:r>
    </w:p>
    <w:p w14:paraId="4D689D4D">
      <w:pPr>
        <w:spacing w:line="360" w:lineRule="auto"/>
        <w:ind w:firstLine="480" w:firstLineChars="200"/>
        <w:rPr>
          <w:rFonts w:ascii="宋体" w:hAnsi="宋体" w:cs="宋体"/>
          <w:sz w:val="24"/>
          <w:highlight w:val="none"/>
        </w:rPr>
      </w:pPr>
      <w:r>
        <w:rPr>
          <w:rFonts w:hint="eastAsia" w:ascii="宋体" w:hAnsi="宋体" w:cs="宋体"/>
          <w:sz w:val="24"/>
          <w:highlight w:val="none"/>
        </w:rPr>
        <w:t>4.因乙方原因不能提供约定服务的，甲方有权要求乙方在一定期限内解决，逾期未解决的且严重违约的，甲方有权提前解除合同。造成甲方经济损失的，乙方应给予经济赔偿。</w:t>
      </w:r>
    </w:p>
    <w:p w14:paraId="6EB82504">
      <w:pPr>
        <w:spacing w:line="360" w:lineRule="auto"/>
        <w:ind w:firstLine="480" w:firstLineChars="200"/>
        <w:rPr>
          <w:rFonts w:ascii="宋体" w:hAnsi="宋体" w:cs="宋体"/>
          <w:sz w:val="24"/>
          <w:highlight w:val="none"/>
        </w:rPr>
      </w:pPr>
      <w:r>
        <w:rPr>
          <w:rFonts w:hint="eastAsia" w:ascii="宋体" w:hAnsi="宋体" w:cs="宋体"/>
          <w:sz w:val="24"/>
          <w:highlight w:val="none"/>
        </w:rPr>
        <w:t>5.乙方在服务期限内，由于管理、人为等因素造成的损失，经甲方认定后对乙方追究其责任，造成经济损失的，乙方应承担全部由此发生的一切费用及后果。</w:t>
      </w:r>
    </w:p>
    <w:p w14:paraId="191DA3B3">
      <w:pPr>
        <w:spacing w:line="360" w:lineRule="auto"/>
        <w:ind w:firstLine="480" w:firstLineChars="200"/>
        <w:rPr>
          <w:rFonts w:ascii="宋体" w:hAnsi="宋体" w:cs="宋体"/>
          <w:sz w:val="24"/>
          <w:highlight w:val="none"/>
        </w:rPr>
      </w:pPr>
      <w:r>
        <w:rPr>
          <w:rFonts w:hint="eastAsia" w:ascii="宋体" w:hAnsi="宋体" w:cs="宋体"/>
          <w:sz w:val="24"/>
          <w:highlight w:val="none"/>
        </w:rPr>
        <w:t>6.甲方有权部分或全部解除合同并要求乙方赔偿由此造成的损失。此时甲方可采取必要的补救措施，相关费用由乙方承担。</w:t>
      </w:r>
    </w:p>
    <w:p w14:paraId="3A39D826">
      <w:pPr>
        <w:spacing w:line="360" w:lineRule="auto"/>
        <w:ind w:firstLine="480" w:firstLineChars="200"/>
        <w:rPr>
          <w:rFonts w:ascii="宋体" w:hAnsi="宋体" w:cs="宋体"/>
          <w:sz w:val="24"/>
          <w:highlight w:val="none"/>
        </w:rPr>
      </w:pPr>
      <w:r>
        <w:rPr>
          <w:rFonts w:hint="eastAsia" w:ascii="宋体" w:hAnsi="宋体" w:cs="宋体"/>
          <w:sz w:val="24"/>
          <w:highlight w:val="none"/>
        </w:rPr>
        <w:t>（二）如果乙方在收到甲方的违约通知书后10日内未作答复也没有按照甲方选择的方式承担违约责任，则甲方有权从尚未支付的合同价款中扣回索赔金额。如果这些金额不足以补偿，甲方有权向乙方提出不足部分的赔偿要求。</w:t>
      </w:r>
    </w:p>
    <w:p w14:paraId="1F72AFAA">
      <w:pPr>
        <w:spacing w:line="360" w:lineRule="auto"/>
        <w:ind w:firstLine="480" w:firstLineChars="200"/>
        <w:rPr>
          <w:rFonts w:ascii="宋体" w:hAnsi="宋体" w:cs="宋体"/>
          <w:sz w:val="24"/>
          <w:highlight w:val="none"/>
        </w:rPr>
      </w:pPr>
      <w:r>
        <w:rPr>
          <w:rFonts w:hint="eastAsia" w:ascii="宋体" w:hAnsi="宋体" w:cs="宋体"/>
          <w:sz w:val="24"/>
          <w:highlight w:val="none"/>
        </w:rPr>
        <w:t>（三）服务延误的违约责任</w:t>
      </w:r>
    </w:p>
    <w:p w14:paraId="7E0E71B4">
      <w:pPr>
        <w:spacing w:line="360" w:lineRule="auto"/>
        <w:ind w:firstLine="480" w:firstLineChars="200"/>
        <w:rPr>
          <w:rFonts w:ascii="宋体" w:hAnsi="宋体" w:cs="宋体"/>
          <w:sz w:val="24"/>
          <w:highlight w:val="none"/>
        </w:rPr>
      </w:pPr>
      <w:r>
        <w:rPr>
          <w:rFonts w:hint="eastAsia" w:ascii="宋体" w:hAnsi="宋体" w:cs="宋体"/>
          <w:sz w:val="24"/>
          <w:highlight w:val="none"/>
        </w:rPr>
        <w:t>1.乙方未按合同规定的服务期限向甲方提供服务时，则每逾期一日，乙方应按逾期交付标的价款总值的2%计算，向甲方支付逾期提供服务的违约金，但不超过合同总金额的10%。乙方支付逾期提供服务的违约金并不免除乙方违约的责任。</w:t>
      </w:r>
    </w:p>
    <w:p w14:paraId="3C1BFD70">
      <w:pPr>
        <w:spacing w:line="360" w:lineRule="auto"/>
        <w:ind w:firstLine="480" w:firstLineChars="200"/>
        <w:rPr>
          <w:rFonts w:ascii="宋体" w:hAnsi="宋体" w:cs="宋体"/>
          <w:sz w:val="24"/>
          <w:highlight w:val="none"/>
        </w:rPr>
      </w:pPr>
      <w:r>
        <w:rPr>
          <w:rFonts w:hint="eastAsia" w:ascii="宋体" w:hAnsi="宋体" w:cs="宋体"/>
          <w:sz w:val="24"/>
          <w:highlight w:val="none"/>
        </w:rPr>
        <w:t>2.如乙方在合同规定的服务期限后10天内仍未能提供服务，则视为乙方不能提供服务，甲方有权解除合同，乙方除退还已收取的服务费用，还应向甲方偿付全部服务款10%的违约金。</w:t>
      </w:r>
    </w:p>
    <w:p w14:paraId="275C080E">
      <w:pPr>
        <w:spacing w:line="360" w:lineRule="auto"/>
        <w:ind w:firstLine="480" w:firstLineChars="200"/>
        <w:rPr>
          <w:rFonts w:ascii="宋体" w:hAnsi="宋体" w:cs="宋体"/>
          <w:sz w:val="24"/>
          <w:highlight w:val="none"/>
        </w:rPr>
      </w:pPr>
      <w:r>
        <w:rPr>
          <w:rFonts w:hint="eastAsia" w:ascii="宋体" w:hAnsi="宋体" w:cs="宋体"/>
          <w:sz w:val="24"/>
          <w:highlight w:val="none"/>
        </w:rPr>
        <w:t>（四）以上各项交付的违约金并不影响违约方履行合同的其他义务。</w:t>
      </w:r>
    </w:p>
    <w:p w14:paraId="1E05F9C0">
      <w:pPr>
        <w:spacing w:line="360" w:lineRule="auto"/>
        <w:ind w:firstLine="480" w:firstLineChars="200"/>
        <w:rPr>
          <w:rFonts w:ascii="宋体" w:hAnsi="宋体" w:cs="宋体"/>
          <w:sz w:val="24"/>
          <w:highlight w:val="none"/>
        </w:rPr>
      </w:pPr>
      <w:r>
        <w:rPr>
          <w:rFonts w:hint="eastAsia" w:ascii="宋体" w:hAnsi="宋体" w:cs="宋体"/>
          <w:sz w:val="24"/>
          <w:highlight w:val="none"/>
        </w:rPr>
        <w:t>（五）因本合同产生的争议，双方应协商解决，如协商不成，应提交甲方所在地有管辖权的人民法院诉讼解决。</w:t>
      </w:r>
    </w:p>
    <w:p w14:paraId="40F8F896">
      <w:pPr>
        <w:widowControl/>
        <w:shd w:val="clear" w:color="auto" w:fill="FFFFFF"/>
        <w:tabs>
          <w:tab w:val="left" w:pos="420"/>
        </w:tabs>
        <w:spacing w:line="360" w:lineRule="auto"/>
        <w:ind w:firstLine="482" w:firstLineChars="200"/>
        <w:jc w:val="left"/>
        <w:outlineLvl w:val="0"/>
        <w:rPr>
          <w:rFonts w:ascii="宋体" w:hAnsi="宋体" w:cs="宋体"/>
          <w:b/>
          <w:sz w:val="24"/>
          <w:highlight w:val="none"/>
        </w:rPr>
      </w:pPr>
      <w:bookmarkStart w:id="61" w:name="_Toc11512"/>
      <w:bookmarkStart w:id="62" w:name="_Toc10926"/>
      <w:bookmarkStart w:id="63" w:name="_Toc26018"/>
      <w:bookmarkStart w:id="64" w:name="_Toc6970"/>
      <w:bookmarkStart w:id="65" w:name="_Toc22365"/>
      <w:bookmarkStart w:id="66" w:name="_Toc31673"/>
      <w:bookmarkStart w:id="67" w:name="_Toc27605"/>
      <w:bookmarkStart w:id="68" w:name="_Toc2434"/>
      <w:r>
        <w:rPr>
          <w:rFonts w:hint="eastAsia" w:ascii="宋体" w:hAnsi="宋体" w:cs="宋体"/>
          <w:b/>
          <w:sz w:val="24"/>
          <w:highlight w:val="none"/>
        </w:rPr>
        <w:t>七、合同生效</w:t>
      </w:r>
      <w:bookmarkEnd w:id="61"/>
      <w:bookmarkEnd w:id="62"/>
      <w:bookmarkEnd w:id="63"/>
      <w:bookmarkEnd w:id="64"/>
      <w:bookmarkEnd w:id="65"/>
      <w:bookmarkEnd w:id="66"/>
      <w:bookmarkEnd w:id="67"/>
      <w:bookmarkEnd w:id="68"/>
    </w:p>
    <w:p w14:paraId="02FFDA44">
      <w:pPr>
        <w:spacing w:line="360" w:lineRule="auto"/>
        <w:ind w:firstLine="480" w:firstLineChars="200"/>
        <w:rPr>
          <w:rFonts w:ascii="宋体" w:hAnsi="宋体" w:cs="宋体"/>
          <w:sz w:val="24"/>
          <w:highlight w:val="none"/>
        </w:rPr>
      </w:pPr>
      <w:r>
        <w:rPr>
          <w:rFonts w:hint="eastAsia" w:ascii="宋体" w:hAnsi="宋体" w:cs="宋体"/>
          <w:sz w:val="24"/>
          <w:highlight w:val="none"/>
        </w:rPr>
        <w:t>本合同经双方法人代表或授权代表签字盖章后生效。</w:t>
      </w:r>
    </w:p>
    <w:p w14:paraId="1DAE0187">
      <w:pPr>
        <w:spacing w:line="360" w:lineRule="auto"/>
        <w:ind w:firstLine="480" w:firstLineChars="200"/>
        <w:rPr>
          <w:rFonts w:ascii="宋体" w:hAnsi="宋体" w:cs="宋体"/>
          <w:sz w:val="24"/>
          <w:highlight w:val="none"/>
        </w:rPr>
      </w:pPr>
      <w:r>
        <w:rPr>
          <w:rFonts w:hint="eastAsia" w:ascii="宋体" w:hAnsi="宋体" w:cs="宋体"/>
          <w:sz w:val="24"/>
          <w:highlight w:val="none"/>
        </w:rPr>
        <w:t>本合同一式四份，甲乙双方各二份。</w:t>
      </w:r>
    </w:p>
    <w:p w14:paraId="37F04E0E">
      <w:pPr>
        <w:spacing w:line="360" w:lineRule="auto"/>
        <w:jc w:val="left"/>
        <w:rPr>
          <w:rFonts w:ascii="宋体" w:hAnsi="宋体" w:cs="宋体"/>
          <w:sz w:val="24"/>
          <w:highlight w:val="none"/>
        </w:rPr>
      </w:pPr>
    </w:p>
    <w:p w14:paraId="08A8B00C">
      <w:pPr>
        <w:spacing w:line="360" w:lineRule="auto"/>
        <w:jc w:val="left"/>
        <w:rPr>
          <w:rFonts w:ascii="宋体" w:hAnsi="宋体" w:cs="宋体"/>
          <w:sz w:val="24"/>
          <w:highlight w:val="none"/>
        </w:rPr>
      </w:pPr>
      <w:r>
        <w:rPr>
          <w:rFonts w:hint="eastAsia" w:ascii="宋体" w:hAnsi="宋体" w:cs="宋体"/>
          <w:sz w:val="24"/>
          <w:highlight w:val="none"/>
        </w:rPr>
        <w:t>甲方（公章）:                           乙方(公章):</w:t>
      </w:r>
    </w:p>
    <w:p w14:paraId="06CB3BDD">
      <w:pPr>
        <w:spacing w:line="360" w:lineRule="auto"/>
        <w:jc w:val="left"/>
        <w:rPr>
          <w:rFonts w:ascii="宋体" w:hAnsi="宋体" w:cs="宋体"/>
          <w:sz w:val="24"/>
          <w:highlight w:val="none"/>
        </w:rPr>
      </w:pPr>
      <w:r>
        <w:rPr>
          <w:rFonts w:hint="eastAsia" w:ascii="宋体" w:hAnsi="宋体" w:cs="宋体"/>
          <w:sz w:val="24"/>
          <w:highlight w:val="none"/>
        </w:rPr>
        <w:t xml:space="preserve">法定代表人(签字)：                      法定代表人(签字)：       </w:t>
      </w:r>
    </w:p>
    <w:p w14:paraId="4995F364">
      <w:pPr>
        <w:spacing w:line="360" w:lineRule="auto"/>
        <w:jc w:val="left"/>
        <w:rPr>
          <w:rFonts w:ascii="宋体" w:hAnsi="宋体" w:cs="宋体"/>
          <w:sz w:val="24"/>
          <w:highlight w:val="none"/>
        </w:rPr>
      </w:pPr>
      <w:r>
        <w:rPr>
          <w:rFonts w:hint="eastAsia" w:ascii="宋体" w:hAnsi="宋体" w:cs="宋体"/>
          <w:sz w:val="24"/>
          <w:highlight w:val="none"/>
        </w:rPr>
        <w:t>委托代理人(签字):                       委托代理人(签字):</w:t>
      </w:r>
    </w:p>
    <w:p w14:paraId="664466CF">
      <w:pPr>
        <w:spacing w:line="360" w:lineRule="auto"/>
        <w:jc w:val="left"/>
        <w:rPr>
          <w:rFonts w:ascii="宋体" w:hAnsi="宋体" w:cs="宋体"/>
          <w:sz w:val="24"/>
          <w:highlight w:val="none"/>
        </w:rPr>
      </w:pPr>
      <w:r>
        <w:rPr>
          <w:rFonts w:hint="eastAsia" w:ascii="宋体" w:hAnsi="宋体" w:cs="宋体"/>
          <w:sz w:val="24"/>
          <w:highlight w:val="none"/>
        </w:rPr>
        <w:t>联系电话：                              联系电话：</w:t>
      </w:r>
    </w:p>
    <w:p w14:paraId="468F707B">
      <w:pPr>
        <w:spacing w:line="360" w:lineRule="auto"/>
        <w:jc w:val="left"/>
        <w:rPr>
          <w:rFonts w:ascii="宋体" w:hAnsi="宋体" w:cs="宋体"/>
          <w:sz w:val="24"/>
          <w:highlight w:val="none"/>
        </w:rPr>
      </w:pPr>
      <w:r>
        <w:rPr>
          <w:rFonts w:hint="eastAsia" w:ascii="宋体" w:hAnsi="宋体" w:cs="宋体"/>
          <w:sz w:val="24"/>
          <w:highlight w:val="none"/>
        </w:rPr>
        <w:t>日期：   年  月  日                     开户行：</w:t>
      </w:r>
    </w:p>
    <w:p w14:paraId="1800197F">
      <w:pPr>
        <w:spacing w:line="360" w:lineRule="auto"/>
        <w:jc w:val="left"/>
        <w:rPr>
          <w:rFonts w:ascii="宋体" w:hAnsi="宋体" w:cs="宋体"/>
          <w:sz w:val="24"/>
          <w:highlight w:val="none"/>
        </w:rPr>
      </w:pPr>
      <w:r>
        <w:rPr>
          <w:rFonts w:hint="eastAsia" w:ascii="宋体" w:hAnsi="宋体" w:cs="宋体"/>
          <w:sz w:val="24"/>
          <w:highlight w:val="none"/>
        </w:rPr>
        <w:t xml:space="preserve">                                        账号：</w:t>
      </w:r>
    </w:p>
    <w:p w14:paraId="4215ACEF">
      <w:pPr>
        <w:spacing w:line="360" w:lineRule="auto"/>
        <w:ind w:firstLine="4800" w:firstLineChars="2000"/>
        <w:jc w:val="left"/>
        <w:rPr>
          <w:rFonts w:ascii="宋体" w:hAnsi="宋体" w:cs="宋体"/>
          <w:szCs w:val="21"/>
          <w:highlight w:val="none"/>
        </w:rPr>
      </w:pPr>
      <w:r>
        <w:rPr>
          <w:rFonts w:hint="eastAsia" w:ascii="宋体" w:hAnsi="宋体" w:cs="宋体"/>
          <w:sz w:val="24"/>
          <w:highlight w:val="none"/>
        </w:rPr>
        <w:t>日期：   年  月  日</w:t>
      </w:r>
    </w:p>
    <w:p w14:paraId="42D8EF10">
      <w:pPr>
        <w:pStyle w:val="4"/>
        <w:rPr>
          <w:rFonts w:ascii="宋体" w:hAnsi="宋体" w:eastAsia="宋体" w:cs="宋体"/>
          <w:highlight w:val="none"/>
        </w:rPr>
      </w:pPr>
    </w:p>
    <w:p w14:paraId="4CBC3BBE">
      <w:pPr>
        <w:spacing w:line="360" w:lineRule="auto"/>
        <w:rPr>
          <w:rFonts w:ascii="宋体" w:hAnsi="宋体" w:cs="宋体"/>
          <w:highlight w:val="none"/>
        </w:rPr>
      </w:pPr>
    </w:p>
    <w:p w14:paraId="04F5F62D">
      <w:pPr>
        <w:spacing w:line="360" w:lineRule="auto"/>
        <w:rPr>
          <w:rFonts w:ascii="宋体" w:hAnsi="宋体" w:cs="宋体"/>
          <w:highlight w:val="none"/>
        </w:rPr>
      </w:pPr>
    </w:p>
    <w:p w14:paraId="7B5F961E">
      <w:pPr>
        <w:spacing w:line="360" w:lineRule="auto"/>
        <w:rPr>
          <w:rFonts w:ascii="宋体" w:hAnsi="宋体" w:cs="宋体"/>
          <w:highlight w:val="none"/>
        </w:rPr>
      </w:pPr>
    </w:p>
    <w:p w14:paraId="304FB6E5">
      <w:pPr>
        <w:spacing w:line="360" w:lineRule="auto"/>
        <w:rPr>
          <w:rFonts w:ascii="宋体" w:hAnsi="宋体" w:cs="宋体"/>
          <w:highlight w:val="none"/>
        </w:rPr>
      </w:pPr>
    </w:p>
    <w:p w14:paraId="08EF72F7">
      <w:pPr>
        <w:spacing w:line="360" w:lineRule="auto"/>
        <w:rPr>
          <w:rFonts w:ascii="宋体" w:hAnsi="宋体" w:cs="宋体"/>
          <w:highlight w:val="none"/>
        </w:rPr>
      </w:pPr>
    </w:p>
    <w:p w14:paraId="745AA33C">
      <w:pPr>
        <w:spacing w:line="360" w:lineRule="auto"/>
        <w:rPr>
          <w:rFonts w:ascii="宋体" w:hAnsi="宋体" w:cs="宋体"/>
          <w:highlight w:val="none"/>
        </w:rPr>
      </w:pPr>
    </w:p>
    <w:p w14:paraId="27A45989">
      <w:pPr>
        <w:spacing w:line="360" w:lineRule="auto"/>
        <w:rPr>
          <w:rFonts w:ascii="宋体" w:hAnsi="宋体" w:cs="宋体"/>
          <w:highlight w:val="none"/>
        </w:rPr>
      </w:pPr>
    </w:p>
    <w:p w14:paraId="477C9080">
      <w:pPr>
        <w:spacing w:line="360" w:lineRule="auto"/>
        <w:rPr>
          <w:rFonts w:ascii="宋体" w:hAnsi="宋体" w:cs="宋体"/>
          <w:highlight w:val="none"/>
        </w:rPr>
      </w:pPr>
    </w:p>
    <w:p w14:paraId="3656FA2E">
      <w:pPr>
        <w:spacing w:line="360" w:lineRule="auto"/>
        <w:rPr>
          <w:rFonts w:ascii="宋体" w:hAnsi="宋体" w:cs="宋体"/>
          <w:highlight w:val="none"/>
        </w:rPr>
      </w:pPr>
    </w:p>
    <w:p w14:paraId="4DB39420">
      <w:pPr>
        <w:spacing w:line="360" w:lineRule="auto"/>
        <w:rPr>
          <w:rFonts w:ascii="宋体" w:hAnsi="宋体" w:cs="宋体"/>
          <w:highlight w:val="none"/>
        </w:rPr>
      </w:pPr>
    </w:p>
    <w:p w14:paraId="4B14F8E9">
      <w:pPr>
        <w:spacing w:line="360" w:lineRule="auto"/>
        <w:rPr>
          <w:rFonts w:ascii="宋体" w:hAnsi="宋体" w:cs="宋体"/>
          <w:highlight w:val="none"/>
        </w:rPr>
      </w:pPr>
    </w:p>
    <w:p w14:paraId="7D870F91">
      <w:pPr>
        <w:spacing w:line="360" w:lineRule="auto"/>
        <w:rPr>
          <w:rFonts w:ascii="宋体" w:hAnsi="宋体" w:cs="宋体"/>
          <w:highlight w:val="none"/>
        </w:rPr>
      </w:pPr>
    </w:p>
    <w:p w14:paraId="01DB4D9A">
      <w:pPr>
        <w:spacing w:line="360" w:lineRule="auto"/>
        <w:rPr>
          <w:rFonts w:ascii="宋体" w:hAnsi="宋体" w:cs="宋体"/>
          <w:highlight w:val="none"/>
        </w:rPr>
      </w:pPr>
    </w:p>
    <w:p w14:paraId="1C813AFD">
      <w:pPr>
        <w:spacing w:line="360" w:lineRule="auto"/>
        <w:ind w:right="-1233" w:rightChars="-587"/>
        <w:rPr>
          <w:rFonts w:ascii="宋体" w:hAnsi="宋体" w:cs="宋体"/>
          <w:sz w:val="20"/>
          <w:highlight w:val="none"/>
        </w:rPr>
        <w:sectPr>
          <w:headerReference r:id="rId11" w:type="first"/>
          <w:headerReference r:id="rId10" w:type="default"/>
          <w:footerReference r:id="rId12" w:type="default"/>
          <w:pgSz w:w="11906" w:h="16838"/>
          <w:pgMar w:top="1134" w:right="1091" w:bottom="1134" w:left="1418" w:header="454" w:footer="454" w:gutter="0"/>
          <w:cols w:space="720" w:num="1"/>
          <w:titlePg/>
          <w:docGrid w:linePitch="312" w:charSpace="0"/>
        </w:sectPr>
      </w:pPr>
      <w:r>
        <w:rPr>
          <w:rFonts w:hint="eastAsia" w:ascii="宋体" w:hAnsi="宋体" w:cs="宋体"/>
          <w:highlight w:val="none"/>
        </w:rPr>
        <w:br w:type="page"/>
      </w:r>
    </w:p>
    <w:p w14:paraId="3871B35B">
      <w:pPr>
        <w:spacing w:line="360" w:lineRule="auto"/>
        <w:rPr>
          <w:rFonts w:ascii="宋体" w:hAnsi="宋体" w:cs="宋体"/>
          <w:highlight w:val="none"/>
        </w:rPr>
      </w:pPr>
    </w:p>
    <w:p w14:paraId="6CEDB344">
      <w:pPr>
        <w:spacing w:line="360" w:lineRule="auto"/>
        <w:rPr>
          <w:rFonts w:ascii="宋体" w:hAnsi="宋体" w:cs="宋体"/>
          <w:highlight w:val="none"/>
        </w:rPr>
      </w:pPr>
    </w:p>
    <w:p w14:paraId="5398D893">
      <w:pPr>
        <w:pStyle w:val="2"/>
        <w:rPr>
          <w:rFonts w:ascii="宋体" w:hAnsi="宋体" w:cs="宋体"/>
          <w:highlight w:val="none"/>
        </w:rPr>
      </w:pPr>
    </w:p>
    <w:p w14:paraId="4801565B">
      <w:pPr>
        <w:rPr>
          <w:rFonts w:ascii="宋体" w:hAnsi="宋体" w:cs="宋体"/>
          <w:highlight w:val="none"/>
        </w:rPr>
      </w:pPr>
    </w:p>
    <w:p w14:paraId="7FD6DD7D">
      <w:pPr>
        <w:pStyle w:val="2"/>
        <w:rPr>
          <w:rFonts w:ascii="宋体" w:hAnsi="宋体" w:cs="宋体"/>
          <w:highlight w:val="none"/>
        </w:rPr>
      </w:pPr>
    </w:p>
    <w:p w14:paraId="73FD3DCB">
      <w:pPr>
        <w:rPr>
          <w:rFonts w:ascii="宋体" w:hAnsi="宋体" w:cs="宋体"/>
          <w:highlight w:val="none"/>
        </w:rPr>
      </w:pPr>
    </w:p>
    <w:p w14:paraId="42F84BE6">
      <w:pPr>
        <w:pStyle w:val="2"/>
        <w:rPr>
          <w:rFonts w:ascii="宋体" w:hAnsi="宋体" w:cs="宋体"/>
          <w:highlight w:val="none"/>
        </w:rPr>
      </w:pPr>
    </w:p>
    <w:p w14:paraId="5F78A88E">
      <w:pPr>
        <w:rPr>
          <w:rFonts w:ascii="宋体" w:hAnsi="宋体" w:cs="宋体"/>
          <w:highlight w:val="none"/>
        </w:rPr>
      </w:pPr>
    </w:p>
    <w:p w14:paraId="052C577B">
      <w:pPr>
        <w:pStyle w:val="2"/>
        <w:rPr>
          <w:rFonts w:ascii="宋体" w:hAnsi="宋体" w:cs="宋体"/>
          <w:highlight w:val="none"/>
        </w:rPr>
      </w:pPr>
    </w:p>
    <w:p w14:paraId="362C4829">
      <w:pPr>
        <w:rPr>
          <w:rFonts w:ascii="宋体" w:hAnsi="宋体" w:cs="宋体"/>
          <w:highlight w:val="none"/>
        </w:rPr>
      </w:pPr>
    </w:p>
    <w:p w14:paraId="2C424731">
      <w:pPr>
        <w:pStyle w:val="2"/>
        <w:rPr>
          <w:rFonts w:ascii="宋体" w:hAnsi="宋体" w:cs="宋体"/>
          <w:highlight w:val="none"/>
        </w:rPr>
      </w:pPr>
    </w:p>
    <w:p w14:paraId="2BC2865A">
      <w:pPr>
        <w:rPr>
          <w:rFonts w:ascii="宋体" w:hAnsi="宋体" w:cs="宋体"/>
          <w:highlight w:val="none"/>
        </w:rPr>
      </w:pPr>
    </w:p>
    <w:p w14:paraId="0E31073C">
      <w:pPr>
        <w:pStyle w:val="2"/>
        <w:rPr>
          <w:rFonts w:ascii="宋体" w:hAnsi="宋体" w:cs="宋体"/>
          <w:highlight w:val="none"/>
        </w:rPr>
      </w:pPr>
    </w:p>
    <w:p w14:paraId="4B7D5F2C">
      <w:pPr>
        <w:rPr>
          <w:rFonts w:ascii="宋体" w:hAnsi="宋体" w:cs="宋体"/>
          <w:highlight w:val="none"/>
        </w:rPr>
      </w:pPr>
    </w:p>
    <w:p w14:paraId="680916DA">
      <w:pPr>
        <w:pStyle w:val="2"/>
        <w:rPr>
          <w:rFonts w:ascii="宋体" w:hAnsi="宋体" w:cs="宋体"/>
          <w:highlight w:val="none"/>
        </w:rPr>
      </w:pPr>
    </w:p>
    <w:p w14:paraId="61869F8B">
      <w:pPr>
        <w:rPr>
          <w:highlight w:val="none"/>
        </w:rPr>
      </w:pPr>
    </w:p>
    <w:p w14:paraId="1F2F7A46">
      <w:pPr>
        <w:spacing w:line="360" w:lineRule="auto"/>
        <w:rPr>
          <w:rFonts w:ascii="宋体" w:hAnsi="宋体" w:cs="宋体"/>
          <w:highlight w:val="none"/>
        </w:rPr>
      </w:pPr>
    </w:p>
    <w:p w14:paraId="5F907B21">
      <w:pPr>
        <w:spacing w:line="360" w:lineRule="auto"/>
        <w:rPr>
          <w:rFonts w:ascii="宋体" w:hAnsi="宋体" w:cs="宋体"/>
          <w:highlight w:val="none"/>
        </w:rPr>
      </w:pPr>
    </w:p>
    <w:p w14:paraId="2180450E">
      <w:pPr>
        <w:pStyle w:val="3"/>
        <w:numPr>
          <w:ilvl w:val="0"/>
          <w:numId w:val="2"/>
        </w:numPr>
        <w:spacing w:line="360" w:lineRule="auto"/>
        <w:jc w:val="center"/>
        <w:rPr>
          <w:rFonts w:ascii="宋体" w:hAnsi="宋体" w:cs="宋体"/>
          <w:w w:val="90"/>
          <w:highlight w:val="none"/>
        </w:rPr>
      </w:pPr>
      <w:r>
        <w:rPr>
          <w:rFonts w:hint="eastAsia" w:ascii="宋体" w:hAnsi="宋体" w:cs="宋体"/>
          <w:w w:val="90"/>
          <w:highlight w:val="none"/>
        </w:rPr>
        <w:tab/>
      </w:r>
      <w:bookmarkStart w:id="69" w:name="_Toc1908"/>
      <w:bookmarkStart w:id="70" w:name="_Toc350515653"/>
      <w:r>
        <w:rPr>
          <w:rFonts w:hint="eastAsia" w:ascii="宋体" w:hAnsi="宋体" w:cs="宋体"/>
          <w:w w:val="90"/>
          <w:highlight w:val="none"/>
        </w:rPr>
        <w:t xml:space="preserve"> </w:t>
      </w:r>
      <w:bookmarkEnd w:id="69"/>
      <w:bookmarkEnd w:id="70"/>
      <w:bookmarkStart w:id="71" w:name="_Toc24030"/>
      <w:r>
        <w:rPr>
          <w:rFonts w:hint="eastAsia" w:ascii="宋体" w:hAnsi="宋体" w:cs="宋体"/>
          <w:w w:val="90"/>
          <w:highlight w:val="none"/>
        </w:rPr>
        <w:t>项目情况及服务需求</w:t>
      </w:r>
      <w:bookmarkEnd w:id="71"/>
    </w:p>
    <w:p w14:paraId="31D88F41">
      <w:pPr>
        <w:adjustRightInd w:val="0"/>
        <w:snapToGrid w:val="0"/>
        <w:spacing w:line="360" w:lineRule="auto"/>
        <w:jc w:val="center"/>
        <w:rPr>
          <w:rFonts w:ascii="宋体" w:hAnsi="宋体" w:cs="宋体"/>
          <w:b/>
          <w:bCs/>
          <w:sz w:val="32"/>
          <w:szCs w:val="32"/>
          <w:highlight w:val="none"/>
        </w:rPr>
      </w:pPr>
      <w:r>
        <w:rPr>
          <w:rFonts w:hint="eastAsia" w:ascii="宋体" w:hAnsi="宋体" w:cs="宋体"/>
          <w:b/>
          <w:kern w:val="0"/>
          <w:highlight w:val="none"/>
        </w:rPr>
        <w:br w:type="page"/>
      </w:r>
      <w:bookmarkStart w:id="72" w:name="OLE_LINK8"/>
      <w:r>
        <w:rPr>
          <w:rFonts w:hint="eastAsia" w:ascii="宋体" w:hAnsi="宋体" w:cs="宋体"/>
          <w:b/>
          <w:bCs/>
          <w:sz w:val="32"/>
          <w:szCs w:val="32"/>
          <w:highlight w:val="none"/>
        </w:rPr>
        <w:t>辽宁省营口市海洋生态保护修复工程项目管护能力建设及浒苔处置监测预报服务</w:t>
      </w:r>
    </w:p>
    <w:p w14:paraId="4C08DAF1">
      <w:pPr>
        <w:adjustRightInd w:val="0"/>
        <w:snapToGrid w:val="0"/>
        <w:spacing w:line="360" w:lineRule="auto"/>
        <w:jc w:val="center"/>
        <w:rPr>
          <w:rFonts w:ascii="宋体" w:hAnsi="宋体" w:cs="宋体"/>
          <w:b/>
          <w:bCs/>
          <w:sz w:val="32"/>
          <w:szCs w:val="32"/>
          <w:highlight w:val="none"/>
        </w:rPr>
      </w:pPr>
      <w:r>
        <w:rPr>
          <w:rFonts w:hint="eastAsia" w:ascii="宋体" w:hAnsi="宋体" w:cs="宋体"/>
          <w:b/>
          <w:bCs/>
          <w:sz w:val="32"/>
          <w:szCs w:val="32"/>
          <w:highlight w:val="none"/>
        </w:rPr>
        <w:t>项目基本情况</w:t>
      </w:r>
    </w:p>
    <w:p w14:paraId="4D1D46EF">
      <w:pPr>
        <w:adjustRightInd w:val="0"/>
        <w:spacing w:line="360" w:lineRule="auto"/>
        <w:ind w:firstLine="482" w:firstLineChars="200"/>
        <w:jc w:val="left"/>
        <w:textAlignment w:val="baseline"/>
        <w:rPr>
          <w:rFonts w:ascii="宋体" w:hAnsi="宋体"/>
          <w:b/>
          <w:bCs/>
          <w:sz w:val="24"/>
          <w:highlight w:val="none"/>
        </w:rPr>
      </w:pPr>
      <w:r>
        <w:rPr>
          <w:rFonts w:hint="eastAsia" w:ascii="宋体" w:hAnsi="宋体"/>
          <w:b/>
          <w:bCs/>
          <w:sz w:val="24"/>
          <w:highlight w:val="none"/>
        </w:rPr>
        <w:t>一、工程规模</w:t>
      </w:r>
    </w:p>
    <w:p w14:paraId="11AD38AB">
      <w:pPr>
        <w:adjustRightInd w:val="0"/>
        <w:spacing w:line="360" w:lineRule="auto"/>
        <w:ind w:firstLine="480" w:firstLineChars="200"/>
        <w:jc w:val="left"/>
        <w:textAlignment w:val="baseline"/>
        <w:rPr>
          <w:rFonts w:ascii="宋体" w:hAnsi="宋体"/>
          <w:sz w:val="24"/>
          <w:highlight w:val="none"/>
        </w:rPr>
      </w:pPr>
      <w:r>
        <w:rPr>
          <w:rFonts w:ascii="宋体" w:hAnsi="宋体"/>
          <w:sz w:val="24"/>
          <w:highlight w:val="none"/>
        </w:rPr>
        <w:t>完成生态修复总面积1630.34ha，岸线整治修复长度2951.90m，砂质岸线整治修复长度1287.00m，生态护岸长度1664.90m，海岸侵蚀防护长度2951.90m，滨海湿地整治修复面积1555.22ha，保育修复芦苇/碱蓬面积139.49ha，新种植芦苇/碱蓬面积129.20ha，底栖生物修复面积260.91ha，浒苔防治面积1006.83ha，潮沟疏通面积21.81ha，海岸湿地修复面积69.87ha。</w:t>
      </w:r>
    </w:p>
    <w:p w14:paraId="69698835">
      <w:pPr>
        <w:pStyle w:val="2"/>
        <w:rPr>
          <w:rFonts w:ascii="宋体" w:hAnsi="宋体"/>
          <w:sz w:val="24"/>
          <w:highlight w:val="none"/>
        </w:rPr>
      </w:pPr>
    </w:p>
    <w:p w14:paraId="1D6B2693">
      <w:pPr>
        <w:pStyle w:val="2"/>
        <w:ind w:firstLine="480" w:firstLineChars="200"/>
        <w:rPr>
          <w:highlight w:val="none"/>
        </w:rPr>
      </w:pPr>
      <w:r>
        <w:rPr>
          <w:rFonts w:ascii="宋体" w:hAnsi="宋体"/>
          <w:sz w:val="24"/>
          <w:highlight w:val="none"/>
        </w:rPr>
        <w:t>其中浒苔防治区域为月亮湾整个水域，面积1006.83ha。</w:t>
      </w:r>
    </w:p>
    <w:p w14:paraId="75CCED05">
      <w:pPr>
        <w:numPr>
          <w:ilvl w:val="0"/>
          <w:numId w:val="11"/>
        </w:numPr>
        <w:adjustRightInd w:val="0"/>
        <w:spacing w:line="360" w:lineRule="auto"/>
        <w:ind w:firstLine="482" w:firstLineChars="200"/>
        <w:jc w:val="left"/>
        <w:textAlignment w:val="baseline"/>
        <w:rPr>
          <w:rFonts w:ascii="宋体" w:hAnsi="宋体"/>
          <w:b/>
          <w:bCs/>
          <w:sz w:val="24"/>
          <w:highlight w:val="none"/>
        </w:rPr>
      </w:pPr>
      <w:r>
        <w:rPr>
          <w:rFonts w:hint="eastAsia" w:ascii="宋体" w:hAnsi="宋体"/>
          <w:b/>
          <w:bCs/>
          <w:sz w:val="24"/>
          <w:highlight w:val="none"/>
        </w:rPr>
        <w:t>招标范围</w:t>
      </w:r>
    </w:p>
    <w:p w14:paraId="000500D7">
      <w:pPr>
        <w:adjustRightInd w:val="0"/>
        <w:spacing w:line="360" w:lineRule="auto"/>
        <w:ind w:firstLine="480" w:firstLineChars="200"/>
        <w:jc w:val="left"/>
        <w:textAlignment w:val="baseline"/>
        <w:rPr>
          <w:rFonts w:ascii="宋体" w:hAnsi="宋体"/>
          <w:sz w:val="24"/>
          <w:highlight w:val="none"/>
        </w:rPr>
      </w:pPr>
      <w:bookmarkStart w:id="73" w:name="OLE_LINK34"/>
      <w:r>
        <w:rPr>
          <w:rFonts w:hint="eastAsia" w:ascii="宋体" w:hAnsi="宋体"/>
          <w:sz w:val="24"/>
          <w:highlight w:val="none"/>
        </w:rPr>
        <w:t>修复项目管护能力建设：</w:t>
      </w:r>
      <w:r>
        <w:rPr>
          <w:rFonts w:hint="eastAsia" w:ascii="宋体" w:hAnsi="宋体" w:cs="宋体"/>
          <w:sz w:val="24"/>
          <w:szCs w:val="24"/>
          <w:highlight w:val="none"/>
        </w:rPr>
        <w:t>完成生态修复总面积1630.34ha，岸线整治修复长度2951.90m，砂质岸线整治修复长度1287.00m，生态护岸长度1664.90m，海岸侵蚀防护长度2951.90m，滨海湿地整治修复面积1555.22ha，保育修复芦苇/碱蓬面积139.49ha，新种植芦苇/碱蓬面积129.20ha，底栖生物修复面积260.91ha，浒苔防治面积1006.83ha，潮沟疏通面积21.81ha，海岸湿地修复面积69.87ha。其中大辽河口拟开展海基水动力监测系统、岸基水动力监测系统、岸基水质监测系统及生态数字影像系统建设；民兴河口拟开展岸基水动力监测系统建设；团山拟开展海基水动力监测系统、沙滩视频观测系统及生态数字影像系统建设；月亮湾拟开展海基水动力监测系统及岸基水质监测系统建设。构建基于Web GIS具有海洋水文动力及生态环境数据管理、生态修复效果评估、生态风险预警监管等功能的生态监测预警与修复管理平台。</w:t>
      </w:r>
    </w:p>
    <w:p w14:paraId="2D56E3C0">
      <w:pPr>
        <w:adjustRightInd w:val="0"/>
        <w:spacing w:line="360" w:lineRule="auto"/>
        <w:ind w:firstLine="480" w:firstLineChars="200"/>
        <w:jc w:val="left"/>
        <w:textAlignment w:val="baseline"/>
        <w:rPr>
          <w:highlight w:val="none"/>
        </w:rPr>
      </w:pPr>
      <w:r>
        <w:rPr>
          <w:rFonts w:hint="eastAsia" w:ascii="宋体" w:hAnsi="宋体"/>
          <w:sz w:val="24"/>
          <w:highlight w:val="none"/>
        </w:rPr>
        <w:t>浒苔处置监测预报服务：服务内容包括但不限于水文监测、环境监测、生物监测、遥感监测、预测预报模型及平台、成果报告编制及提交审核、报告内容修改及复核、资料归档、过程技术咨询及根据招标人对项目的要求所进行的其他工作。所编制的成果报告须遵照法规及规范要求。</w:t>
      </w:r>
      <w:bookmarkEnd w:id="73"/>
    </w:p>
    <w:p w14:paraId="462B634A">
      <w:pPr>
        <w:spacing w:line="360" w:lineRule="auto"/>
        <w:ind w:firstLine="482" w:firstLineChars="200"/>
        <w:rPr>
          <w:rFonts w:ascii="宋体" w:hAnsi="宋体"/>
          <w:b/>
          <w:bCs/>
          <w:sz w:val="24"/>
          <w:highlight w:val="none"/>
        </w:rPr>
      </w:pPr>
      <w:r>
        <w:rPr>
          <w:rFonts w:hint="eastAsia" w:ascii="宋体" w:hAnsi="宋体"/>
          <w:b/>
          <w:bCs/>
          <w:sz w:val="24"/>
          <w:highlight w:val="none"/>
        </w:rPr>
        <w:t>三、采购需求</w:t>
      </w:r>
    </w:p>
    <w:p w14:paraId="487AF51C">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为了有效的跟踪、评价项目的修复成效，项目拟在修复区开展长效管护能力建设，为项目修复成效评价与生态环境功能评价提供实时在线数据。结合本项目的修复内容及特点，分别在大辽河口、民兴河、团山及月亮湾开展长效能力建设。</w:t>
      </w:r>
    </w:p>
    <w:p w14:paraId="747F532C">
      <w:pPr>
        <w:pStyle w:val="2"/>
        <w:ind w:firstLine="482" w:firstLineChars="200"/>
        <w:rPr>
          <w:rFonts w:ascii="宋体" w:hAnsi="宋体" w:cs="宋体"/>
          <w:sz w:val="24"/>
          <w:szCs w:val="24"/>
          <w:highlight w:val="none"/>
        </w:rPr>
      </w:pPr>
      <w:r>
        <w:rPr>
          <w:rFonts w:hint="eastAsia" w:ascii="宋体" w:hAnsi="宋体" w:cs="宋体"/>
          <w:b/>
          <w:bCs/>
          <w:sz w:val="24"/>
          <w:szCs w:val="24"/>
          <w:highlight w:val="none"/>
        </w:rPr>
        <w:t>在合同期内设备的维保由中标人负责，合同期满由中标人向建设单位移交所有设备及平台系统。</w:t>
      </w:r>
    </w:p>
    <w:p w14:paraId="45B69F4B">
      <w:pPr>
        <w:spacing w:line="360" w:lineRule="auto"/>
        <w:ind w:left="420" w:leftChars="200"/>
        <w:rPr>
          <w:rFonts w:ascii="宋体" w:hAnsi="宋体"/>
          <w:b/>
          <w:bCs/>
          <w:sz w:val="24"/>
          <w:highlight w:val="none"/>
        </w:rPr>
      </w:pPr>
      <w:r>
        <w:rPr>
          <w:rFonts w:hint="eastAsia" w:ascii="宋体" w:hAnsi="宋体"/>
          <w:b/>
          <w:bCs/>
          <w:sz w:val="24"/>
          <w:highlight w:val="none"/>
        </w:rPr>
        <w:t>四、服务要求</w:t>
      </w:r>
    </w:p>
    <w:p w14:paraId="0E668E8A">
      <w:pPr>
        <w:pStyle w:val="2"/>
        <w:ind w:firstLine="482" w:firstLineChars="200"/>
        <w:rPr>
          <w:rFonts w:ascii="宋体" w:hAnsi="宋体" w:cs="宋体"/>
          <w:sz w:val="24"/>
          <w:szCs w:val="24"/>
          <w:highlight w:val="none"/>
        </w:rPr>
      </w:pPr>
      <w:bookmarkStart w:id="74" w:name="OLE_LINK30"/>
      <w:r>
        <w:rPr>
          <w:rFonts w:hint="eastAsia" w:ascii="宋体" w:hAnsi="宋体" w:cs="宋体"/>
          <w:b/>
          <w:bCs/>
          <w:sz w:val="24"/>
          <w:szCs w:val="24"/>
          <w:highlight w:val="none"/>
        </w:rPr>
        <w:t>（一）</w:t>
      </w:r>
      <w:bookmarkEnd w:id="74"/>
      <w:r>
        <w:rPr>
          <w:rFonts w:hint="eastAsia" w:ascii="宋体" w:hAnsi="宋体" w:cs="宋体"/>
          <w:b/>
          <w:bCs/>
          <w:sz w:val="24"/>
          <w:szCs w:val="24"/>
          <w:highlight w:val="none"/>
        </w:rPr>
        <w:t>修复项目管护能力建设</w:t>
      </w:r>
    </w:p>
    <w:p w14:paraId="1DFC4571">
      <w:pPr>
        <w:rPr>
          <w:highlight w:val="none"/>
        </w:rPr>
      </w:pPr>
    </w:p>
    <w:p w14:paraId="29DECBA5">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1、合同期满后，投标人对所投服务提供5年的技术服务响应，48小时内维修工程师到达维修现场。</w:t>
      </w:r>
    </w:p>
    <w:p w14:paraId="2BB17B81">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2、由投标人为用户提供现场技术培训并培训3至5名操作人员，涵盖产品</w:t>
      </w:r>
      <w:bookmarkStart w:id="75" w:name="OLE_LINK35"/>
      <w:r>
        <w:rPr>
          <w:rFonts w:hint="eastAsia" w:ascii="宋体" w:hAnsi="宋体" w:cs="宋体"/>
          <w:sz w:val="24"/>
          <w:szCs w:val="24"/>
          <w:highlight w:val="none"/>
        </w:rPr>
        <w:t>的原理、操作、维护、维修和保养等相关培训；投标人为用户提供产品终身技术服务。</w:t>
      </w:r>
    </w:p>
    <w:bookmarkEnd w:id="75"/>
    <w:p w14:paraId="758450AE">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3、在任何时候，投标人均不能免除因产品本身的缺陷所应付的责任。</w:t>
      </w:r>
    </w:p>
    <w:p w14:paraId="6BBE03A0">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4、所投服务的产品在保修期内，如非人为原因而出现的产品质量问题，维修二次后仍然有故障，则应无条件更换同品牌、同型号的新设备或作退货处理。</w:t>
      </w:r>
    </w:p>
    <w:p w14:paraId="2A9D6030">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5、保修期过后，维修只收成本费，维修人员的食宿、交通费自理。</w:t>
      </w:r>
    </w:p>
    <w:p w14:paraId="05805FC4">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6、所投服务用到的产品应是全新的(包括所有零配件、专用工具等)，表面无划伤，无碰撞，各项技术指标完全符合国家计量检测标准；并提供零配件、易损件、耗材等日常维护必须品价目表。</w:t>
      </w:r>
    </w:p>
    <w:p w14:paraId="3859CF03">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7、投标人须提供所服务使用的产品生产厂家服务机构情况，包括地址、联系方式及技术人员数量等。</w:t>
      </w:r>
    </w:p>
    <w:p w14:paraId="2D959F47">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8、提供定期对设备校正的服务；供应商提供的货物必须符合中华人民共和国有关环保和安全要求以及检测标准、规范，并通过制造商所在国及中华人民共和国相关强制认证。</w:t>
      </w:r>
    </w:p>
    <w:p w14:paraId="382C1ECC">
      <w:pPr>
        <w:autoSpaceDE w:val="0"/>
        <w:autoSpaceDN w:val="0"/>
        <w:adjustRightInd w:val="0"/>
        <w:spacing w:line="360" w:lineRule="auto"/>
        <w:ind w:firstLine="482" w:firstLineChars="200"/>
        <w:jc w:val="left"/>
        <w:rPr>
          <w:rFonts w:ascii="宋体" w:hAnsi="宋体" w:cs="宋体"/>
          <w:b/>
          <w:bCs/>
          <w:sz w:val="24"/>
          <w:szCs w:val="24"/>
          <w:highlight w:val="none"/>
        </w:rPr>
      </w:pPr>
      <w:bookmarkStart w:id="76" w:name="OLE_LINK31"/>
      <w:r>
        <w:rPr>
          <w:rFonts w:hint="eastAsia" w:ascii="宋体" w:hAnsi="宋体" w:cs="宋体"/>
          <w:b/>
          <w:bCs/>
          <w:sz w:val="24"/>
          <w:szCs w:val="24"/>
          <w:highlight w:val="none"/>
        </w:rPr>
        <w:t>（二）浒苔处置监测预报服务</w:t>
      </w:r>
      <w:bookmarkEnd w:id="76"/>
      <w:r>
        <w:rPr>
          <w:rFonts w:hint="eastAsia" w:ascii="宋体" w:hAnsi="宋体" w:cs="宋体"/>
          <w:b/>
          <w:bCs/>
          <w:sz w:val="24"/>
          <w:szCs w:val="24"/>
          <w:highlight w:val="none"/>
        </w:rPr>
        <w:t xml:space="preserve">   </w:t>
      </w:r>
    </w:p>
    <w:p w14:paraId="6D2C57F2">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浒苔处置监测预报服务主要通过监测及预报手段确定浒苔可能爆发时间、浒苔爆发范围、浒苔爆发程度，支撑浒苔清理打捞、处置方案的设计及变更，浒苔清理打捞包括深水浒苔船舶拖网打捞、浅滩浒苔人工清理两部分。</w:t>
      </w:r>
    </w:p>
    <w:p w14:paraId="59250085">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每年在浒苔适宜生长的月份，对海面漂浮浒苔进行实时的监控是至关重要的，这能使我们随时掌握浒苔生长的大体情况。一旦浒苔有爆发式增长的趋势，能够及时采取应急措施。</w:t>
      </w:r>
    </w:p>
    <w:p w14:paraId="07C57E7F">
      <w:pPr>
        <w:autoSpaceDE w:val="0"/>
        <w:autoSpaceDN w:val="0"/>
        <w:adjustRightInd w:val="0"/>
        <w:spacing w:line="360" w:lineRule="auto"/>
        <w:ind w:firstLine="480" w:firstLineChars="200"/>
        <w:jc w:val="left"/>
        <w:rPr>
          <w:rFonts w:ascii="宋体" w:hAnsi="宋体" w:cs="宋体"/>
          <w:sz w:val="24"/>
          <w:szCs w:val="24"/>
          <w:highlight w:val="none"/>
        </w:rPr>
      </w:pPr>
      <w:r>
        <w:rPr>
          <w:rFonts w:hint="eastAsia" w:ascii="宋体" w:hAnsi="宋体"/>
          <w:sz w:val="24"/>
          <w:highlight w:val="none"/>
        </w:rPr>
        <w:t>本工程通过一系列监测方法，对月亮湾综合治理范围内的水体情况进行实时掌握；从生境指标、生物指标、生态指标以及威胁因素四个方面监测要素,全面分析月亮湾生态系统组分结构、演替过程及服务功能变化，以更好地反映生态系统演变趋势，从而对浒苔的生长条件、生长情况、生长速度以及可能在何时何地登陆海滩进行预测，为浒苔防治、海洋生态监测预警提供数据支撑，为营口海洋生态修复项目建设管理提供智慧支撑，为科学有效的部署浒苔打捞措施提供充分依据。</w:t>
      </w:r>
    </w:p>
    <w:p w14:paraId="0DF4EFA7">
      <w:pPr>
        <w:rPr>
          <w:highlight w:val="none"/>
        </w:rPr>
      </w:pPr>
    </w:p>
    <w:p w14:paraId="6FBE871B">
      <w:pPr>
        <w:spacing w:line="360" w:lineRule="auto"/>
        <w:rPr>
          <w:rFonts w:ascii="宋体" w:hAnsi="宋体"/>
          <w:b/>
          <w:bCs/>
          <w:sz w:val="24"/>
          <w:highlight w:val="none"/>
        </w:rPr>
      </w:pPr>
      <w:r>
        <w:rPr>
          <w:rFonts w:hint="eastAsia" w:ascii="宋体" w:hAnsi="宋体"/>
          <w:b/>
          <w:bCs/>
          <w:sz w:val="24"/>
          <w:highlight w:val="none"/>
        </w:rPr>
        <w:t>五、技术标准要求</w:t>
      </w:r>
    </w:p>
    <w:p w14:paraId="4BB73D07">
      <w:pPr>
        <w:pStyle w:val="4"/>
        <w:rPr>
          <w:rFonts w:ascii="宋体" w:hAnsi="宋体"/>
          <w:highlight w:val="none"/>
        </w:rPr>
      </w:pPr>
      <w:bookmarkStart w:id="77" w:name="_Toc27306"/>
      <w:r>
        <w:rPr>
          <w:rFonts w:hint="eastAsia" w:ascii="微软雅黑" w:hAnsi="微软雅黑" w:eastAsia="微软雅黑" w:cs="微软雅黑"/>
          <w:highlight w:val="none"/>
        </w:rPr>
        <w:t>Ⅰ</w:t>
      </w:r>
      <w:r>
        <w:rPr>
          <w:rFonts w:hint="eastAsia"/>
          <w:highlight w:val="none"/>
        </w:rPr>
        <w:t>、修复项目管护能力建设</w:t>
      </w:r>
      <w:bookmarkEnd w:id="77"/>
    </w:p>
    <w:p w14:paraId="09F9D98C">
      <w:pPr>
        <w:pStyle w:val="2"/>
        <w:rPr>
          <w:rFonts w:ascii="宋体" w:hAnsi="宋体" w:cs="宋体"/>
          <w:highlight w:val="none"/>
        </w:rPr>
      </w:pPr>
    </w:p>
    <w:p w14:paraId="71E3BA93">
      <w:pPr>
        <w:pStyle w:val="4"/>
        <w:keepNext w:val="0"/>
        <w:keepLines w:val="0"/>
        <w:adjustRightInd w:val="0"/>
        <w:snapToGrid w:val="0"/>
        <w:textAlignment w:val="baseline"/>
        <w:rPr>
          <w:rFonts w:ascii="Times New Roman"/>
          <w:bCs w:val="0"/>
          <w:sz w:val="28"/>
          <w:szCs w:val="28"/>
          <w:highlight w:val="none"/>
        </w:rPr>
      </w:pPr>
      <w:bookmarkStart w:id="78" w:name="_Toc16479"/>
      <w:bookmarkStart w:id="79" w:name="_Toc2317"/>
      <w:r>
        <w:rPr>
          <w:rFonts w:hint="eastAsia" w:ascii="Times New Roman"/>
          <w:bCs w:val="0"/>
          <w:sz w:val="28"/>
          <w:szCs w:val="28"/>
          <w:highlight w:val="none"/>
        </w:rPr>
        <w:t>1.大辽河口长效能力建设</w:t>
      </w:r>
      <w:bookmarkEnd w:id="78"/>
      <w:bookmarkEnd w:id="79"/>
    </w:p>
    <w:tbl>
      <w:tblPr>
        <w:tblStyle w:val="52"/>
        <w:tblW w:w="8897" w:type="dxa"/>
        <w:tblInd w:w="6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3"/>
        <w:gridCol w:w="4549"/>
        <w:gridCol w:w="1686"/>
        <w:gridCol w:w="1599"/>
      </w:tblGrid>
      <w:tr w14:paraId="0E454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1" w:hRule="atLeast"/>
        </w:trPr>
        <w:tc>
          <w:tcPr>
            <w:tcW w:w="1063" w:type="dxa"/>
            <w:vAlign w:val="center"/>
          </w:tcPr>
          <w:p w14:paraId="7B55315E">
            <w:pPr>
              <w:pStyle w:val="53"/>
              <w:spacing w:before="61" w:line="231" w:lineRule="auto"/>
              <w:jc w:val="center"/>
              <w:rPr>
                <w:sz w:val="24"/>
                <w:szCs w:val="24"/>
                <w:highlight w:val="none"/>
              </w:rPr>
            </w:pPr>
            <w:r>
              <w:rPr>
                <w:b/>
                <w:bCs/>
                <w:spacing w:val="5"/>
                <w:sz w:val="24"/>
                <w:szCs w:val="24"/>
                <w:highlight w:val="none"/>
              </w:rPr>
              <w:t>序号</w:t>
            </w:r>
          </w:p>
        </w:tc>
        <w:tc>
          <w:tcPr>
            <w:tcW w:w="4549" w:type="dxa"/>
            <w:vAlign w:val="center"/>
          </w:tcPr>
          <w:p w14:paraId="29DEB3F0">
            <w:pPr>
              <w:pStyle w:val="53"/>
              <w:spacing w:before="62" w:line="231" w:lineRule="auto"/>
              <w:jc w:val="center"/>
              <w:rPr>
                <w:sz w:val="24"/>
                <w:szCs w:val="24"/>
                <w:highlight w:val="none"/>
                <w:lang w:eastAsia="zh-CN"/>
              </w:rPr>
            </w:pPr>
            <w:r>
              <w:rPr>
                <w:rFonts w:hint="eastAsia"/>
                <w:sz w:val="24"/>
                <w:szCs w:val="24"/>
                <w:highlight w:val="none"/>
                <w:lang w:eastAsia="zh-CN"/>
              </w:rPr>
              <w:t>货物名称</w:t>
            </w:r>
          </w:p>
        </w:tc>
        <w:tc>
          <w:tcPr>
            <w:tcW w:w="1686" w:type="dxa"/>
            <w:vAlign w:val="center"/>
          </w:tcPr>
          <w:p w14:paraId="2CB7B0A8">
            <w:pPr>
              <w:pStyle w:val="53"/>
              <w:spacing w:before="62" w:line="231" w:lineRule="auto"/>
              <w:jc w:val="center"/>
              <w:rPr>
                <w:sz w:val="24"/>
                <w:szCs w:val="24"/>
                <w:highlight w:val="none"/>
              </w:rPr>
            </w:pPr>
            <w:r>
              <w:rPr>
                <w:b/>
                <w:bCs/>
                <w:spacing w:val="4"/>
                <w:sz w:val="24"/>
                <w:szCs w:val="24"/>
                <w:highlight w:val="none"/>
              </w:rPr>
              <w:t>单位</w:t>
            </w:r>
          </w:p>
        </w:tc>
        <w:tc>
          <w:tcPr>
            <w:tcW w:w="1599" w:type="dxa"/>
            <w:vAlign w:val="center"/>
          </w:tcPr>
          <w:p w14:paraId="670E924A">
            <w:pPr>
              <w:pStyle w:val="53"/>
              <w:spacing w:before="62" w:line="231" w:lineRule="auto"/>
              <w:jc w:val="center"/>
              <w:rPr>
                <w:sz w:val="24"/>
                <w:szCs w:val="24"/>
                <w:highlight w:val="none"/>
                <w:lang w:eastAsia="zh-CN"/>
              </w:rPr>
            </w:pPr>
            <w:r>
              <w:rPr>
                <w:rFonts w:hint="eastAsia"/>
                <w:b/>
                <w:bCs/>
                <w:spacing w:val="6"/>
                <w:sz w:val="24"/>
                <w:szCs w:val="24"/>
                <w:highlight w:val="none"/>
                <w:lang w:eastAsia="zh-CN"/>
              </w:rPr>
              <w:t>数量</w:t>
            </w:r>
          </w:p>
        </w:tc>
      </w:tr>
      <w:tr w14:paraId="0F986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atLeast"/>
        </w:trPr>
        <w:tc>
          <w:tcPr>
            <w:tcW w:w="1063" w:type="dxa"/>
            <w:vAlign w:val="center"/>
          </w:tcPr>
          <w:p w14:paraId="7514BF8D">
            <w:pPr>
              <w:pStyle w:val="53"/>
              <w:spacing w:before="153" w:line="190" w:lineRule="auto"/>
              <w:jc w:val="center"/>
              <w:rPr>
                <w:sz w:val="24"/>
                <w:szCs w:val="24"/>
                <w:highlight w:val="none"/>
              </w:rPr>
            </w:pPr>
            <w:r>
              <w:rPr>
                <w:sz w:val="24"/>
                <w:szCs w:val="24"/>
                <w:highlight w:val="none"/>
              </w:rPr>
              <w:t>1</w:t>
            </w:r>
          </w:p>
        </w:tc>
        <w:tc>
          <w:tcPr>
            <w:tcW w:w="4549" w:type="dxa"/>
            <w:vAlign w:val="center"/>
          </w:tcPr>
          <w:p w14:paraId="27B6473C">
            <w:pPr>
              <w:pStyle w:val="53"/>
              <w:spacing w:before="122" w:line="230" w:lineRule="auto"/>
              <w:jc w:val="center"/>
              <w:rPr>
                <w:sz w:val="24"/>
                <w:szCs w:val="24"/>
                <w:highlight w:val="none"/>
              </w:rPr>
            </w:pPr>
            <w:r>
              <w:rPr>
                <w:spacing w:val="9"/>
                <w:sz w:val="24"/>
                <w:szCs w:val="24"/>
                <w:highlight w:val="none"/>
              </w:rPr>
              <w:t>海基水动力监测系统</w:t>
            </w:r>
          </w:p>
        </w:tc>
        <w:tc>
          <w:tcPr>
            <w:tcW w:w="1686" w:type="dxa"/>
            <w:vAlign w:val="center"/>
          </w:tcPr>
          <w:p w14:paraId="2A84A873">
            <w:pPr>
              <w:pStyle w:val="53"/>
              <w:spacing w:before="122" w:line="231" w:lineRule="auto"/>
              <w:jc w:val="center"/>
              <w:rPr>
                <w:sz w:val="24"/>
                <w:szCs w:val="24"/>
                <w:highlight w:val="none"/>
              </w:rPr>
            </w:pPr>
            <w:r>
              <w:rPr>
                <w:spacing w:val="1"/>
                <w:sz w:val="24"/>
                <w:szCs w:val="24"/>
                <w:highlight w:val="none"/>
              </w:rPr>
              <w:t>套</w:t>
            </w:r>
          </w:p>
        </w:tc>
        <w:tc>
          <w:tcPr>
            <w:tcW w:w="1599" w:type="dxa"/>
            <w:vAlign w:val="center"/>
          </w:tcPr>
          <w:p w14:paraId="58603056">
            <w:pPr>
              <w:pStyle w:val="53"/>
              <w:spacing w:before="153" w:line="190" w:lineRule="auto"/>
              <w:jc w:val="center"/>
              <w:rPr>
                <w:sz w:val="24"/>
                <w:szCs w:val="24"/>
                <w:highlight w:val="none"/>
              </w:rPr>
            </w:pPr>
            <w:r>
              <w:rPr>
                <w:sz w:val="24"/>
                <w:szCs w:val="24"/>
                <w:highlight w:val="none"/>
              </w:rPr>
              <w:t>1</w:t>
            </w:r>
          </w:p>
        </w:tc>
      </w:tr>
      <w:tr w14:paraId="2B375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trPr>
        <w:tc>
          <w:tcPr>
            <w:tcW w:w="1063" w:type="dxa"/>
            <w:vAlign w:val="center"/>
          </w:tcPr>
          <w:p w14:paraId="6AF017D9">
            <w:pPr>
              <w:pStyle w:val="53"/>
              <w:spacing w:before="156" w:line="190" w:lineRule="auto"/>
              <w:jc w:val="center"/>
              <w:rPr>
                <w:sz w:val="24"/>
                <w:szCs w:val="24"/>
                <w:highlight w:val="none"/>
              </w:rPr>
            </w:pPr>
            <w:r>
              <w:rPr>
                <w:sz w:val="24"/>
                <w:szCs w:val="24"/>
                <w:highlight w:val="none"/>
              </w:rPr>
              <w:t>2</w:t>
            </w:r>
          </w:p>
        </w:tc>
        <w:tc>
          <w:tcPr>
            <w:tcW w:w="4549" w:type="dxa"/>
            <w:vAlign w:val="center"/>
          </w:tcPr>
          <w:p w14:paraId="42C1DF31">
            <w:pPr>
              <w:pStyle w:val="53"/>
              <w:spacing w:before="124" w:line="230" w:lineRule="auto"/>
              <w:jc w:val="center"/>
              <w:rPr>
                <w:sz w:val="24"/>
                <w:szCs w:val="24"/>
                <w:highlight w:val="none"/>
              </w:rPr>
            </w:pPr>
            <w:r>
              <w:rPr>
                <w:spacing w:val="9"/>
                <w:sz w:val="24"/>
                <w:szCs w:val="24"/>
                <w:highlight w:val="none"/>
              </w:rPr>
              <w:t>岸基水动力监测系统</w:t>
            </w:r>
          </w:p>
        </w:tc>
        <w:tc>
          <w:tcPr>
            <w:tcW w:w="1686" w:type="dxa"/>
            <w:vAlign w:val="center"/>
          </w:tcPr>
          <w:p w14:paraId="2C787645">
            <w:pPr>
              <w:pStyle w:val="53"/>
              <w:spacing w:before="124" w:line="231" w:lineRule="auto"/>
              <w:jc w:val="center"/>
              <w:rPr>
                <w:sz w:val="24"/>
                <w:szCs w:val="24"/>
                <w:highlight w:val="none"/>
              </w:rPr>
            </w:pPr>
            <w:r>
              <w:rPr>
                <w:spacing w:val="1"/>
                <w:sz w:val="24"/>
                <w:szCs w:val="24"/>
                <w:highlight w:val="none"/>
              </w:rPr>
              <w:t>套</w:t>
            </w:r>
          </w:p>
        </w:tc>
        <w:tc>
          <w:tcPr>
            <w:tcW w:w="1599" w:type="dxa"/>
            <w:vAlign w:val="center"/>
          </w:tcPr>
          <w:p w14:paraId="5AECF364">
            <w:pPr>
              <w:pStyle w:val="53"/>
              <w:spacing w:before="156" w:line="190" w:lineRule="auto"/>
              <w:jc w:val="center"/>
              <w:rPr>
                <w:sz w:val="24"/>
                <w:szCs w:val="24"/>
                <w:highlight w:val="none"/>
              </w:rPr>
            </w:pPr>
            <w:r>
              <w:rPr>
                <w:sz w:val="24"/>
                <w:szCs w:val="24"/>
                <w:highlight w:val="none"/>
              </w:rPr>
              <w:t>1</w:t>
            </w:r>
          </w:p>
        </w:tc>
      </w:tr>
      <w:tr w14:paraId="78742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trPr>
        <w:tc>
          <w:tcPr>
            <w:tcW w:w="1063" w:type="dxa"/>
            <w:vAlign w:val="center"/>
          </w:tcPr>
          <w:p w14:paraId="4A252542">
            <w:pPr>
              <w:pStyle w:val="53"/>
              <w:spacing w:before="156" w:line="190" w:lineRule="auto"/>
              <w:jc w:val="center"/>
              <w:rPr>
                <w:sz w:val="24"/>
                <w:szCs w:val="24"/>
                <w:highlight w:val="none"/>
              </w:rPr>
            </w:pPr>
            <w:r>
              <w:rPr>
                <w:sz w:val="24"/>
                <w:szCs w:val="24"/>
                <w:highlight w:val="none"/>
              </w:rPr>
              <w:t>3</w:t>
            </w:r>
          </w:p>
        </w:tc>
        <w:tc>
          <w:tcPr>
            <w:tcW w:w="4549" w:type="dxa"/>
            <w:vAlign w:val="center"/>
          </w:tcPr>
          <w:p w14:paraId="07273673">
            <w:pPr>
              <w:pStyle w:val="53"/>
              <w:spacing w:before="124" w:line="230" w:lineRule="auto"/>
              <w:jc w:val="center"/>
              <w:rPr>
                <w:sz w:val="24"/>
                <w:szCs w:val="24"/>
                <w:highlight w:val="none"/>
              </w:rPr>
            </w:pPr>
            <w:r>
              <w:rPr>
                <w:spacing w:val="9"/>
                <w:sz w:val="24"/>
                <w:szCs w:val="24"/>
                <w:highlight w:val="none"/>
              </w:rPr>
              <w:t>岸基水质监测系统</w:t>
            </w:r>
          </w:p>
        </w:tc>
        <w:tc>
          <w:tcPr>
            <w:tcW w:w="1686" w:type="dxa"/>
            <w:vAlign w:val="center"/>
          </w:tcPr>
          <w:p w14:paraId="43F9FB22">
            <w:pPr>
              <w:pStyle w:val="53"/>
              <w:spacing w:before="124" w:line="231" w:lineRule="auto"/>
              <w:jc w:val="center"/>
              <w:rPr>
                <w:sz w:val="24"/>
                <w:szCs w:val="24"/>
                <w:highlight w:val="none"/>
              </w:rPr>
            </w:pPr>
            <w:r>
              <w:rPr>
                <w:spacing w:val="1"/>
                <w:sz w:val="24"/>
                <w:szCs w:val="24"/>
                <w:highlight w:val="none"/>
              </w:rPr>
              <w:t>套</w:t>
            </w:r>
          </w:p>
        </w:tc>
        <w:tc>
          <w:tcPr>
            <w:tcW w:w="1599" w:type="dxa"/>
            <w:vAlign w:val="center"/>
          </w:tcPr>
          <w:p w14:paraId="726D95AD">
            <w:pPr>
              <w:pStyle w:val="53"/>
              <w:spacing w:before="156" w:line="190" w:lineRule="auto"/>
              <w:jc w:val="center"/>
              <w:rPr>
                <w:sz w:val="24"/>
                <w:szCs w:val="24"/>
                <w:highlight w:val="none"/>
              </w:rPr>
            </w:pPr>
            <w:r>
              <w:rPr>
                <w:sz w:val="24"/>
                <w:szCs w:val="24"/>
                <w:highlight w:val="none"/>
              </w:rPr>
              <w:t>1</w:t>
            </w:r>
          </w:p>
        </w:tc>
      </w:tr>
      <w:tr w14:paraId="1B1D4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1063" w:type="dxa"/>
            <w:vAlign w:val="center"/>
          </w:tcPr>
          <w:p w14:paraId="322F9C23">
            <w:pPr>
              <w:pStyle w:val="53"/>
              <w:spacing w:before="157" w:line="190" w:lineRule="auto"/>
              <w:jc w:val="center"/>
              <w:rPr>
                <w:sz w:val="24"/>
                <w:szCs w:val="24"/>
                <w:highlight w:val="none"/>
              </w:rPr>
            </w:pPr>
            <w:r>
              <w:rPr>
                <w:sz w:val="24"/>
                <w:szCs w:val="24"/>
                <w:highlight w:val="none"/>
              </w:rPr>
              <w:t>4</w:t>
            </w:r>
          </w:p>
        </w:tc>
        <w:tc>
          <w:tcPr>
            <w:tcW w:w="4549" w:type="dxa"/>
            <w:vAlign w:val="center"/>
          </w:tcPr>
          <w:p w14:paraId="2EA75DEC">
            <w:pPr>
              <w:pStyle w:val="53"/>
              <w:spacing w:before="126" w:line="230" w:lineRule="auto"/>
              <w:jc w:val="center"/>
              <w:rPr>
                <w:sz w:val="24"/>
                <w:szCs w:val="24"/>
                <w:highlight w:val="none"/>
              </w:rPr>
            </w:pPr>
            <w:r>
              <w:rPr>
                <w:spacing w:val="8"/>
                <w:sz w:val="24"/>
                <w:szCs w:val="24"/>
                <w:highlight w:val="none"/>
              </w:rPr>
              <w:t>生态数字影像站</w:t>
            </w:r>
          </w:p>
        </w:tc>
        <w:tc>
          <w:tcPr>
            <w:tcW w:w="1686" w:type="dxa"/>
            <w:vAlign w:val="center"/>
          </w:tcPr>
          <w:p w14:paraId="2BB68AF8">
            <w:pPr>
              <w:pStyle w:val="53"/>
              <w:spacing w:before="125" w:line="231" w:lineRule="auto"/>
              <w:jc w:val="center"/>
              <w:rPr>
                <w:sz w:val="24"/>
                <w:szCs w:val="24"/>
                <w:highlight w:val="none"/>
              </w:rPr>
            </w:pPr>
            <w:r>
              <w:rPr>
                <w:spacing w:val="1"/>
                <w:sz w:val="24"/>
                <w:szCs w:val="24"/>
                <w:highlight w:val="none"/>
              </w:rPr>
              <w:t>套</w:t>
            </w:r>
          </w:p>
        </w:tc>
        <w:tc>
          <w:tcPr>
            <w:tcW w:w="1599" w:type="dxa"/>
            <w:vAlign w:val="center"/>
          </w:tcPr>
          <w:p w14:paraId="0AED0462">
            <w:pPr>
              <w:pStyle w:val="53"/>
              <w:spacing w:before="157" w:line="190" w:lineRule="auto"/>
              <w:jc w:val="center"/>
              <w:rPr>
                <w:sz w:val="24"/>
                <w:szCs w:val="24"/>
                <w:highlight w:val="none"/>
              </w:rPr>
            </w:pPr>
            <w:r>
              <w:rPr>
                <w:sz w:val="24"/>
                <w:szCs w:val="24"/>
                <w:highlight w:val="none"/>
              </w:rPr>
              <w:t>6</w:t>
            </w:r>
          </w:p>
        </w:tc>
      </w:tr>
    </w:tbl>
    <w:p w14:paraId="78543656">
      <w:pPr>
        <w:adjustRightInd w:val="0"/>
        <w:snapToGrid w:val="0"/>
        <w:spacing w:line="360" w:lineRule="auto"/>
        <w:ind w:firstLine="480" w:firstLineChars="200"/>
        <w:rPr>
          <w:rFonts w:ascii="宋体" w:hAnsi="宋体" w:cs="宋体"/>
          <w:sz w:val="24"/>
          <w:szCs w:val="24"/>
          <w:highlight w:val="none"/>
        </w:rPr>
      </w:pPr>
    </w:p>
    <w:p w14:paraId="635136EE">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大辽河口修复区域开展了植被种植、微地形改造、湿地监测、生态海堤改造等工作，针对河口水动力条件复杂、河流污染输入大等因素，拟开展海基水动力监测系统、岸基水动力监测系统、岸基水质监测系统及</w:t>
      </w:r>
      <w:r>
        <w:rPr>
          <w:rFonts w:hint="eastAsia" w:ascii="宋体" w:hAnsi="宋体"/>
          <w:sz w:val="24"/>
          <w:highlight w:val="none"/>
        </w:rPr>
        <w:t>生态数字影像</w:t>
      </w:r>
      <w:r>
        <w:rPr>
          <w:rFonts w:hint="eastAsia" w:ascii="宋体" w:hAnsi="宋体" w:cs="宋体"/>
          <w:sz w:val="24"/>
          <w:szCs w:val="24"/>
          <w:highlight w:val="none"/>
        </w:rPr>
        <w:t>系统建设，主要评估大辽河口的水动力变化，统计河流入海的污染物总量，评估植被生态恢复效果。</w:t>
      </w:r>
    </w:p>
    <w:p w14:paraId="2138F72E">
      <w:pPr>
        <w:adjustRightInd w:val="0"/>
        <w:snapToGrid w:val="0"/>
        <w:spacing w:line="360" w:lineRule="auto"/>
        <w:ind w:left="723" w:hanging="723" w:hangingChars="300"/>
        <w:outlineLvl w:val="2"/>
        <w:rPr>
          <w:rFonts w:ascii="宋体" w:hAnsi="宋体"/>
          <w:b/>
          <w:bCs/>
          <w:spacing w:val="6"/>
          <w:kern w:val="0"/>
          <w:sz w:val="24"/>
          <w:szCs w:val="24"/>
          <w:highlight w:val="none"/>
        </w:rPr>
      </w:pPr>
      <w:bookmarkStart w:id="80" w:name="_Toc11904"/>
      <w:bookmarkStart w:id="81" w:name="_Toc8838"/>
      <w:r>
        <w:rPr>
          <w:rFonts w:hint="eastAsia" w:ascii="宋体" w:hAnsi="宋体"/>
          <w:b/>
          <w:bCs/>
          <w:sz w:val="24"/>
          <w:szCs w:val="24"/>
          <w:highlight w:val="none"/>
        </w:rPr>
        <w:t>（一）</w:t>
      </w:r>
      <w:r>
        <w:rPr>
          <w:rFonts w:hint="eastAsia" w:ascii="宋体" w:hAnsi="宋体"/>
          <w:b/>
          <w:bCs/>
          <w:sz w:val="24"/>
          <w:highlight w:val="none"/>
        </w:rPr>
        <w:t>海基水动力监测系统</w:t>
      </w:r>
      <w:bookmarkEnd w:id="80"/>
      <w:bookmarkEnd w:id="81"/>
    </w:p>
    <w:p w14:paraId="638972FD">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海基水动力监测系统主要通过采用离岸式的海床基搭配水面浮标来实现水动力的综合观测。其中海床基主要搭载传感器为ADCP和压力式潮位仪，水面浮标搭载传感器为加速度波浪仪，通过两个层面的仪器，实时获取大辽河口典型时间段内的水文特征（剖面流速流向，波高/波向/波周期，潮位），拟于河口植被生长关键时间及河流汛期，每年在河口外布置连续3个月左右时间，计划于项目实施后的管护期内布置，连续布置时间为5年，以保证生态修复效果。</w:t>
      </w:r>
    </w:p>
    <w:p w14:paraId="06982B73">
      <w:pPr>
        <w:spacing w:line="360" w:lineRule="auto"/>
        <w:ind w:firstLine="480" w:firstLineChars="200"/>
        <w:rPr>
          <w:rFonts w:ascii="宋体" w:hAnsi="宋体"/>
          <w:color w:val="000000"/>
          <w:sz w:val="24"/>
          <w:highlight w:val="none"/>
        </w:rPr>
      </w:pPr>
      <w:r>
        <w:rPr>
          <w:rFonts w:hint="eastAsia" w:ascii="宋体" w:hAnsi="宋体" w:cs="宋体"/>
          <w:sz w:val="24"/>
          <w:szCs w:val="24"/>
          <w:highlight w:val="none"/>
        </w:rPr>
        <w:t>海基水动力监测系统</w:t>
      </w:r>
      <w:r>
        <w:rPr>
          <w:rFonts w:hint="eastAsia" w:ascii="宋体" w:hAnsi="宋体"/>
          <w:color w:val="000000"/>
          <w:sz w:val="24"/>
          <w:highlight w:val="none"/>
        </w:rPr>
        <w:t>整体组成主要包括海床基监测系统和标记浮标系统两个部分。各部分的具体组成如下：</w:t>
      </w:r>
    </w:p>
    <w:p w14:paraId="3BAB64F5">
      <w:pPr>
        <w:snapToGrid w:val="0"/>
        <w:spacing w:line="360" w:lineRule="auto"/>
        <w:rPr>
          <w:rFonts w:ascii="宋体" w:hAnsi="宋体"/>
          <w:color w:val="000000"/>
          <w:sz w:val="24"/>
          <w:highlight w:val="none"/>
        </w:rPr>
      </w:pPr>
      <w:r>
        <w:rPr>
          <w:rFonts w:hint="eastAsia" w:ascii="宋体" w:hAnsi="宋体"/>
          <w:color w:val="000000"/>
          <w:sz w:val="24"/>
          <w:highlight w:val="none"/>
        </w:rPr>
        <w:t>（1）海床基监测系统</w:t>
      </w:r>
    </w:p>
    <w:p w14:paraId="7F2D8F32">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1）水下集成安装平台：包括浮体、仪器舱、配重支撑架等，是各种仪器设备的工作平台；</w:t>
      </w:r>
    </w:p>
    <w:p w14:paraId="6622448F">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2）测量仪器：包括声学多普勒海流剖面仪（ADCP）、压力式潮位仪；</w:t>
      </w:r>
    </w:p>
    <w:p w14:paraId="11E29E15">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3）系统设备</w:t>
      </w:r>
    </w:p>
    <w:p w14:paraId="2CF7273E">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a）中央控制机：水下系统的控制中枢，负责数据采集、存储、电源分配、通讯控制等；</w:t>
      </w:r>
    </w:p>
    <w:p w14:paraId="1CD1E6A3">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b）电池舱：为各种水下测量仪器提供长期工作的电源；</w:t>
      </w:r>
    </w:p>
    <w:p w14:paraId="35BC82A8">
      <w:pPr>
        <w:snapToGrid w:val="0"/>
        <w:spacing w:line="360" w:lineRule="auto"/>
        <w:rPr>
          <w:rFonts w:ascii="宋体" w:hAnsi="宋体"/>
          <w:color w:val="000000"/>
          <w:sz w:val="24"/>
          <w:highlight w:val="none"/>
        </w:rPr>
      </w:pPr>
      <w:r>
        <w:rPr>
          <w:rFonts w:hint="eastAsia" w:ascii="宋体" w:hAnsi="宋体"/>
          <w:color w:val="000000"/>
          <w:sz w:val="24"/>
          <w:highlight w:val="none"/>
        </w:rPr>
        <w:t>（2）标记浮标</w:t>
      </w:r>
    </w:p>
    <w:p w14:paraId="1517AEE5">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1）浮标体及锚系：各水面设备的工作平台；</w:t>
      </w:r>
    </w:p>
    <w:p w14:paraId="7A9AD210">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2）浮标控制系统：控制各种浮标设备的工作状态；</w:t>
      </w:r>
    </w:p>
    <w:p w14:paraId="520B9E9D">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3）无线通讯模块：利用移动通讯网络实现与地面站之间的通讯；</w:t>
      </w:r>
    </w:p>
    <w:p w14:paraId="48B83FBB">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4）锚灯：在夜晚标示浮标的位置，以免船只碰撞；</w:t>
      </w:r>
    </w:p>
    <w:p w14:paraId="4EA6E2AE">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5）GPS模块：获取浮标的位置坐标；</w:t>
      </w:r>
    </w:p>
    <w:p w14:paraId="4A2D0843">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6）加速度波浪仪：测量波高、波向、波周期；</w:t>
      </w:r>
    </w:p>
    <w:p w14:paraId="05BBD289">
      <w:pPr>
        <w:snapToGrid w:val="0"/>
        <w:spacing w:line="360" w:lineRule="auto"/>
        <w:ind w:firstLine="600" w:firstLineChars="250"/>
        <w:rPr>
          <w:rFonts w:ascii="宋体" w:hAnsi="宋体"/>
          <w:color w:val="000000"/>
          <w:sz w:val="24"/>
          <w:highlight w:val="none"/>
        </w:rPr>
      </w:pPr>
      <w:r>
        <w:rPr>
          <w:rFonts w:hint="eastAsia" w:ascii="宋体" w:hAnsi="宋体"/>
          <w:color w:val="000000"/>
          <w:sz w:val="24"/>
          <w:highlight w:val="none"/>
        </w:rPr>
        <w:t>7）电池：为浮标上的各种设备提供电源；</w:t>
      </w:r>
    </w:p>
    <w:p w14:paraId="4AF9BB85">
      <w:pPr>
        <w:pStyle w:val="54"/>
        <w:spacing w:line="360" w:lineRule="auto"/>
        <w:jc w:val="center"/>
        <w:rPr>
          <w:highlight w:val="none"/>
        </w:rPr>
      </w:pPr>
      <w:r>
        <w:rPr>
          <w:highlight w:val="none"/>
        </w:rPr>
        <w:drawing>
          <wp:inline distT="0" distB="0" distL="114300" distR="114300">
            <wp:extent cx="5307330" cy="2656205"/>
            <wp:effectExtent l="0" t="0" r="7620" b="1079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cstate="print"/>
                    <a:stretch>
                      <a:fillRect/>
                    </a:stretch>
                  </pic:blipFill>
                  <pic:spPr>
                    <a:xfrm>
                      <a:off x="0" y="0"/>
                      <a:ext cx="5307330" cy="2656205"/>
                    </a:xfrm>
                    <a:prstGeom prst="rect">
                      <a:avLst/>
                    </a:prstGeom>
                    <a:noFill/>
                    <a:ln>
                      <a:noFill/>
                    </a:ln>
                  </pic:spPr>
                </pic:pic>
              </a:graphicData>
            </a:graphic>
          </wp:inline>
        </w:drawing>
      </w:r>
    </w:p>
    <w:p w14:paraId="795EF1FF">
      <w:pPr>
        <w:adjustRightInd w:val="0"/>
        <w:snapToGrid w:val="0"/>
        <w:spacing w:line="360" w:lineRule="auto"/>
        <w:jc w:val="center"/>
        <w:textAlignment w:val="baseline"/>
        <w:rPr>
          <w:rFonts w:ascii="黑体" w:hAnsi="黑体" w:eastAsia="黑体" w:cs="仿宋"/>
          <w:b/>
          <w:kern w:val="0"/>
          <w:sz w:val="24"/>
          <w:szCs w:val="24"/>
          <w:highlight w:val="none"/>
        </w:rPr>
      </w:pPr>
      <w:r>
        <w:rPr>
          <w:rFonts w:hint="eastAsia" w:ascii="黑体" w:hAnsi="黑体" w:eastAsia="黑体" w:cs="仿宋"/>
          <w:b/>
          <w:kern w:val="0"/>
          <w:sz w:val="24"/>
          <w:szCs w:val="24"/>
          <w:highlight w:val="none"/>
        </w:rPr>
        <w:t>海基水动力监测平台架构示意</w:t>
      </w:r>
    </w:p>
    <w:p w14:paraId="327F43A8">
      <w:pPr>
        <w:adjustRightInd w:val="0"/>
        <w:snapToGrid w:val="0"/>
        <w:spacing w:line="360" w:lineRule="auto"/>
        <w:jc w:val="center"/>
        <w:textAlignment w:val="baseline"/>
        <w:rPr>
          <w:szCs w:val="28"/>
          <w:highlight w:val="none"/>
        </w:rPr>
      </w:pPr>
      <w:r>
        <w:rPr>
          <w:highlight w:val="none"/>
        </w:rPr>
        <w:drawing>
          <wp:inline distT="0" distB="0" distL="114300" distR="114300">
            <wp:extent cx="2740025" cy="1767205"/>
            <wp:effectExtent l="0" t="0" r="3175" b="444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0" cstate="print"/>
                    <a:stretch>
                      <a:fillRect/>
                    </a:stretch>
                  </pic:blipFill>
                  <pic:spPr>
                    <a:xfrm>
                      <a:off x="0" y="0"/>
                      <a:ext cx="2740025" cy="1767205"/>
                    </a:xfrm>
                    <a:prstGeom prst="rect">
                      <a:avLst/>
                    </a:prstGeom>
                    <a:noFill/>
                    <a:ln>
                      <a:noFill/>
                    </a:ln>
                  </pic:spPr>
                </pic:pic>
              </a:graphicData>
            </a:graphic>
          </wp:inline>
        </w:drawing>
      </w:r>
      <w:r>
        <w:rPr>
          <w:rFonts w:hint="eastAsia"/>
          <w:szCs w:val="28"/>
          <w:highlight w:val="none"/>
        </w:rPr>
        <w:drawing>
          <wp:inline distT="0" distB="0" distL="114300" distR="114300">
            <wp:extent cx="2469515" cy="1799590"/>
            <wp:effectExtent l="0" t="0" r="6985" b="10160"/>
            <wp:docPr id="7" name="图片 5" descr="173616438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736164383597"/>
                    <pic:cNvPicPr>
                      <a:picLocks noChangeAspect="1"/>
                    </pic:cNvPicPr>
                  </pic:nvPicPr>
                  <pic:blipFill>
                    <a:blip r:embed="rId21" cstate="print"/>
                    <a:stretch>
                      <a:fillRect/>
                    </a:stretch>
                  </pic:blipFill>
                  <pic:spPr>
                    <a:xfrm>
                      <a:off x="0" y="0"/>
                      <a:ext cx="2469515" cy="1799590"/>
                    </a:xfrm>
                    <a:prstGeom prst="rect">
                      <a:avLst/>
                    </a:prstGeom>
                    <a:noFill/>
                    <a:ln>
                      <a:noFill/>
                    </a:ln>
                  </pic:spPr>
                </pic:pic>
              </a:graphicData>
            </a:graphic>
          </wp:inline>
        </w:drawing>
      </w:r>
    </w:p>
    <w:p w14:paraId="3FFB3DEB">
      <w:pPr>
        <w:adjustRightInd w:val="0"/>
        <w:snapToGrid w:val="0"/>
        <w:spacing w:line="360" w:lineRule="auto"/>
        <w:jc w:val="center"/>
        <w:textAlignment w:val="baseline"/>
        <w:rPr>
          <w:rFonts w:ascii="黑体" w:hAnsi="黑体" w:eastAsia="黑体" w:cs="仿宋"/>
          <w:b/>
          <w:kern w:val="0"/>
          <w:sz w:val="24"/>
          <w:szCs w:val="24"/>
          <w:highlight w:val="none"/>
        </w:rPr>
      </w:pPr>
      <w:r>
        <w:rPr>
          <w:rFonts w:hint="eastAsia" w:ascii="黑体" w:hAnsi="黑体" w:eastAsia="黑体" w:cs="仿宋"/>
          <w:b/>
          <w:kern w:val="0"/>
          <w:sz w:val="24"/>
          <w:szCs w:val="24"/>
          <w:highlight w:val="none"/>
        </w:rPr>
        <w:t>海基水动力监测平台设计及实物图例</w:t>
      </w:r>
    </w:p>
    <w:p w14:paraId="69A653A7">
      <w:pPr>
        <w:pStyle w:val="46"/>
        <w:spacing w:line="240" w:lineRule="auto"/>
        <w:ind w:left="0" w:leftChars="0" w:firstLine="0" w:firstLineChars="0"/>
        <w:jc w:val="center"/>
        <w:textAlignment w:val="auto"/>
        <w:rPr>
          <w:rFonts w:ascii="黑体" w:hAnsi="黑体" w:eastAsia="黑体"/>
          <w:b/>
          <w:highlight w:val="none"/>
        </w:rPr>
      </w:pPr>
    </w:p>
    <w:p w14:paraId="6D2B3877">
      <w:pPr>
        <w:pStyle w:val="46"/>
        <w:spacing w:line="240" w:lineRule="auto"/>
        <w:ind w:left="0" w:leftChars="0" w:firstLine="0" w:firstLineChars="0"/>
        <w:jc w:val="center"/>
        <w:textAlignment w:val="auto"/>
        <w:rPr>
          <w:rFonts w:ascii="黑体" w:hAnsi="黑体" w:eastAsia="黑体"/>
          <w:b/>
          <w:highlight w:val="none"/>
        </w:rPr>
      </w:pPr>
    </w:p>
    <w:p w14:paraId="3539448B">
      <w:pPr>
        <w:pStyle w:val="46"/>
        <w:spacing w:line="240" w:lineRule="auto"/>
        <w:ind w:left="0" w:leftChars="0" w:firstLine="0" w:firstLineChars="0"/>
        <w:jc w:val="center"/>
        <w:textAlignment w:val="auto"/>
        <w:rPr>
          <w:rFonts w:ascii="黑体" w:hAnsi="黑体" w:eastAsia="黑体"/>
          <w:b/>
          <w:highlight w:val="none"/>
        </w:rPr>
      </w:pPr>
    </w:p>
    <w:p w14:paraId="56484AC4">
      <w:pPr>
        <w:pStyle w:val="46"/>
        <w:spacing w:line="240" w:lineRule="auto"/>
        <w:ind w:left="0" w:leftChars="0" w:firstLine="0" w:firstLineChars="0"/>
        <w:textAlignment w:val="auto"/>
        <w:rPr>
          <w:rFonts w:ascii="黑体" w:hAnsi="黑体" w:eastAsia="黑体"/>
          <w:b/>
          <w:highlight w:val="none"/>
        </w:rPr>
      </w:pPr>
    </w:p>
    <w:p w14:paraId="297BCA17">
      <w:pPr>
        <w:pStyle w:val="46"/>
        <w:spacing w:line="240" w:lineRule="auto"/>
        <w:ind w:left="0" w:leftChars="0" w:firstLine="0" w:firstLineChars="0"/>
        <w:jc w:val="center"/>
        <w:textAlignment w:val="auto"/>
        <w:rPr>
          <w:rFonts w:ascii="黑体" w:hAnsi="黑体" w:eastAsia="黑体"/>
          <w:b/>
          <w:highlight w:val="none"/>
        </w:rPr>
      </w:pPr>
      <w:r>
        <w:rPr>
          <w:rFonts w:hint="eastAsia" w:ascii="黑体" w:hAnsi="黑体" w:eastAsia="黑体"/>
          <w:b/>
          <w:highlight w:val="none"/>
        </w:rPr>
        <w:t>海基水动力监测系统详细技术参数明细表</w:t>
      </w:r>
    </w:p>
    <w:p w14:paraId="233FAE28">
      <w:pPr>
        <w:pStyle w:val="27"/>
        <w:snapToGrid w:val="0"/>
        <w:spacing w:after="0" w:line="240" w:lineRule="auto"/>
        <w:ind w:left="0" w:firstLine="0"/>
        <w:jc w:val="right"/>
        <w:rPr>
          <w:rFonts w:ascii="黑体" w:hAnsi="黑体" w:eastAsia="黑体"/>
          <w:b/>
          <w:highlight w:val="none"/>
        </w:rPr>
      </w:pPr>
    </w:p>
    <w:tbl>
      <w:tblPr>
        <w:tblStyle w:val="28"/>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6"/>
        <w:gridCol w:w="1565"/>
        <w:gridCol w:w="6195"/>
        <w:gridCol w:w="1566"/>
      </w:tblGrid>
      <w:tr w14:paraId="1FF5A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67" w:type="pct"/>
            <w:vAlign w:val="center"/>
          </w:tcPr>
          <w:p w14:paraId="4390397F">
            <w:pPr>
              <w:widowControl/>
              <w:jc w:val="center"/>
              <w:textAlignment w:val="center"/>
              <w:rPr>
                <w:rFonts w:ascii="宋体" w:hAnsi="宋体" w:cs="宋体"/>
                <w:b/>
                <w:bCs/>
                <w:szCs w:val="21"/>
                <w:highlight w:val="none"/>
              </w:rPr>
            </w:pPr>
            <w:r>
              <w:rPr>
                <w:rFonts w:hint="eastAsia" w:ascii="宋体" w:hAnsi="宋体" w:cs="宋体"/>
                <w:b/>
                <w:bCs/>
                <w:szCs w:val="21"/>
                <w:highlight w:val="none"/>
              </w:rPr>
              <w:t>建设内容</w:t>
            </w:r>
          </w:p>
        </w:tc>
        <w:tc>
          <w:tcPr>
            <w:tcW w:w="794" w:type="pct"/>
            <w:vAlign w:val="center"/>
          </w:tcPr>
          <w:p w14:paraId="6642EB36">
            <w:pPr>
              <w:widowControl/>
              <w:jc w:val="center"/>
              <w:textAlignment w:val="center"/>
              <w:rPr>
                <w:rFonts w:ascii="宋体" w:hAnsi="宋体" w:cs="宋体"/>
                <w:b/>
                <w:bCs/>
                <w:szCs w:val="21"/>
                <w:highlight w:val="none"/>
              </w:rPr>
            </w:pPr>
            <w:r>
              <w:rPr>
                <w:rFonts w:hint="eastAsia" w:ascii="宋体" w:hAnsi="宋体" w:cs="宋体"/>
                <w:b/>
                <w:bCs/>
                <w:szCs w:val="21"/>
                <w:highlight w:val="none"/>
              </w:rPr>
              <w:t>分项明细</w:t>
            </w:r>
          </w:p>
        </w:tc>
        <w:tc>
          <w:tcPr>
            <w:tcW w:w="3143" w:type="pct"/>
            <w:vAlign w:val="center"/>
          </w:tcPr>
          <w:p w14:paraId="6D8E5660">
            <w:pPr>
              <w:widowControl/>
              <w:jc w:val="center"/>
              <w:textAlignment w:val="center"/>
              <w:rPr>
                <w:rFonts w:ascii="宋体" w:hAnsi="宋体" w:cs="宋体"/>
                <w:b/>
                <w:bCs/>
                <w:szCs w:val="21"/>
                <w:highlight w:val="none"/>
              </w:rPr>
            </w:pPr>
            <w:r>
              <w:rPr>
                <w:rFonts w:hint="eastAsia" w:ascii="宋体" w:hAnsi="宋体" w:cs="宋体"/>
                <w:b/>
                <w:bCs/>
                <w:szCs w:val="21"/>
                <w:highlight w:val="none"/>
              </w:rPr>
              <w:t>技术参数</w:t>
            </w:r>
          </w:p>
        </w:tc>
        <w:tc>
          <w:tcPr>
            <w:tcW w:w="794" w:type="pct"/>
            <w:vAlign w:val="center"/>
          </w:tcPr>
          <w:p w14:paraId="7705CC4D">
            <w:pPr>
              <w:widowControl/>
              <w:jc w:val="center"/>
              <w:textAlignment w:val="center"/>
              <w:rPr>
                <w:rFonts w:ascii="宋体" w:hAnsi="宋体" w:cs="宋体"/>
                <w:b/>
                <w:bCs/>
                <w:szCs w:val="21"/>
                <w:highlight w:val="none"/>
              </w:rPr>
            </w:pPr>
            <w:r>
              <w:rPr>
                <w:rFonts w:hint="eastAsia" w:ascii="宋体" w:hAnsi="宋体" w:cs="宋体"/>
                <w:b/>
                <w:bCs/>
                <w:szCs w:val="21"/>
                <w:highlight w:val="none"/>
              </w:rPr>
              <w:t>数量/单位</w:t>
            </w:r>
          </w:p>
        </w:tc>
      </w:tr>
      <w:tr w14:paraId="233F0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67" w:type="pct"/>
            <w:vMerge w:val="restart"/>
            <w:vAlign w:val="center"/>
          </w:tcPr>
          <w:p w14:paraId="5C3C50E4">
            <w:pPr>
              <w:widowControl/>
              <w:textAlignment w:val="center"/>
              <w:rPr>
                <w:rFonts w:ascii="宋体" w:hAnsi="宋体" w:cs="宋体"/>
                <w:kern w:val="0"/>
                <w:szCs w:val="21"/>
                <w:highlight w:val="none"/>
              </w:rPr>
            </w:pPr>
            <w:r>
              <w:rPr>
                <w:rFonts w:hint="eastAsia" w:ascii="宋体" w:hAnsi="宋体" w:cs="宋体"/>
                <w:kern w:val="0"/>
                <w:szCs w:val="21"/>
                <w:highlight w:val="none"/>
              </w:rPr>
              <w:t>海基水动力监测系统</w:t>
            </w:r>
          </w:p>
        </w:tc>
        <w:tc>
          <w:tcPr>
            <w:tcW w:w="794" w:type="pct"/>
            <w:vAlign w:val="center"/>
          </w:tcPr>
          <w:p w14:paraId="6A982AF0">
            <w:pPr>
              <w:widowControl/>
              <w:jc w:val="center"/>
              <w:textAlignment w:val="center"/>
              <w:rPr>
                <w:rFonts w:ascii="宋体" w:hAnsi="宋体" w:cs="宋体"/>
                <w:szCs w:val="21"/>
                <w:highlight w:val="none"/>
              </w:rPr>
            </w:pPr>
            <w:r>
              <w:rPr>
                <w:rFonts w:hint="eastAsia" w:ascii="宋体" w:hAnsi="宋体" w:cs="宋体"/>
                <w:kern w:val="0"/>
                <w:szCs w:val="21"/>
                <w:highlight w:val="none"/>
              </w:rPr>
              <w:t>海床基</w:t>
            </w:r>
          </w:p>
        </w:tc>
        <w:tc>
          <w:tcPr>
            <w:tcW w:w="3143" w:type="pct"/>
            <w:vAlign w:val="center"/>
          </w:tcPr>
          <w:p w14:paraId="2119F059">
            <w:pPr>
              <w:numPr>
                <w:ilvl w:val="0"/>
                <w:numId w:val="12"/>
              </w:numPr>
              <w:rPr>
                <w:highlight w:val="none"/>
              </w:rPr>
            </w:pPr>
            <w:r>
              <w:rPr>
                <w:rFonts w:hint="eastAsia" w:ascii="宋体" w:hAnsi="宋体"/>
                <w:szCs w:val="21"/>
                <w:highlight w:val="none"/>
              </w:rPr>
              <w:t>直径≥1000mm，高度≥</w:t>
            </w:r>
            <w:r>
              <w:rPr>
                <w:rFonts w:ascii="宋体" w:hAnsi="宋体"/>
                <w:szCs w:val="21"/>
                <w:highlight w:val="none"/>
              </w:rPr>
              <w:t>560</w:t>
            </w:r>
            <w:r>
              <w:rPr>
                <w:rFonts w:hint="eastAsia" w:ascii="宋体" w:hAnsi="宋体"/>
                <w:szCs w:val="21"/>
                <w:highlight w:val="none"/>
              </w:rPr>
              <w:t>mm；</w:t>
            </w:r>
          </w:p>
          <w:p w14:paraId="7739A896">
            <w:pPr>
              <w:rPr>
                <w:rFonts w:ascii="宋体" w:hAnsi="宋体"/>
                <w:szCs w:val="21"/>
                <w:highlight w:val="none"/>
              </w:rPr>
            </w:pPr>
            <w:r>
              <w:rPr>
                <w:rFonts w:hint="eastAsia" w:ascii="宋体" w:hAnsi="宋体"/>
                <w:szCs w:val="21"/>
                <w:highlight w:val="none"/>
              </w:rPr>
              <w:t>2）主要支撑结构件采用3</w:t>
            </w:r>
            <w:r>
              <w:rPr>
                <w:rFonts w:ascii="宋体" w:hAnsi="宋体"/>
                <w:szCs w:val="21"/>
                <w:highlight w:val="none"/>
              </w:rPr>
              <w:t>16L</w:t>
            </w:r>
            <w:r>
              <w:rPr>
                <w:rFonts w:hint="eastAsia" w:ascii="宋体" w:hAnsi="宋体"/>
                <w:szCs w:val="21"/>
                <w:highlight w:val="none"/>
              </w:rPr>
              <w:t>不锈钢进行焊接制作；</w:t>
            </w:r>
          </w:p>
          <w:p w14:paraId="0A7EDA5B">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3）覆盖件采用钝化铝合金或玻璃钢进行制作，保证刚性和任性；</w:t>
            </w:r>
          </w:p>
          <w:p w14:paraId="1DC30A4D">
            <w:pPr>
              <w:rPr>
                <w:highlight w:val="none"/>
              </w:rPr>
            </w:pPr>
            <w:r>
              <w:rPr>
                <w:rFonts w:hint="eastAsia" w:ascii="宋体" w:hAnsi="宋体" w:cs="宋体"/>
                <w:sz w:val="24"/>
                <w:highlight w:val="none"/>
              </w:rPr>
              <w:t>●</w:t>
            </w:r>
            <w:r>
              <w:rPr>
                <w:rFonts w:hint="eastAsia" w:ascii="宋体" w:hAnsi="宋体"/>
                <w:szCs w:val="21"/>
                <w:highlight w:val="none"/>
              </w:rPr>
              <w:t>4）主体带有≥4个承力拉环，保证海床基安全布放。</w:t>
            </w:r>
          </w:p>
        </w:tc>
        <w:tc>
          <w:tcPr>
            <w:tcW w:w="794" w:type="pct"/>
            <w:vAlign w:val="center"/>
          </w:tcPr>
          <w:p w14:paraId="26E7D379">
            <w:pPr>
              <w:widowControl/>
              <w:jc w:val="center"/>
              <w:textAlignment w:val="center"/>
              <w:rPr>
                <w:rFonts w:ascii="宋体" w:hAnsi="宋体" w:cs="宋体"/>
                <w:kern w:val="0"/>
                <w:szCs w:val="21"/>
                <w:highlight w:val="none"/>
              </w:rPr>
            </w:pPr>
            <w:r>
              <w:rPr>
                <w:rFonts w:hint="eastAsia" w:ascii="宋体" w:hAnsi="宋体" w:cs="宋体"/>
                <w:kern w:val="0"/>
                <w:szCs w:val="21"/>
                <w:highlight w:val="none"/>
              </w:rPr>
              <w:t>1套</w:t>
            </w:r>
          </w:p>
        </w:tc>
      </w:tr>
      <w:tr w14:paraId="1378D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67" w:type="pct"/>
            <w:vMerge w:val="continue"/>
            <w:vAlign w:val="center"/>
          </w:tcPr>
          <w:p w14:paraId="4D483768">
            <w:pPr>
              <w:jc w:val="center"/>
              <w:rPr>
                <w:rFonts w:ascii="宋体" w:hAnsi="宋体" w:cs="宋体"/>
                <w:szCs w:val="21"/>
                <w:highlight w:val="none"/>
              </w:rPr>
            </w:pPr>
          </w:p>
        </w:tc>
        <w:tc>
          <w:tcPr>
            <w:tcW w:w="794" w:type="pct"/>
            <w:vAlign w:val="center"/>
          </w:tcPr>
          <w:p w14:paraId="5D4C235D">
            <w:pPr>
              <w:widowControl/>
              <w:jc w:val="center"/>
              <w:textAlignment w:val="center"/>
              <w:rPr>
                <w:rFonts w:ascii="宋体" w:hAnsi="宋体" w:cs="宋体"/>
                <w:szCs w:val="21"/>
                <w:highlight w:val="none"/>
              </w:rPr>
            </w:pPr>
            <w:r>
              <w:rPr>
                <w:rFonts w:hint="eastAsia" w:ascii="宋体" w:hAnsi="宋体" w:cs="宋体"/>
                <w:kern w:val="0"/>
                <w:szCs w:val="21"/>
                <w:highlight w:val="none"/>
              </w:rPr>
              <w:t>ADCP</w:t>
            </w:r>
          </w:p>
        </w:tc>
        <w:tc>
          <w:tcPr>
            <w:tcW w:w="3143" w:type="pct"/>
            <w:vAlign w:val="center"/>
          </w:tcPr>
          <w:p w14:paraId="79A614D6">
            <w:pPr>
              <w:rPr>
                <w:rFonts w:ascii="宋体" w:hAnsi="宋体" w:cs="宋体"/>
                <w:kern w:val="0"/>
                <w:szCs w:val="21"/>
                <w:highlight w:val="none"/>
              </w:rPr>
            </w:pPr>
            <w:r>
              <w:rPr>
                <w:rFonts w:hint="eastAsia" w:ascii="宋体" w:hAnsi="宋体" w:cs="宋体"/>
                <w:kern w:val="0"/>
                <w:szCs w:val="21"/>
                <w:highlight w:val="none"/>
              </w:rPr>
              <w:t>1)</w:t>
            </w:r>
            <w:r>
              <w:rPr>
                <w:rFonts w:hint="eastAsia" w:ascii="宋体" w:hAnsi="宋体" w:cs="宋体"/>
                <w:kern w:val="0"/>
                <w:szCs w:val="21"/>
                <w:highlight w:val="none"/>
              </w:rPr>
              <w:tab/>
            </w:r>
            <w:r>
              <w:rPr>
                <w:rFonts w:hint="eastAsia" w:ascii="宋体" w:hAnsi="宋体" w:cs="宋体"/>
                <w:kern w:val="0"/>
                <w:szCs w:val="21"/>
                <w:highlight w:val="none"/>
              </w:rPr>
              <w:t>测量深度不低于70m；</w:t>
            </w:r>
          </w:p>
          <w:p w14:paraId="544FCC9A">
            <w:pPr>
              <w:rPr>
                <w:rFonts w:ascii="宋体" w:hAnsi="宋体" w:cs="宋体"/>
                <w:kern w:val="0"/>
                <w:szCs w:val="21"/>
                <w:highlight w:val="none"/>
              </w:rPr>
            </w:pPr>
            <w:r>
              <w:rPr>
                <w:rFonts w:hint="eastAsia" w:ascii="宋体" w:hAnsi="宋体" w:cs="宋体"/>
                <w:kern w:val="0"/>
                <w:szCs w:val="21"/>
                <w:highlight w:val="none"/>
              </w:rPr>
              <w:t>2)</w:t>
            </w:r>
            <w:r>
              <w:rPr>
                <w:rFonts w:hint="eastAsia" w:ascii="宋体" w:hAnsi="宋体" w:cs="宋体"/>
                <w:kern w:val="0"/>
                <w:szCs w:val="21"/>
                <w:highlight w:val="none"/>
              </w:rPr>
              <w:tab/>
            </w:r>
            <w:r>
              <w:rPr>
                <w:rFonts w:hint="eastAsia" w:ascii="宋体" w:hAnsi="宋体" w:cs="宋体"/>
                <w:kern w:val="0"/>
                <w:szCs w:val="21"/>
                <w:highlight w:val="none"/>
              </w:rPr>
              <w:t xml:space="preserve">层厚：0.5m~5m </w:t>
            </w:r>
          </w:p>
          <w:p w14:paraId="0A71AB31">
            <w:pPr>
              <w:rPr>
                <w:rFonts w:ascii="宋体" w:hAnsi="宋体" w:cs="宋体"/>
                <w:kern w:val="0"/>
                <w:szCs w:val="21"/>
                <w:highlight w:val="none"/>
              </w:rPr>
            </w:pPr>
            <w:r>
              <w:rPr>
                <w:rFonts w:hint="eastAsia" w:ascii="宋体" w:hAnsi="宋体" w:cs="宋体"/>
                <w:kern w:val="0"/>
                <w:szCs w:val="21"/>
                <w:highlight w:val="none"/>
              </w:rPr>
              <w:t>3)</w:t>
            </w:r>
            <w:r>
              <w:rPr>
                <w:rFonts w:hint="eastAsia" w:ascii="宋体" w:hAnsi="宋体" w:cs="宋体"/>
                <w:kern w:val="0"/>
                <w:szCs w:val="21"/>
                <w:highlight w:val="none"/>
              </w:rPr>
              <w:tab/>
            </w:r>
            <w:r>
              <w:rPr>
                <w:rFonts w:hint="eastAsia" w:ascii="宋体" w:hAnsi="宋体" w:cs="宋体"/>
                <w:kern w:val="0"/>
                <w:szCs w:val="21"/>
                <w:highlight w:val="none"/>
              </w:rPr>
              <w:t>流速准确度：0.3 cm/s 或 ±1.5% 读数、分辨率：0.1cm/s</w:t>
            </w:r>
          </w:p>
          <w:p w14:paraId="37451F3E">
            <w:pPr>
              <w:rPr>
                <w:rFonts w:ascii="宋体" w:hAnsi="宋体" w:cs="宋体"/>
                <w:kern w:val="0"/>
                <w:szCs w:val="21"/>
                <w:highlight w:val="none"/>
              </w:rPr>
            </w:pPr>
            <w:r>
              <w:rPr>
                <w:rFonts w:hint="eastAsia" w:ascii="宋体" w:hAnsi="宋体" w:cs="宋体"/>
                <w:kern w:val="0"/>
                <w:szCs w:val="21"/>
                <w:highlight w:val="none"/>
              </w:rPr>
              <w:t>4)</w:t>
            </w:r>
            <w:r>
              <w:rPr>
                <w:rFonts w:hint="eastAsia" w:ascii="宋体" w:hAnsi="宋体" w:cs="宋体"/>
                <w:kern w:val="0"/>
                <w:szCs w:val="21"/>
                <w:highlight w:val="none"/>
              </w:rPr>
              <w:tab/>
            </w:r>
            <w:r>
              <w:rPr>
                <w:rFonts w:hint="eastAsia" w:ascii="宋体" w:hAnsi="宋体" w:cs="宋体"/>
                <w:kern w:val="0"/>
                <w:szCs w:val="21"/>
                <w:highlight w:val="none"/>
              </w:rPr>
              <w:t>流向0°～360°；±4°</w:t>
            </w:r>
          </w:p>
          <w:p w14:paraId="176733F0">
            <w:pPr>
              <w:rPr>
                <w:rFonts w:ascii="宋体" w:hAnsi="宋体" w:cs="宋体"/>
                <w:kern w:val="0"/>
                <w:szCs w:val="21"/>
                <w:highlight w:val="none"/>
              </w:rPr>
            </w:pPr>
            <w:r>
              <w:rPr>
                <w:rFonts w:hint="eastAsia" w:ascii="宋体" w:hAnsi="宋体" w:cs="宋体"/>
                <w:kern w:val="0"/>
                <w:szCs w:val="21"/>
                <w:highlight w:val="none"/>
              </w:rPr>
              <w:t>5)</w:t>
            </w:r>
            <w:r>
              <w:rPr>
                <w:rFonts w:hint="eastAsia" w:ascii="宋体" w:hAnsi="宋体" w:cs="宋体"/>
                <w:kern w:val="0"/>
                <w:szCs w:val="21"/>
                <w:highlight w:val="none"/>
              </w:rPr>
              <w:tab/>
            </w:r>
            <w:r>
              <w:rPr>
                <w:rFonts w:hint="eastAsia" w:ascii="宋体" w:hAnsi="宋体" w:cs="宋体"/>
                <w:kern w:val="0"/>
                <w:szCs w:val="21"/>
                <w:highlight w:val="none"/>
              </w:rPr>
              <w:t xml:space="preserve">输出间隔：30s~2h </w:t>
            </w:r>
          </w:p>
          <w:p w14:paraId="4EA1723C">
            <w:pPr>
              <w:rPr>
                <w:rFonts w:ascii="宋体" w:hAnsi="宋体" w:cs="宋体"/>
                <w:kern w:val="0"/>
                <w:szCs w:val="21"/>
                <w:highlight w:val="none"/>
              </w:rPr>
            </w:pPr>
            <w:r>
              <w:rPr>
                <w:rFonts w:hint="eastAsia" w:ascii="宋体" w:hAnsi="宋体" w:cs="宋体"/>
                <w:kern w:val="0"/>
                <w:szCs w:val="21"/>
                <w:highlight w:val="none"/>
              </w:rPr>
              <w:t>6)</w:t>
            </w:r>
            <w:r>
              <w:rPr>
                <w:rFonts w:hint="eastAsia" w:ascii="宋体" w:hAnsi="宋体" w:cs="宋体"/>
                <w:kern w:val="0"/>
                <w:szCs w:val="21"/>
                <w:highlight w:val="none"/>
              </w:rPr>
              <w:tab/>
            </w:r>
            <w:r>
              <w:rPr>
                <w:rFonts w:hint="eastAsia" w:ascii="宋体" w:hAnsi="宋体" w:cs="宋体"/>
                <w:kern w:val="0"/>
                <w:szCs w:val="21"/>
                <w:highlight w:val="none"/>
              </w:rPr>
              <w:t>倾斜和罗经：倾斜/滚动范围± 90°/±180°、倾斜/航向精度±1.5°/±3.5°、倾斜/航向分辨率 &lt;0.1°</w:t>
            </w:r>
          </w:p>
          <w:p w14:paraId="489C5341">
            <w:pPr>
              <w:rPr>
                <w:rFonts w:ascii="宋体" w:hAnsi="宋体" w:cs="宋体"/>
                <w:kern w:val="0"/>
                <w:szCs w:val="21"/>
                <w:highlight w:val="none"/>
              </w:rPr>
            </w:pPr>
            <w:r>
              <w:rPr>
                <w:rFonts w:hint="eastAsia" w:ascii="宋体" w:hAnsi="宋体" w:cs="宋体"/>
                <w:kern w:val="0"/>
                <w:szCs w:val="21"/>
                <w:highlight w:val="none"/>
              </w:rPr>
              <w:t>7)测量层数：可根据客户需求进行分层测量</w:t>
            </w:r>
          </w:p>
          <w:p w14:paraId="2084C510">
            <w:pPr>
              <w:rPr>
                <w:rFonts w:ascii="宋体" w:hAnsi="宋体" w:cs="宋体"/>
                <w:kern w:val="0"/>
                <w:szCs w:val="21"/>
                <w:highlight w:val="none"/>
              </w:rPr>
            </w:pPr>
            <w:r>
              <w:rPr>
                <w:rFonts w:hint="eastAsia" w:ascii="宋体" w:hAnsi="宋体" w:cs="宋体"/>
                <w:kern w:val="0"/>
                <w:szCs w:val="21"/>
                <w:highlight w:val="none"/>
              </w:rPr>
              <w:t>8)响应时间&lt;5s</w:t>
            </w:r>
          </w:p>
          <w:p w14:paraId="7D53F4DB">
            <w:pPr>
              <w:rPr>
                <w:rFonts w:ascii="宋体" w:hAnsi="宋体" w:cs="宋体"/>
                <w:kern w:val="0"/>
                <w:szCs w:val="21"/>
                <w:highlight w:val="none"/>
              </w:rPr>
            </w:pPr>
            <w:r>
              <w:rPr>
                <w:rFonts w:hint="eastAsia" w:ascii="宋体" w:hAnsi="宋体" w:cs="宋体"/>
                <w:kern w:val="0"/>
                <w:szCs w:val="21"/>
                <w:highlight w:val="none"/>
              </w:rPr>
              <w:t>9)工作环境：最大工作深度300m、温度-5～+40°C</w:t>
            </w:r>
          </w:p>
        </w:tc>
        <w:tc>
          <w:tcPr>
            <w:tcW w:w="794" w:type="pct"/>
            <w:vAlign w:val="center"/>
          </w:tcPr>
          <w:p w14:paraId="355F36AA">
            <w:pPr>
              <w:widowControl/>
              <w:jc w:val="center"/>
              <w:textAlignment w:val="center"/>
              <w:rPr>
                <w:rFonts w:ascii="宋体" w:hAnsi="宋体" w:cs="宋体"/>
                <w:kern w:val="0"/>
                <w:szCs w:val="21"/>
                <w:highlight w:val="none"/>
              </w:rPr>
            </w:pPr>
            <w:r>
              <w:rPr>
                <w:rFonts w:hint="eastAsia" w:ascii="宋体" w:hAnsi="宋体" w:cs="宋体"/>
                <w:kern w:val="0"/>
                <w:szCs w:val="21"/>
                <w:highlight w:val="none"/>
              </w:rPr>
              <w:t>1台</w:t>
            </w:r>
          </w:p>
        </w:tc>
      </w:tr>
      <w:tr w14:paraId="1573F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67" w:type="pct"/>
            <w:vMerge w:val="continue"/>
            <w:vAlign w:val="center"/>
          </w:tcPr>
          <w:p w14:paraId="238595C7">
            <w:pPr>
              <w:jc w:val="center"/>
              <w:rPr>
                <w:rFonts w:ascii="宋体" w:hAnsi="宋体" w:cs="宋体"/>
                <w:szCs w:val="21"/>
                <w:highlight w:val="none"/>
              </w:rPr>
            </w:pPr>
          </w:p>
        </w:tc>
        <w:tc>
          <w:tcPr>
            <w:tcW w:w="794" w:type="pct"/>
            <w:vAlign w:val="center"/>
          </w:tcPr>
          <w:p w14:paraId="71D4B5D9">
            <w:pPr>
              <w:widowControl/>
              <w:textAlignment w:val="center"/>
              <w:rPr>
                <w:rFonts w:ascii="宋体" w:hAnsi="宋体" w:cs="宋体"/>
                <w:szCs w:val="21"/>
                <w:highlight w:val="none"/>
              </w:rPr>
            </w:pPr>
            <w:r>
              <w:rPr>
                <w:rFonts w:hint="eastAsia" w:ascii="宋体" w:hAnsi="宋体" w:cs="宋体"/>
                <w:kern w:val="0"/>
                <w:szCs w:val="21"/>
                <w:highlight w:val="none"/>
              </w:rPr>
              <w:t>压力式潮位仪</w:t>
            </w:r>
          </w:p>
        </w:tc>
        <w:tc>
          <w:tcPr>
            <w:tcW w:w="3143" w:type="pct"/>
            <w:vAlign w:val="center"/>
          </w:tcPr>
          <w:p w14:paraId="3B709967">
            <w:pPr>
              <w:rPr>
                <w:rFonts w:ascii="宋体" w:hAnsi="宋体" w:cs="宋体"/>
                <w:kern w:val="0"/>
                <w:szCs w:val="21"/>
                <w:highlight w:val="none"/>
              </w:rPr>
            </w:pPr>
            <w:r>
              <w:rPr>
                <w:rFonts w:hint="eastAsia" w:ascii="宋体" w:hAnsi="宋体" w:cs="宋体"/>
                <w:sz w:val="24"/>
                <w:highlight w:val="none"/>
              </w:rPr>
              <w:t>●</w:t>
            </w:r>
            <w:r>
              <w:rPr>
                <w:rFonts w:hint="eastAsia" w:ascii="宋体" w:hAnsi="宋体" w:cs="宋体"/>
                <w:kern w:val="0"/>
                <w:szCs w:val="21"/>
                <w:highlight w:val="none"/>
              </w:rPr>
              <w:t>1）压力精度：0.1% FS</w:t>
            </w:r>
          </w:p>
          <w:p w14:paraId="66A349FF">
            <w:pPr>
              <w:rPr>
                <w:rFonts w:ascii="宋体" w:hAnsi="宋体" w:cs="宋体"/>
                <w:kern w:val="0"/>
                <w:szCs w:val="21"/>
                <w:highlight w:val="none"/>
              </w:rPr>
            </w:pPr>
            <w:r>
              <w:rPr>
                <w:rFonts w:hint="eastAsia" w:ascii="宋体" w:hAnsi="宋体" w:cs="宋体"/>
                <w:kern w:val="0"/>
                <w:szCs w:val="21"/>
                <w:highlight w:val="none"/>
              </w:rPr>
              <w:t>2）压力分辨率：0.001FS</w:t>
            </w:r>
          </w:p>
          <w:p w14:paraId="2E52B254">
            <w:pPr>
              <w:rPr>
                <w:rFonts w:ascii="宋体" w:hAnsi="宋体" w:cs="宋体"/>
                <w:kern w:val="0"/>
                <w:szCs w:val="21"/>
                <w:highlight w:val="none"/>
              </w:rPr>
            </w:pPr>
            <w:r>
              <w:rPr>
                <w:rFonts w:hint="eastAsia" w:ascii="宋体" w:hAnsi="宋体" w:cs="宋体"/>
                <w:kern w:val="0"/>
                <w:szCs w:val="21"/>
                <w:highlight w:val="none"/>
              </w:rPr>
              <w:t>3）压力范围：20m，50m ,100m 量程可选</w:t>
            </w:r>
          </w:p>
          <w:p w14:paraId="649B0001">
            <w:pPr>
              <w:rPr>
                <w:rFonts w:ascii="宋体" w:hAnsi="宋体" w:cs="宋体"/>
                <w:kern w:val="0"/>
                <w:szCs w:val="21"/>
                <w:highlight w:val="none"/>
              </w:rPr>
            </w:pPr>
            <w:r>
              <w:rPr>
                <w:rFonts w:hint="eastAsia" w:ascii="宋体" w:hAnsi="宋体" w:cs="宋体"/>
                <w:kern w:val="0"/>
                <w:szCs w:val="21"/>
                <w:highlight w:val="none"/>
              </w:rPr>
              <w:t>4）温度精度：0.5℃</w:t>
            </w:r>
          </w:p>
          <w:p w14:paraId="07CF90F6">
            <w:pPr>
              <w:rPr>
                <w:rFonts w:ascii="宋体" w:hAnsi="宋体" w:cs="宋体"/>
                <w:kern w:val="0"/>
                <w:szCs w:val="21"/>
                <w:highlight w:val="none"/>
              </w:rPr>
            </w:pPr>
            <w:r>
              <w:rPr>
                <w:rFonts w:hint="eastAsia" w:ascii="宋体" w:hAnsi="宋体" w:cs="宋体"/>
                <w:kern w:val="0"/>
                <w:szCs w:val="21"/>
                <w:highlight w:val="none"/>
              </w:rPr>
              <w:t>5）分辨率：0.05℃</w:t>
            </w:r>
          </w:p>
          <w:p w14:paraId="01710946">
            <w:pPr>
              <w:rPr>
                <w:rFonts w:ascii="宋体" w:hAnsi="宋体" w:cs="宋体"/>
                <w:kern w:val="0"/>
                <w:szCs w:val="21"/>
                <w:highlight w:val="none"/>
              </w:rPr>
            </w:pPr>
            <w:r>
              <w:rPr>
                <w:rFonts w:ascii="宋体" w:hAnsi="宋体" w:cs="宋体"/>
                <w:kern w:val="0"/>
                <w:szCs w:val="21"/>
                <w:highlight w:val="none"/>
              </w:rPr>
              <w:t>6</w:t>
            </w:r>
            <w:r>
              <w:rPr>
                <w:rFonts w:hint="eastAsia" w:ascii="宋体" w:hAnsi="宋体" w:cs="宋体"/>
                <w:kern w:val="0"/>
                <w:szCs w:val="21"/>
                <w:highlight w:val="none"/>
              </w:rPr>
              <w:t>）采样频率：1min-24hour, 存储内存：200万组数据</w:t>
            </w:r>
          </w:p>
          <w:p w14:paraId="0EBEF7C8">
            <w:pPr>
              <w:rPr>
                <w:rFonts w:ascii="宋体" w:hAnsi="宋体" w:cs="宋体"/>
                <w:kern w:val="0"/>
                <w:szCs w:val="21"/>
                <w:highlight w:val="none"/>
              </w:rPr>
            </w:pPr>
            <w:r>
              <w:rPr>
                <w:rFonts w:hint="eastAsia" w:ascii="宋体" w:hAnsi="宋体" w:cs="宋体"/>
                <w:kern w:val="0"/>
                <w:szCs w:val="21"/>
                <w:highlight w:val="none"/>
              </w:rPr>
              <w:t>7）通讯端口：USB  Type-C</w:t>
            </w:r>
          </w:p>
        </w:tc>
        <w:tc>
          <w:tcPr>
            <w:tcW w:w="794" w:type="pct"/>
            <w:vAlign w:val="center"/>
          </w:tcPr>
          <w:p w14:paraId="36DBBAB0">
            <w:pPr>
              <w:widowControl/>
              <w:jc w:val="center"/>
              <w:textAlignment w:val="center"/>
              <w:rPr>
                <w:rFonts w:ascii="宋体" w:hAnsi="宋体" w:cs="宋体"/>
                <w:kern w:val="0"/>
                <w:szCs w:val="21"/>
                <w:highlight w:val="none"/>
              </w:rPr>
            </w:pPr>
            <w:r>
              <w:rPr>
                <w:rFonts w:hint="eastAsia" w:ascii="宋体" w:hAnsi="宋体" w:cs="宋体"/>
                <w:kern w:val="0"/>
                <w:szCs w:val="21"/>
                <w:highlight w:val="none"/>
              </w:rPr>
              <w:t>1台</w:t>
            </w:r>
          </w:p>
        </w:tc>
      </w:tr>
      <w:tr w14:paraId="3CC7F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67" w:type="pct"/>
            <w:vMerge w:val="continue"/>
            <w:vAlign w:val="center"/>
          </w:tcPr>
          <w:p w14:paraId="27454B5D">
            <w:pPr>
              <w:jc w:val="center"/>
              <w:rPr>
                <w:rFonts w:ascii="宋体" w:hAnsi="宋体" w:cs="宋体"/>
                <w:szCs w:val="21"/>
                <w:highlight w:val="none"/>
              </w:rPr>
            </w:pPr>
          </w:p>
        </w:tc>
        <w:tc>
          <w:tcPr>
            <w:tcW w:w="794" w:type="pct"/>
            <w:vAlign w:val="center"/>
          </w:tcPr>
          <w:p w14:paraId="50A237D2">
            <w:pPr>
              <w:widowControl/>
              <w:textAlignment w:val="center"/>
              <w:rPr>
                <w:rFonts w:ascii="宋体" w:hAnsi="宋体" w:cs="宋体"/>
                <w:szCs w:val="21"/>
                <w:highlight w:val="none"/>
              </w:rPr>
            </w:pPr>
            <w:r>
              <w:rPr>
                <w:rFonts w:hint="eastAsia" w:ascii="宋体" w:hAnsi="宋体" w:cs="宋体"/>
                <w:kern w:val="0"/>
                <w:szCs w:val="21"/>
                <w:highlight w:val="none"/>
              </w:rPr>
              <w:t>加速度波浪仪</w:t>
            </w:r>
          </w:p>
        </w:tc>
        <w:tc>
          <w:tcPr>
            <w:tcW w:w="3143" w:type="pct"/>
            <w:vAlign w:val="center"/>
          </w:tcPr>
          <w:p w14:paraId="2860F01E">
            <w:pPr>
              <w:rPr>
                <w:rFonts w:ascii="宋体" w:hAnsi="宋体" w:cs="宋体"/>
                <w:kern w:val="0"/>
                <w:szCs w:val="21"/>
                <w:highlight w:val="none"/>
              </w:rPr>
            </w:pPr>
            <w:r>
              <w:rPr>
                <w:rFonts w:hint="eastAsia" w:ascii="宋体" w:hAnsi="宋体" w:cs="宋体"/>
                <w:sz w:val="24"/>
                <w:highlight w:val="none"/>
              </w:rPr>
              <w:t>●</w:t>
            </w:r>
            <w:r>
              <w:rPr>
                <w:rFonts w:hint="eastAsia" w:ascii="宋体" w:hAnsi="宋体" w:cs="宋体"/>
                <w:kern w:val="0"/>
                <w:szCs w:val="21"/>
                <w:highlight w:val="none"/>
              </w:rPr>
              <w:t>1)尺寸：直径不大于165mm，高度不大于 47mm</w:t>
            </w:r>
          </w:p>
          <w:p w14:paraId="68EB806F">
            <w:pPr>
              <w:rPr>
                <w:rFonts w:ascii="宋体" w:hAnsi="宋体" w:cs="宋体"/>
                <w:kern w:val="0"/>
                <w:szCs w:val="21"/>
                <w:highlight w:val="none"/>
              </w:rPr>
            </w:pPr>
            <w:r>
              <w:rPr>
                <w:rFonts w:hint="eastAsia" w:ascii="宋体" w:hAnsi="宋体" w:cs="宋体"/>
                <w:kern w:val="0"/>
                <w:szCs w:val="21"/>
                <w:highlight w:val="none"/>
              </w:rPr>
              <w:t>2）外壳材质：高强度树脂</w:t>
            </w:r>
          </w:p>
          <w:p w14:paraId="329256A2">
            <w:pPr>
              <w:rPr>
                <w:rFonts w:ascii="宋体" w:hAnsi="宋体" w:cs="宋体"/>
                <w:kern w:val="0"/>
                <w:szCs w:val="21"/>
                <w:highlight w:val="none"/>
              </w:rPr>
            </w:pPr>
            <w:r>
              <w:rPr>
                <w:rFonts w:hint="eastAsia" w:ascii="宋体" w:hAnsi="宋体" w:cs="宋体"/>
                <w:sz w:val="24"/>
                <w:highlight w:val="none"/>
              </w:rPr>
              <w:t>●</w:t>
            </w:r>
            <w:r>
              <w:rPr>
                <w:rFonts w:hint="eastAsia" w:ascii="宋体" w:hAnsi="宋体" w:cs="宋体"/>
                <w:kern w:val="0"/>
                <w:szCs w:val="21"/>
                <w:highlight w:val="none"/>
              </w:rPr>
              <w:t>3）内置九轴加速度计，采样频率：大于等于50Hz，每次观测不小于30000样本</w:t>
            </w:r>
          </w:p>
          <w:p w14:paraId="3214578C">
            <w:pPr>
              <w:rPr>
                <w:rFonts w:ascii="宋体" w:hAnsi="宋体" w:cs="宋体"/>
                <w:kern w:val="0"/>
                <w:szCs w:val="21"/>
                <w:highlight w:val="none"/>
              </w:rPr>
            </w:pPr>
            <w:r>
              <w:rPr>
                <w:rFonts w:hint="eastAsia" w:ascii="宋体" w:hAnsi="宋体" w:cs="宋体"/>
                <w:kern w:val="0"/>
                <w:szCs w:val="21"/>
                <w:highlight w:val="none"/>
              </w:rPr>
              <w:t>4）波浪高度、三分之一波高、十分之一波高：</w:t>
            </w:r>
          </w:p>
          <w:p w14:paraId="697F1DAD">
            <w:pPr>
              <w:rPr>
                <w:rFonts w:ascii="宋体" w:hAnsi="宋体" w:cs="宋体"/>
                <w:kern w:val="0"/>
                <w:szCs w:val="21"/>
                <w:highlight w:val="none"/>
              </w:rPr>
            </w:pPr>
            <w:r>
              <w:rPr>
                <w:rFonts w:hint="eastAsia" w:ascii="宋体" w:hAnsi="宋体" w:cs="宋体"/>
                <w:kern w:val="0"/>
                <w:szCs w:val="21"/>
                <w:highlight w:val="none"/>
              </w:rPr>
              <w:t>测量精度：±（0.1+5%*测量值）</w:t>
            </w:r>
          </w:p>
          <w:p w14:paraId="1F48BB98">
            <w:pPr>
              <w:rPr>
                <w:rFonts w:ascii="宋体" w:hAnsi="宋体" w:cs="宋体"/>
                <w:kern w:val="0"/>
                <w:szCs w:val="21"/>
                <w:highlight w:val="none"/>
              </w:rPr>
            </w:pPr>
            <w:r>
              <w:rPr>
                <w:rFonts w:hint="eastAsia" w:ascii="宋体" w:hAnsi="宋体" w:cs="宋体"/>
                <w:kern w:val="0"/>
                <w:szCs w:val="21"/>
                <w:highlight w:val="none"/>
              </w:rPr>
              <w:t>5)波浪方向</w:t>
            </w:r>
          </w:p>
          <w:p w14:paraId="648C981A">
            <w:pPr>
              <w:rPr>
                <w:rFonts w:ascii="宋体" w:hAnsi="宋体" w:cs="宋体"/>
                <w:kern w:val="0"/>
                <w:szCs w:val="21"/>
                <w:highlight w:val="none"/>
              </w:rPr>
            </w:pPr>
            <w:r>
              <w:rPr>
                <w:rFonts w:hint="eastAsia" w:ascii="宋体" w:hAnsi="宋体" w:cs="宋体"/>
                <w:kern w:val="0"/>
                <w:szCs w:val="21"/>
                <w:highlight w:val="none"/>
              </w:rPr>
              <w:t>测量精度：±10°</w:t>
            </w:r>
          </w:p>
          <w:p w14:paraId="69AAB55F">
            <w:pPr>
              <w:rPr>
                <w:rFonts w:ascii="宋体" w:hAnsi="宋体" w:cs="宋体"/>
                <w:kern w:val="0"/>
                <w:szCs w:val="21"/>
                <w:highlight w:val="none"/>
              </w:rPr>
            </w:pPr>
            <w:r>
              <w:rPr>
                <w:rFonts w:hint="eastAsia" w:ascii="宋体" w:hAnsi="宋体" w:cs="宋体"/>
                <w:kern w:val="0"/>
                <w:szCs w:val="21"/>
                <w:highlight w:val="none"/>
              </w:rPr>
              <w:t>6)波浪周期</w:t>
            </w:r>
          </w:p>
          <w:p w14:paraId="6253C88E">
            <w:pPr>
              <w:rPr>
                <w:rFonts w:ascii="宋体" w:hAnsi="宋体" w:cs="宋体"/>
                <w:kern w:val="0"/>
                <w:szCs w:val="21"/>
                <w:highlight w:val="none"/>
              </w:rPr>
            </w:pPr>
            <w:r>
              <w:rPr>
                <w:rFonts w:hint="eastAsia" w:ascii="宋体" w:hAnsi="宋体" w:cs="宋体"/>
                <w:kern w:val="0"/>
                <w:szCs w:val="21"/>
                <w:highlight w:val="none"/>
              </w:rPr>
              <w:t>测量精度：±0.5S</w:t>
            </w:r>
          </w:p>
        </w:tc>
        <w:tc>
          <w:tcPr>
            <w:tcW w:w="794" w:type="pct"/>
            <w:vAlign w:val="center"/>
          </w:tcPr>
          <w:p w14:paraId="6DB31FE8">
            <w:pPr>
              <w:widowControl/>
              <w:jc w:val="center"/>
              <w:textAlignment w:val="center"/>
              <w:rPr>
                <w:rFonts w:ascii="宋体" w:hAnsi="宋体" w:cs="宋体"/>
                <w:kern w:val="0"/>
                <w:szCs w:val="21"/>
                <w:highlight w:val="none"/>
              </w:rPr>
            </w:pPr>
            <w:r>
              <w:rPr>
                <w:rFonts w:hint="eastAsia" w:ascii="宋体" w:hAnsi="宋体" w:cs="宋体"/>
                <w:kern w:val="0"/>
                <w:szCs w:val="21"/>
                <w:highlight w:val="none"/>
              </w:rPr>
              <w:t>1台</w:t>
            </w:r>
          </w:p>
        </w:tc>
      </w:tr>
      <w:tr w14:paraId="28267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67" w:type="pct"/>
            <w:vMerge w:val="continue"/>
            <w:vAlign w:val="center"/>
          </w:tcPr>
          <w:p w14:paraId="7472C53D">
            <w:pPr>
              <w:jc w:val="center"/>
              <w:rPr>
                <w:rFonts w:ascii="宋体" w:hAnsi="宋体" w:cs="宋体"/>
                <w:szCs w:val="21"/>
                <w:highlight w:val="none"/>
              </w:rPr>
            </w:pPr>
          </w:p>
        </w:tc>
        <w:tc>
          <w:tcPr>
            <w:tcW w:w="794" w:type="pct"/>
            <w:vAlign w:val="center"/>
          </w:tcPr>
          <w:p w14:paraId="021CB9D5">
            <w:pPr>
              <w:widowControl/>
              <w:textAlignment w:val="center"/>
              <w:rPr>
                <w:rFonts w:ascii="宋体" w:hAnsi="宋体" w:cs="宋体"/>
                <w:szCs w:val="21"/>
                <w:highlight w:val="none"/>
              </w:rPr>
            </w:pPr>
            <w:r>
              <w:rPr>
                <w:rFonts w:hint="eastAsia" w:ascii="宋体" w:hAnsi="宋体" w:cs="宋体"/>
                <w:kern w:val="0"/>
                <w:szCs w:val="21"/>
                <w:highlight w:val="none"/>
              </w:rPr>
              <w:t>标记浮标(含通讯、供电）</w:t>
            </w:r>
          </w:p>
        </w:tc>
        <w:tc>
          <w:tcPr>
            <w:tcW w:w="3143" w:type="pct"/>
            <w:vAlign w:val="center"/>
          </w:tcPr>
          <w:p w14:paraId="71BA97B6">
            <w:pPr>
              <w:rPr>
                <w:rFonts w:ascii="宋体" w:hAnsi="宋体" w:cs="宋体"/>
                <w:kern w:val="0"/>
                <w:szCs w:val="21"/>
                <w:highlight w:val="none"/>
              </w:rPr>
            </w:pPr>
            <w:r>
              <w:rPr>
                <w:rFonts w:hint="eastAsia" w:ascii="宋体" w:hAnsi="宋体" w:cs="宋体"/>
                <w:sz w:val="24"/>
                <w:highlight w:val="none"/>
              </w:rPr>
              <w:t>●</w:t>
            </w:r>
            <w:r>
              <w:rPr>
                <w:rFonts w:hint="eastAsia" w:ascii="宋体" w:hAnsi="宋体" w:cs="宋体"/>
                <w:kern w:val="0"/>
                <w:szCs w:val="21"/>
                <w:highlight w:val="none"/>
              </w:rPr>
              <w:t>1）浮标直径≥1200mm；</w:t>
            </w:r>
          </w:p>
          <w:p w14:paraId="485174CF">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2）浮标体防电磁干扰，总高不小于1500mm，直径不小于1200mm，浮标体储备浮力不小于400kg，浮体整体采用玻璃钢材料制作，外部喷涂聚脲，耐腐蚀、防磨防撞性能好</w:t>
            </w:r>
          </w:p>
          <w:p w14:paraId="780FB707">
            <w:pPr>
              <w:rPr>
                <w:rFonts w:ascii="宋体" w:hAnsi="宋体"/>
                <w:szCs w:val="21"/>
                <w:highlight w:val="none"/>
              </w:rPr>
            </w:pPr>
            <w:r>
              <w:rPr>
                <w:rFonts w:hint="eastAsia" w:ascii="宋体" w:hAnsi="宋体"/>
                <w:szCs w:val="21"/>
                <w:highlight w:val="none"/>
              </w:rPr>
              <w:t>3）浮标内含4</w:t>
            </w:r>
            <w:r>
              <w:rPr>
                <w:rFonts w:ascii="宋体" w:hAnsi="宋体"/>
                <w:szCs w:val="21"/>
                <w:highlight w:val="none"/>
              </w:rPr>
              <w:t>G</w:t>
            </w:r>
            <w:r>
              <w:rPr>
                <w:rFonts w:hint="eastAsia" w:ascii="宋体" w:hAnsi="宋体"/>
                <w:szCs w:val="21"/>
                <w:highlight w:val="none"/>
              </w:rPr>
              <w:t>无线通讯、电池仓、数据采集仓，蓄电池要求≥3</w:t>
            </w:r>
            <w:r>
              <w:rPr>
                <w:rFonts w:ascii="宋体" w:hAnsi="宋体"/>
                <w:szCs w:val="21"/>
                <w:highlight w:val="none"/>
              </w:rPr>
              <w:t>00A</w:t>
            </w:r>
            <w:r>
              <w:rPr>
                <w:rFonts w:hint="eastAsia" w:ascii="宋体" w:hAnsi="宋体"/>
                <w:szCs w:val="21"/>
                <w:highlight w:val="none"/>
              </w:rPr>
              <w:t>h铅酸蓄电池，太阳能电池板要求≥60</w:t>
            </w:r>
            <w:r>
              <w:rPr>
                <w:rFonts w:ascii="宋体" w:hAnsi="宋体"/>
                <w:szCs w:val="21"/>
                <w:highlight w:val="none"/>
              </w:rPr>
              <w:t>W</w:t>
            </w:r>
            <w:r>
              <w:rPr>
                <w:rFonts w:hint="eastAsia" w:ascii="宋体" w:hAnsi="宋体"/>
                <w:szCs w:val="21"/>
                <w:highlight w:val="none"/>
              </w:rPr>
              <w:t>；</w:t>
            </w:r>
          </w:p>
          <w:p w14:paraId="564E0E2C">
            <w:pPr>
              <w:pStyle w:val="27"/>
              <w:ind w:left="0" w:firstLine="0"/>
              <w:rPr>
                <w:rFonts w:ascii="宋体" w:hAnsi="宋体"/>
                <w:kern w:val="2"/>
                <w:sz w:val="21"/>
                <w:szCs w:val="21"/>
                <w:highlight w:val="none"/>
              </w:rPr>
            </w:pPr>
            <w:r>
              <w:rPr>
                <w:rFonts w:hint="eastAsia" w:hAnsi="宋体"/>
                <w:kern w:val="2"/>
                <w:sz w:val="21"/>
                <w:szCs w:val="21"/>
                <w:highlight w:val="none"/>
              </w:rPr>
              <w:t>4）</w:t>
            </w:r>
            <w:r>
              <w:rPr>
                <w:rFonts w:hint="eastAsia" w:ascii="宋体" w:hAnsi="宋体"/>
                <w:kern w:val="2"/>
                <w:sz w:val="21"/>
                <w:szCs w:val="21"/>
                <w:highlight w:val="none"/>
              </w:rPr>
              <w:t>数据传输缆：可供水下设备数据通讯到浮标</w:t>
            </w:r>
          </w:p>
          <w:p w14:paraId="2890BF20">
            <w:pPr>
              <w:tabs>
                <w:tab w:val="left" w:pos="675"/>
                <w:tab w:val="left" w:pos="720"/>
                <w:tab w:val="left" w:pos="1080"/>
                <w:tab w:val="left" w:pos="1440"/>
                <w:tab w:val="left" w:pos="2160"/>
                <w:tab w:val="left" w:pos="2880"/>
                <w:tab w:val="left" w:pos="3600"/>
                <w:tab w:val="left" w:pos="4320"/>
              </w:tabs>
              <w:suppressAutoHyphens/>
              <w:rPr>
                <w:rFonts w:ascii="宋体" w:hAnsi="宋体"/>
                <w:szCs w:val="21"/>
                <w:highlight w:val="none"/>
                <w:lang w:val="en-GB"/>
              </w:rPr>
            </w:pPr>
            <w:r>
              <w:rPr>
                <w:rFonts w:hint="eastAsia" w:hAnsi="宋体"/>
                <w:szCs w:val="21"/>
                <w:highlight w:val="none"/>
              </w:rPr>
              <w:t>5）报警系统：</w:t>
            </w:r>
            <w:r>
              <w:rPr>
                <w:rFonts w:hint="eastAsia" w:ascii="宋体" w:hAnsi="宋体"/>
                <w:szCs w:val="21"/>
                <w:highlight w:val="none"/>
                <w:lang w:val="en-GB"/>
              </w:rPr>
              <w:t>具备开舱进水报警、位移报警、超时报警</w:t>
            </w:r>
          </w:p>
          <w:p w14:paraId="6CE0CC23">
            <w:pPr>
              <w:rPr>
                <w:rFonts w:ascii="宋体" w:hAnsi="宋体"/>
                <w:szCs w:val="21"/>
                <w:highlight w:val="none"/>
              </w:rPr>
            </w:pPr>
            <w:r>
              <w:rPr>
                <w:rFonts w:hint="eastAsia" w:ascii="宋体" w:hAnsi="宋体"/>
                <w:szCs w:val="21"/>
                <w:highlight w:val="none"/>
              </w:rPr>
              <w:t>6）浮标</w:t>
            </w:r>
            <w:r>
              <w:rPr>
                <w:rFonts w:hint="eastAsia" w:ascii="宋体" w:hAnsi="宋体"/>
                <w:szCs w:val="21"/>
                <w:highlight w:val="none"/>
                <w:lang w:val="en-GB"/>
              </w:rPr>
              <w:t>具有波浪浮标振动补偿技术的相关发明专利证书</w:t>
            </w:r>
          </w:p>
        </w:tc>
        <w:tc>
          <w:tcPr>
            <w:tcW w:w="794" w:type="pct"/>
            <w:vAlign w:val="center"/>
          </w:tcPr>
          <w:p w14:paraId="613BC1A1">
            <w:pPr>
              <w:widowControl/>
              <w:jc w:val="center"/>
              <w:textAlignment w:val="center"/>
              <w:rPr>
                <w:rFonts w:ascii="宋体" w:hAnsi="宋体" w:cs="宋体"/>
                <w:kern w:val="0"/>
                <w:szCs w:val="21"/>
                <w:highlight w:val="none"/>
              </w:rPr>
            </w:pPr>
            <w:r>
              <w:rPr>
                <w:rFonts w:hint="eastAsia" w:ascii="宋体" w:hAnsi="宋体" w:cs="宋体"/>
                <w:kern w:val="0"/>
                <w:szCs w:val="21"/>
                <w:highlight w:val="none"/>
              </w:rPr>
              <w:t>1套</w:t>
            </w:r>
          </w:p>
        </w:tc>
      </w:tr>
      <w:tr w14:paraId="02649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67" w:type="pct"/>
            <w:vMerge w:val="continue"/>
            <w:vAlign w:val="center"/>
          </w:tcPr>
          <w:p w14:paraId="286C7D95">
            <w:pPr>
              <w:jc w:val="center"/>
              <w:rPr>
                <w:rFonts w:ascii="宋体" w:hAnsi="宋体" w:cs="宋体"/>
                <w:szCs w:val="21"/>
                <w:highlight w:val="none"/>
              </w:rPr>
            </w:pPr>
          </w:p>
        </w:tc>
        <w:tc>
          <w:tcPr>
            <w:tcW w:w="794" w:type="pct"/>
            <w:vAlign w:val="center"/>
          </w:tcPr>
          <w:p w14:paraId="26CF2208">
            <w:pPr>
              <w:widowControl/>
              <w:textAlignment w:val="center"/>
              <w:rPr>
                <w:rFonts w:ascii="宋体" w:hAnsi="宋体" w:cs="宋体"/>
                <w:szCs w:val="21"/>
                <w:highlight w:val="none"/>
              </w:rPr>
            </w:pPr>
            <w:r>
              <w:rPr>
                <w:rFonts w:hint="eastAsia" w:ascii="宋体" w:hAnsi="宋体" w:cs="宋体"/>
                <w:kern w:val="0"/>
                <w:szCs w:val="21"/>
                <w:highlight w:val="none"/>
              </w:rPr>
              <w:t>数据采集器</w:t>
            </w:r>
          </w:p>
        </w:tc>
        <w:tc>
          <w:tcPr>
            <w:tcW w:w="3143" w:type="pct"/>
            <w:vAlign w:val="center"/>
          </w:tcPr>
          <w:p w14:paraId="63F2A897">
            <w:pPr>
              <w:rPr>
                <w:rFonts w:ascii="宋体" w:hAnsi="宋体" w:cs="宋体"/>
                <w:kern w:val="0"/>
                <w:szCs w:val="21"/>
                <w:highlight w:val="none"/>
              </w:rPr>
            </w:pPr>
            <w:r>
              <w:rPr>
                <w:rFonts w:hint="eastAsia" w:ascii="宋体" w:hAnsi="宋体" w:cs="宋体"/>
                <w:kern w:val="0"/>
                <w:szCs w:val="21"/>
                <w:highlight w:val="none"/>
              </w:rPr>
              <w:t>1）工作温度：-10°C ~50°C；</w:t>
            </w:r>
          </w:p>
          <w:p w14:paraId="1CFCB28E">
            <w:pPr>
              <w:rPr>
                <w:rFonts w:ascii="宋体" w:hAnsi="宋体" w:cs="宋体"/>
                <w:kern w:val="0"/>
                <w:szCs w:val="21"/>
                <w:highlight w:val="none"/>
              </w:rPr>
            </w:pPr>
            <w:r>
              <w:rPr>
                <w:rFonts w:hint="eastAsia" w:ascii="宋体" w:hAnsi="宋体" w:cs="宋体"/>
                <w:kern w:val="0"/>
                <w:szCs w:val="21"/>
                <w:highlight w:val="none"/>
              </w:rPr>
              <w:t>2）通信端口：RS232、RS485、TTL、SPI、IIC等；</w:t>
            </w:r>
          </w:p>
          <w:p w14:paraId="7BC357AA">
            <w:pPr>
              <w:rPr>
                <w:rFonts w:ascii="宋体" w:hAnsi="宋体" w:cs="宋体"/>
                <w:kern w:val="0"/>
                <w:szCs w:val="21"/>
                <w:highlight w:val="none"/>
              </w:rPr>
            </w:pPr>
            <w:r>
              <w:rPr>
                <w:rFonts w:hint="eastAsia" w:ascii="宋体" w:hAnsi="宋体" w:cs="宋体"/>
                <w:kern w:val="0"/>
                <w:szCs w:val="21"/>
                <w:highlight w:val="none"/>
              </w:rPr>
              <w:t>3）存储：SD卡存储，不小于32G；</w:t>
            </w:r>
          </w:p>
          <w:p w14:paraId="48FA2E02">
            <w:pPr>
              <w:rPr>
                <w:rFonts w:ascii="宋体" w:hAnsi="宋体" w:cs="宋体"/>
                <w:kern w:val="0"/>
                <w:szCs w:val="21"/>
                <w:highlight w:val="none"/>
              </w:rPr>
            </w:pPr>
            <w:r>
              <w:rPr>
                <w:rFonts w:hint="eastAsia" w:ascii="宋体" w:hAnsi="宋体" w:cs="宋体"/>
                <w:kern w:val="0"/>
                <w:szCs w:val="21"/>
                <w:highlight w:val="none"/>
              </w:rPr>
              <w:t>4）供电电压：9V-16V（DC）；</w:t>
            </w:r>
          </w:p>
          <w:p w14:paraId="76F82E37">
            <w:pPr>
              <w:rPr>
                <w:rFonts w:ascii="宋体" w:hAnsi="宋体" w:cs="宋体"/>
                <w:kern w:val="0"/>
                <w:szCs w:val="21"/>
                <w:highlight w:val="none"/>
              </w:rPr>
            </w:pPr>
            <w:r>
              <w:rPr>
                <w:rFonts w:hint="eastAsia" w:ascii="宋体" w:hAnsi="宋体" w:cs="宋体"/>
                <w:kern w:val="0"/>
                <w:szCs w:val="21"/>
                <w:highlight w:val="none"/>
              </w:rPr>
              <w:t>5）时钟精度：自动校正功能，准确度不大于15s/月；</w:t>
            </w:r>
          </w:p>
          <w:p w14:paraId="3B271BDC">
            <w:pPr>
              <w:rPr>
                <w:rFonts w:ascii="宋体" w:hAnsi="宋体" w:cs="宋体"/>
                <w:kern w:val="0"/>
                <w:szCs w:val="21"/>
                <w:highlight w:val="none"/>
              </w:rPr>
            </w:pPr>
            <w:r>
              <w:rPr>
                <w:rFonts w:hint="eastAsia" w:ascii="宋体" w:hAnsi="宋体" w:cs="宋体"/>
                <w:kern w:val="0"/>
                <w:szCs w:val="21"/>
                <w:highlight w:val="none"/>
              </w:rPr>
              <w:t>6）支持通讯协议： Modbus,自有协议等；</w:t>
            </w:r>
          </w:p>
          <w:p w14:paraId="5EF7B60A">
            <w:pPr>
              <w:rPr>
                <w:rFonts w:ascii="宋体" w:hAnsi="宋体" w:cs="宋体"/>
                <w:kern w:val="0"/>
                <w:szCs w:val="21"/>
                <w:highlight w:val="none"/>
              </w:rPr>
            </w:pPr>
            <w:r>
              <w:rPr>
                <w:rFonts w:hint="eastAsia" w:ascii="宋体" w:hAnsi="宋体" w:cs="宋体"/>
                <w:kern w:val="0"/>
                <w:szCs w:val="21"/>
                <w:highlight w:val="none"/>
              </w:rPr>
              <w:t>7）健康监测：电压、温度、湿度，时间、坐标等；</w:t>
            </w:r>
          </w:p>
          <w:p w14:paraId="6B9304C7">
            <w:pPr>
              <w:rPr>
                <w:rFonts w:ascii="宋体" w:hAnsi="宋体" w:cs="宋体"/>
                <w:kern w:val="0"/>
                <w:szCs w:val="21"/>
                <w:highlight w:val="none"/>
              </w:rPr>
            </w:pPr>
            <w:r>
              <w:rPr>
                <w:rFonts w:hint="eastAsia" w:ascii="宋体" w:hAnsi="宋体" w:cs="宋体"/>
                <w:kern w:val="0"/>
                <w:szCs w:val="21"/>
                <w:highlight w:val="none"/>
              </w:rPr>
              <w:t>8）低功耗功率：＜8mA；</w:t>
            </w:r>
          </w:p>
          <w:p w14:paraId="78CFB4B7">
            <w:pPr>
              <w:rPr>
                <w:rFonts w:ascii="宋体" w:hAnsi="宋体" w:cs="宋体"/>
                <w:kern w:val="0"/>
                <w:szCs w:val="21"/>
                <w:highlight w:val="none"/>
              </w:rPr>
            </w:pPr>
            <w:r>
              <w:rPr>
                <w:rFonts w:hint="eastAsia" w:ascii="宋体" w:hAnsi="宋体" w:cs="宋体"/>
                <w:kern w:val="0"/>
                <w:szCs w:val="21"/>
                <w:highlight w:val="none"/>
              </w:rPr>
              <w:t>9）内部集成传感器协议：波浪传感器、温深传感器、ADCP等，封装函数，支持快速配置。</w:t>
            </w:r>
          </w:p>
          <w:p w14:paraId="5DD8D9F5">
            <w:pPr>
              <w:rPr>
                <w:rFonts w:ascii="宋体" w:hAnsi="宋体" w:cs="宋体"/>
                <w:kern w:val="0"/>
                <w:szCs w:val="21"/>
                <w:highlight w:val="none"/>
              </w:rPr>
            </w:pPr>
            <w:r>
              <w:rPr>
                <w:rFonts w:hint="eastAsia" w:ascii="宋体" w:hAnsi="宋体" w:cs="宋体"/>
                <w:kern w:val="0"/>
                <w:szCs w:val="21"/>
                <w:highlight w:val="none"/>
              </w:rPr>
              <w:t>10）兼容通讯模组：4G/5G模块、北斗单双向传输模组（北斗三代）。</w:t>
            </w:r>
          </w:p>
          <w:p w14:paraId="11C3F88E">
            <w:pPr>
              <w:rPr>
                <w:rFonts w:ascii="宋体" w:hAnsi="宋体" w:cs="宋体"/>
                <w:kern w:val="0"/>
                <w:szCs w:val="21"/>
                <w:highlight w:val="none"/>
              </w:rPr>
            </w:pPr>
            <w:r>
              <w:rPr>
                <w:rFonts w:hint="eastAsia" w:ascii="宋体" w:hAnsi="宋体" w:cs="宋体"/>
                <w:kern w:val="0"/>
                <w:szCs w:val="21"/>
                <w:highlight w:val="none"/>
              </w:rPr>
              <w:t>11）防水、防尘等级不低于IP68；</w:t>
            </w:r>
          </w:p>
          <w:p w14:paraId="66E6AACB">
            <w:pPr>
              <w:rPr>
                <w:rFonts w:ascii="宋体" w:hAnsi="宋体" w:cs="宋体"/>
                <w:kern w:val="0"/>
                <w:szCs w:val="21"/>
                <w:highlight w:val="none"/>
              </w:rPr>
            </w:pPr>
            <w:r>
              <w:rPr>
                <w:rFonts w:hint="eastAsia" w:ascii="宋体" w:hAnsi="宋体" w:cs="宋体"/>
                <w:kern w:val="0"/>
                <w:szCs w:val="21"/>
                <w:highlight w:val="none"/>
              </w:rPr>
              <w:t>12）参数配置：支持本地配置；</w:t>
            </w:r>
          </w:p>
          <w:p w14:paraId="65FA736D">
            <w:pPr>
              <w:autoSpaceDE w:val="0"/>
              <w:autoSpaceDN w:val="0"/>
              <w:spacing w:line="360" w:lineRule="auto"/>
              <w:jc w:val="left"/>
              <w:rPr>
                <w:rFonts w:ascii="宋体" w:hAnsi="宋体" w:cs="宋体"/>
                <w:kern w:val="0"/>
                <w:szCs w:val="21"/>
                <w:highlight w:val="none"/>
              </w:rPr>
            </w:pPr>
            <w:r>
              <w:rPr>
                <w:rFonts w:hint="eastAsia" w:ascii="宋体" w:hAnsi="宋体" w:cs="宋体"/>
                <w:kern w:val="0"/>
                <w:szCs w:val="21"/>
                <w:highlight w:val="none"/>
              </w:rPr>
              <w:t>13）数据压缩：按每天回传一次进行在线数据压缩，小于按16进制或ASCII码传输数据量的75%，最优压缩率小于按16进制或ASCII码传输数据量的35%，数据可配套解压，需提供压缩结果证明文件</w:t>
            </w:r>
          </w:p>
          <w:p w14:paraId="2C6A73A2">
            <w:pPr>
              <w:autoSpaceDE w:val="0"/>
              <w:autoSpaceDN w:val="0"/>
              <w:spacing w:line="360" w:lineRule="auto"/>
              <w:jc w:val="left"/>
              <w:rPr>
                <w:rFonts w:ascii="宋体" w:hAnsi="宋体" w:cs="宋体"/>
                <w:kern w:val="0"/>
                <w:szCs w:val="21"/>
                <w:highlight w:val="none"/>
              </w:rPr>
            </w:pPr>
            <w:r>
              <w:rPr>
                <w:rFonts w:hint="eastAsia" w:ascii="宋体" w:hAnsi="宋体" w:cs="宋体"/>
                <w:kern w:val="0"/>
                <w:szCs w:val="21"/>
                <w:highlight w:val="none"/>
              </w:rPr>
              <w:t>14）数据兼容性：可接入海洋装备智慧组网系统，需提供对接测试报告，并需在数据类型等项目上有可扩展性以集成其他数据。</w:t>
            </w:r>
          </w:p>
        </w:tc>
        <w:tc>
          <w:tcPr>
            <w:tcW w:w="794" w:type="pct"/>
            <w:vAlign w:val="center"/>
          </w:tcPr>
          <w:p w14:paraId="369A4108">
            <w:pPr>
              <w:widowControl/>
              <w:jc w:val="center"/>
              <w:textAlignment w:val="center"/>
              <w:rPr>
                <w:rFonts w:ascii="宋体" w:hAnsi="宋体" w:cs="宋体"/>
                <w:kern w:val="0"/>
                <w:szCs w:val="21"/>
                <w:highlight w:val="none"/>
              </w:rPr>
            </w:pPr>
            <w:r>
              <w:rPr>
                <w:rFonts w:hint="eastAsia" w:ascii="宋体" w:hAnsi="宋体" w:cs="宋体"/>
                <w:kern w:val="0"/>
                <w:szCs w:val="21"/>
                <w:highlight w:val="none"/>
              </w:rPr>
              <w:t>1套</w:t>
            </w:r>
          </w:p>
        </w:tc>
      </w:tr>
      <w:tr w14:paraId="2A25B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67" w:type="pct"/>
            <w:vMerge w:val="continue"/>
            <w:vAlign w:val="center"/>
          </w:tcPr>
          <w:p w14:paraId="59C4DC05">
            <w:pPr>
              <w:jc w:val="center"/>
              <w:rPr>
                <w:rFonts w:ascii="宋体" w:hAnsi="宋体" w:cs="宋体"/>
                <w:szCs w:val="21"/>
                <w:highlight w:val="none"/>
              </w:rPr>
            </w:pPr>
          </w:p>
        </w:tc>
        <w:tc>
          <w:tcPr>
            <w:tcW w:w="794" w:type="pct"/>
            <w:vAlign w:val="center"/>
          </w:tcPr>
          <w:p w14:paraId="7DB591EE">
            <w:pPr>
              <w:widowControl/>
              <w:textAlignment w:val="center"/>
              <w:rPr>
                <w:rFonts w:ascii="宋体" w:hAnsi="宋体" w:cs="宋体"/>
                <w:szCs w:val="21"/>
                <w:highlight w:val="none"/>
              </w:rPr>
            </w:pPr>
            <w:r>
              <w:rPr>
                <w:rFonts w:hint="eastAsia" w:ascii="宋体" w:hAnsi="宋体" w:cs="宋体"/>
                <w:kern w:val="0"/>
                <w:sz w:val="24"/>
                <w:highlight w:val="none"/>
              </w:rPr>
              <w:t>★</w:t>
            </w:r>
            <w:r>
              <w:rPr>
                <w:rFonts w:hint="eastAsia" w:ascii="宋体" w:hAnsi="宋体" w:cs="宋体"/>
                <w:kern w:val="0"/>
                <w:szCs w:val="21"/>
                <w:highlight w:val="none"/>
              </w:rPr>
              <w:t>安装维护（含校准、布放、回收等）</w:t>
            </w:r>
          </w:p>
        </w:tc>
        <w:tc>
          <w:tcPr>
            <w:tcW w:w="3143" w:type="pct"/>
            <w:vAlign w:val="center"/>
          </w:tcPr>
          <w:p w14:paraId="678E04BB">
            <w:pPr>
              <w:rPr>
                <w:rFonts w:ascii="宋体" w:hAnsi="宋体" w:cs="宋体"/>
                <w:kern w:val="0"/>
                <w:szCs w:val="21"/>
                <w:highlight w:val="none"/>
              </w:rPr>
            </w:pPr>
            <w:r>
              <w:rPr>
                <w:rFonts w:hint="eastAsia" w:ascii="宋体" w:hAnsi="宋体" w:cs="宋体"/>
                <w:kern w:val="0"/>
                <w:szCs w:val="21"/>
                <w:highlight w:val="none"/>
              </w:rPr>
              <w:t>1）布放主要包括对于海床基的投放及回收，标记浮标的投放及回收；</w:t>
            </w:r>
          </w:p>
          <w:p w14:paraId="3FEDAF73">
            <w:pPr>
              <w:rPr>
                <w:rFonts w:ascii="宋体" w:hAnsi="宋体"/>
                <w:szCs w:val="21"/>
                <w:highlight w:val="none"/>
              </w:rPr>
            </w:pPr>
            <w:r>
              <w:rPr>
                <w:rFonts w:hint="eastAsia" w:ascii="宋体" w:hAnsi="宋体"/>
                <w:szCs w:val="21"/>
                <w:highlight w:val="none"/>
              </w:rPr>
              <w:t>2）安装主要包括对于海床基及浮标体运输到现场后的组装及检测；</w:t>
            </w:r>
          </w:p>
          <w:p w14:paraId="51001671">
            <w:pPr>
              <w:rPr>
                <w:highlight w:val="none"/>
              </w:rPr>
            </w:pPr>
            <w:r>
              <w:rPr>
                <w:rFonts w:hint="eastAsia" w:ascii="宋体" w:hAnsi="宋体" w:cs="宋体"/>
                <w:kern w:val="0"/>
                <w:szCs w:val="21"/>
                <w:highlight w:val="none"/>
              </w:rPr>
              <w:t>3）浮标每年布放时间连续3个月，维护主要包括1次/年，</w:t>
            </w:r>
            <w:r>
              <w:rPr>
                <w:rFonts w:hint="eastAsia" w:ascii="宋体" w:hAnsi="宋体" w:cs="宋体"/>
                <w:color w:val="auto"/>
                <w:kern w:val="0"/>
                <w:szCs w:val="21"/>
                <w:highlight w:val="none"/>
              </w:rPr>
              <w:t>共计5年的保障数据运行维护，维护内容主要包括仪器校准、系统</w:t>
            </w:r>
            <w:r>
              <w:rPr>
                <w:rFonts w:hint="eastAsia" w:ascii="宋体" w:hAnsi="宋体" w:cs="宋体"/>
                <w:kern w:val="0"/>
                <w:szCs w:val="21"/>
                <w:highlight w:val="none"/>
              </w:rPr>
              <w:t>定期收回清理并重新布放。</w:t>
            </w:r>
          </w:p>
        </w:tc>
        <w:tc>
          <w:tcPr>
            <w:tcW w:w="794" w:type="pct"/>
            <w:vAlign w:val="center"/>
          </w:tcPr>
          <w:p w14:paraId="455C392A">
            <w:pPr>
              <w:widowControl/>
              <w:jc w:val="center"/>
              <w:textAlignment w:val="center"/>
              <w:rPr>
                <w:rFonts w:ascii="宋体" w:hAnsi="宋体" w:cs="宋体"/>
                <w:kern w:val="0"/>
                <w:szCs w:val="21"/>
                <w:highlight w:val="none"/>
              </w:rPr>
            </w:pPr>
            <w:r>
              <w:rPr>
                <w:rFonts w:hint="eastAsia" w:ascii="宋体" w:hAnsi="宋体" w:cs="宋体"/>
                <w:kern w:val="0"/>
                <w:szCs w:val="21"/>
                <w:highlight w:val="none"/>
              </w:rPr>
              <w:t>5年</w:t>
            </w:r>
          </w:p>
        </w:tc>
      </w:tr>
    </w:tbl>
    <w:p w14:paraId="25B25F15">
      <w:pPr>
        <w:snapToGrid w:val="0"/>
        <w:spacing w:line="360" w:lineRule="auto"/>
        <w:rPr>
          <w:rFonts w:ascii="宋体" w:hAnsi="宋体"/>
          <w:sz w:val="24"/>
          <w:szCs w:val="24"/>
          <w:highlight w:val="none"/>
        </w:rPr>
      </w:pPr>
      <w:r>
        <w:rPr>
          <w:rFonts w:hint="eastAsia" w:ascii="宋体" w:hAnsi="宋体"/>
          <w:color w:val="000000"/>
          <w:sz w:val="24"/>
          <w:highlight w:val="none"/>
        </w:rPr>
        <w:t>注：括号内数据为团山数据。</w:t>
      </w:r>
    </w:p>
    <w:p w14:paraId="56365292">
      <w:pPr>
        <w:adjustRightInd w:val="0"/>
        <w:snapToGrid w:val="0"/>
        <w:spacing w:line="360" w:lineRule="auto"/>
        <w:ind w:left="723" w:hanging="723" w:hangingChars="300"/>
        <w:outlineLvl w:val="2"/>
        <w:rPr>
          <w:rFonts w:ascii="宋体" w:hAnsi="宋体"/>
          <w:b/>
          <w:bCs/>
          <w:sz w:val="24"/>
          <w:szCs w:val="24"/>
          <w:highlight w:val="none"/>
        </w:rPr>
      </w:pPr>
      <w:bookmarkStart w:id="82" w:name="_Toc3972"/>
      <w:bookmarkStart w:id="83" w:name="_Toc1179"/>
      <w:r>
        <w:rPr>
          <w:rFonts w:hint="eastAsia" w:ascii="宋体" w:hAnsi="宋体"/>
          <w:b/>
          <w:bCs/>
          <w:sz w:val="24"/>
          <w:szCs w:val="24"/>
          <w:highlight w:val="none"/>
        </w:rPr>
        <w:t>（二）</w:t>
      </w:r>
      <w:r>
        <w:rPr>
          <w:rFonts w:hint="eastAsia" w:ascii="宋体" w:hAnsi="宋体"/>
          <w:b/>
          <w:bCs/>
          <w:sz w:val="24"/>
          <w:highlight w:val="none"/>
        </w:rPr>
        <w:t>岸基水动力监测系统</w:t>
      </w:r>
      <w:bookmarkEnd w:id="82"/>
      <w:bookmarkEnd w:id="83"/>
    </w:p>
    <w:p w14:paraId="25554E3C">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为补充海基水文观测的不足，拟在大辽河口布置一套岸基水动力监测系统，采用非接触式的雷达观测，获得表面流速及水位过程，进而统计河口流量等数据。</w:t>
      </w:r>
    </w:p>
    <w:p w14:paraId="6E6665C9">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岸基水动力监测系统是一种用于实时监测和测量明渠中水流量的智能化在线监测系统。它结合了现代传感器技术、数据处理和通信系统，实现了水流量的高精度测量和实时数据传输，非接触式流量传感器以其独特的优势，正逐渐成为流量监测的优先选择方案。</w:t>
      </w:r>
    </w:p>
    <w:p w14:paraId="7EF95506">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岸基水动力监测系统由雷达流量计、雨量传感器、数据采集终端（RTU）、通信模块以及供电系统等部分组成. 它采用雷达平面微波技术，通过向水面发射雷达波，利用多普勒效应测量水流表面流速，并结合水位测量数据，依据内置的软件算法计算出瞬时断面流量及累计流量，从而实现对明渠水流的精确测量。</w:t>
      </w:r>
    </w:p>
    <w:p w14:paraId="44839DF4">
      <w:pPr>
        <w:pStyle w:val="27"/>
        <w:ind w:left="0" w:firstLine="0"/>
        <w:jc w:val="center"/>
        <w:rPr>
          <w:rFonts w:ascii="宋体" w:hAnsi="宋体"/>
          <w:szCs w:val="24"/>
          <w:highlight w:val="none"/>
        </w:rPr>
      </w:pPr>
      <w:r>
        <w:rPr>
          <w:rFonts w:ascii="宋体" w:hAnsi="宋体"/>
          <w:szCs w:val="24"/>
          <w:highlight w:val="none"/>
        </w:rPr>
        <w:drawing>
          <wp:inline distT="0" distB="0" distL="114300" distR="114300">
            <wp:extent cx="5247005" cy="2848610"/>
            <wp:effectExtent l="0" t="0" r="10795" b="889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2" cstate="print"/>
                    <a:stretch>
                      <a:fillRect/>
                    </a:stretch>
                  </pic:blipFill>
                  <pic:spPr>
                    <a:xfrm>
                      <a:off x="0" y="0"/>
                      <a:ext cx="5247005" cy="2848610"/>
                    </a:xfrm>
                    <a:prstGeom prst="rect">
                      <a:avLst/>
                    </a:prstGeom>
                    <a:noFill/>
                    <a:ln>
                      <a:noFill/>
                    </a:ln>
                  </pic:spPr>
                </pic:pic>
              </a:graphicData>
            </a:graphic>
          </wp:inline>
        </w:drawing>
      </w:r>
    </w:p>
    <w:p w14:paraId="18CE427C">
      <w:pPr>
        <w:adjustRightInd w:val="0"/>
        <w:snapToGrid w:val="0"/>
        <w:spacing w:line="360" w:lineRule="auto"/>
        <w:jc w:val="center"/>
        <w:textAlignment w:val="baseline"/>
        <w:rPr>
          <w:rFonts w:ascii="黑体" w:hAnsi="黑体" w:eastAsia="黑体" w:cs="仿宋"/>
          <w:b/>
          <w:kern w:val="0"/>
          <w:sz w:val="24"/>
          <w:szCs w:val="24"/>
          <w:highlight w:val="none"/>
        </w:rPr>
      </w:pPr>
      <w:r>
        <w:rPr>
          <w:rFonts w:hint="eastAsia" w:ascii="黑体" w:hAnsi="黑体" w:eastAsia="黑体" w:cs="仿宋"/>
          <w:b/>
          <w:kern w:val="0"/>
          <w:sz w:val="24"/>
          <w:szCs w:val="24"/>
          <w:highlight w:val="none"/>
        </w:rPr>
        <w:t xml:space="preserve">  岸基水动力架构示意</w:t>
      </w:r>
    </w:p>
    <w:p w14:paraId="6C92AB74">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根据实际情况，本次项目安装采用一体化安装或分体式安装：一体化安装较为简便，将雷达流量计的各个部件集成在一起，整体安装在合适的位置；分体式安装则可以将传感器和数据处理单元等分开安装，根据现场环境灵活布置，便于维护和管理。</w:t>
      </w:r>
    </w:p>
    <w:p w14:paraId="61ABE626">
      <w:pPr>
        <w:pStyle w:val="27"/>
        <w:ind w:left="0" w:firstLine="0"/>
        <w:jc w:val="center"/>
        <w:rPr>
          <w:rFonts w:ascii="宋体" w:hAnsi="宋体"/>
          <w:szCs w:val="24"/>
          <w:highlight w:val="none"/>
        </w:rPr>
      </w:pPr>
    </w:p>
    <w:p w14:paraId="1DF03881">
      <w:pPr>
        <w:spacing w:line="360" w:lineRule="auto"/>
        <w:jc w:val="center"/>
        <w:rPr>
          <w:rFonts w:ascii="宋体" w:hAnsi="宋体"/>
          <w:sz w:val="24"/>
          <w:szCs w:val="24"/>
          <w:highlight w:val="none"/>
        </w:rPr>
      </w:pPr>
      <w:r>
        <w:rPr>
          <w:rFonts w:hint="eastAsia" w:ascii="宋体" w:hAnsi="宋体"/>
          <w:sz w:val="24"/>
          <w:szCs w:val="24"/>
          <w:highlight w:val="none"/>
        </w:rPr>
        <w:drawing>
          <wp:inline distT="0" distB="0" distL="114300" distR="114300">
            <wp:extent cx="2733040" cy="3245485"/>
            <wp:effectExtent l="0" t="0" r="10160" b="120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3" cstate="print"/>
                    <a:srcRect l="5824" t="12819" r="14786" b="16489"/>
                    <a:stretch>
                      <a:fillRect/>
                    </a:stretch>
                  </pic:blipFill>
                  <pic:spPr>
                    <a:xfrm>
                      <a:off x="0" y="0"/>
                      <a:ext cx="2733040" cy="3245485"/>
                    </a:xfrm>
                    <a:prstGeom prst="rect">
                      <a:avLst/>
                    </a:prstGeom>
                    <a:noFill/>
                    <a:ln>
                      <a:noFill/>
                    </a:ln>
                  </pic:spPr>
                </pic:pic>
              </a:graphicData>
            </a:graphic>
          </wp:inline>
        </w:drawing>
      </w:r>
    </w:p>
    <w:p w14:paraId="0941C9BC">
      <w:pPr>
        <w:adjustRightInd w:val="0"/>
        <w:snapToGrid w:val="0"/>
        <w:spacing w:line="360" w:lineRule="auto"/>
        <w:jc w:val="center"/>
        <w:textAlignment w:val="baseline"/>
        <w:rPr>
          <w:rFonts w:ascii="黑体" w:hAnsi="黑体" w:eastAsia="黑体" w:cs="仿宋"/>
          <w:b/>
          <w:kern w:val="0"/>
          <w:sz w:val="24"/>
          <w:szCs w:val="24"/>
          <w:highlight w:val="none"/>
        </w:rPr>
      </w:pPr>
      <w:r>
        <w:rPr>
          <w:rFonts w:hint="eastAsia" w:ascii="黑体" w:hAnsi="黑体" w:eastAsia="黑体" w:cs="仿宋"/>
          <w:b/>
          <w:kern w:val="0"/>
          <w:sz w:val="24"/>
          <w:szCs w:val="24"/>
          <w:highlight w:val="none"/>
        </w:rPr>
        <w:t xml:space="preserve">  岸基水动力监测系统安装示意图</w:t>
      </w:r>
    </w:p>
    <w:p w14:paraId="02A0E3CB">
      <w:pPr>
        <w:adjustRightInd w:val="0"/>
        <w:snapToGrid w:val="0"/>
        <w:spacing w:line="360" w:lineRule="auto"/>
        <w:rPr>
          <w:rFonts w:ascii="宋体" w:hAnsi="宋体"/>
          <w:sz w:val="24"/>
          <w:szCs w:val="24"/>
          <w:highlight w:val="none"/>
        </w:rPr>
      </w:pPr>
      <w:r>
        <w:rPr>
          <w:rFonts w:hint="eastAsia" w:ascii="宋体" w:hAnsi="宋体"/>
          <w:sz w:val="24"/>
          <w:szCs w:val="24"/>
          <w:highlight w:val="none"/>
        </w:rPr>
        <w:t>岸基水动力监测系统功能特点</w:t>
      </w:r>
    </w:p>
    <w:p w14:paraId="525A69E5">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非接触式测量优势明显：无需与水体直接接触，不会对水流产生干扰，也不会因水中的杂质、泥沙、漂浮物等影响测量精度，能够真实地反映水流的自然状态，同时也降低了设备的维护成本和风险。</w:t>
      </w:r>
    </w:p>
    <w:p w14:paraId="569882AC">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高精度与高稳定性：采用先进的雷达技术，测量精度高，不受距离、温度、气压、水质等环境因素的影响，能够在各种复杂的工况下稳定工作，提供准确可靠的数据。</w:t>
      </w:r>
    </w:p>
    <w:p w14:paraId="7374E658">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实时远程监测：配备数据采集终端和通信模块，支持多种通信方式，如4G、5G等，可以将测量数据实时传输至远程监控中心，管理人员能够随时随地通过电脑或移动设备查看水流的实时数据，及时掌握明渠的水流状况，实现远程监控和管理。</w:t>
      </w:r>
    </w:p>
    <w:p w14:paraId="76488B6D">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低功耗与太阳能供电：系统功耗低，可采用太阳能供电系统，无需铺设复杂的供电线路，尤其适用于一些偏远地区或无市电供应的场所，降低了安装成本和难度，同时也提高了系统的可靠性和灵活性。</w:t>
      </w:r>
    </w:p>
    <w:p w14:paraId="5F382397">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抗干扰能力强：具有雨天模式等抗干扰功能，能够有效防止下雨、风沙等恶劣天气对测量结果的影响，确保数据的准确性和连续性。</w:t>
      </w:r>
    </w:p>
    <w:p w14:paraId="4775DFB9">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易于安装和维护：安装过程相对简单，无需对明渠进行大规模改造或水下作业，一般只需将设备安装在河岸或桥梁等合适位置即可。日常维护工作也较为轻松，主要是定期检查设备的运行状态、清洁雷达天线等，无需专业的潜水设备或复杂的维护操作。</w:t>
      </w:r>
    </w:p>
    <w:p w14:paraId="7ADF032C">
      <w:pPr>
        <w:pStyle w:val="55"/>
        <w:adjustRightInd w:val="0"/>
        <w:snapToGrid w:val="0"/>
        <w:spacing w:beforeLines="0"/>
        <w:ind w:firstLine="0" w:firstLineChars="0"/>
        <w:jc w:val="center"/>
        <w:rPr>
          <w:rFonts w:ascii="黑体" w:hAnsi="黑体" w:eastAsia="黑体" w:cs="黑体"/>
          <w:b/>
          <w:kern w:val="0"/>
          <w:szCs w:val="24"/>
          <w:highlight w:val="none"/>
        </w:rPr>
      </w:pPr>
      <w:r>
        <w:rPr>
          <w:rFonts w:hint="eastAsia" w:ascii="黑体" w:hAnsi="黑体" w:eastAsia="黑体" w:cs="仿宋"/>
          <w:b/>
          <w:kern w:val="0"/>
          <w:szCs w:val="24"/>
          <w:highlight w:val="none"/>
        </w:rPr>
        <w:t>岸基水动力监测系统</w:t>
      </w:r>
      <w:r>
        <w:rPr>
          <w:rFonts w:hint="eastAsia" w:ascii="黑体" w:hAnsi="黑体" w:eastAsia="黑体" w:cs="黑体"/>
          <w:b/>
          <w:kern w:val="0"/>
          <w:szCs w:val="24"/>
          <w:highlight w:val="none"/>
        </w:rPr>
        <w:t>详细技术参数明细表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9"/>
        <w:gridCol w:w="1037"/>
        <w:gridCol w:w="6445"/>
        <w:gridCol w:w="1529"/>
      </w:tblGrid>
      <w:tr w14:paraId="01757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Align w:val="center"/>
          </w:tcPr>
          <w:p w14:paraId="3A406C25">
            <w:pPr>
              <w:widowControl/>
              <w:jc w:val="center"/>
              <w:textAlignment w:val="center"/>
              <w:rPr>
                <w:rFonts w:ascii="宋体" w:hAnsi="宋体" w:cs="宋体"/>
                <w:b/>
                <w:bCs/>
                <w:sz w:val="20"/>
                <w:highlight w:val="none"/>
              </w:rPr>
            </w:pPr>
            <w:r>
              <w:rPr>
                <w:rFonts w:hint="eastAsia" w:ascii="宋体" w:hAnsi="宋体" w:cs="宋体"/>
                <w:b/>
                <w:bCs/>
                <w:sz w:val="20"/>
                <w:highlight w:val="none"/>
              </w:rPr>
              <w:t>建设内容</w:t>
            </w:r>
          </w:p>
        </w:tc>
        <w:tc>
          <w:tcPr>
            <w:tcW w:w="526" w:type="pct"/>
            <w:vAlign w:val="center"/>
          </w:tcPr>
          <w:p w14:paraId="12DA9D6F">
            <w:pPr>
              <w:widowControl/>
              <w:jc w:val="center"/>
              <w:textAlignment w:val="center"/>
              <w:rPr>
                <w:rFonts w:ascii="宋体" w:hAnsi="宋体" w:cs="宋体"/>
                <w:b/>
                <w:bCs/>
                <w:sz w:val="20"/>
                <w:highlight w:val="none"/>
              </w:rPr>
            </w:pPr>
            <w:r>
              <w:rPr>
                <w:rFonts w:hint="eastAsia" w:ascii="宋体" w:hAnsi="宋体" w:cs="宋体"/>
                <w:b/>
                <w:bCs/>
                <w:sz w:val="20"/>
                <w:highlight w:val="none"/>
              </w:rPr>
              <w:t>分项明细</w:t>
            </w:r>
          </w:p>
        </w:tc>
        <w:tc>
          <w:tcPr>
            <w:tcW w:w="3270" w:type="pct"/>
            <w:vAlign w:val="center"/>
          </w:tcPr>
          <w:p w14:paraId="6D181F9A">
            <w:pPr>
              <w:widowControl/>
              <w:jc w:val="center"/>
              <w:textAlignment w:val="center"/>
              <w:rPr>
                <w:rFonts w:ascii="宋体" w:hAnsi="宋体" w:cs="宋体"/>
                <w:b/>
                <w:bCs/>
                <w:sz w:val="20"/>
                <w:highlight w:val="none"/>
              </w:rPr>
            </w:pPr>
            <w:r>
              <w:rPr>
                <w:rFonts w:hint="eastAsia" w:ascii="宋体" w:hAnsi="宋体" w:cs="宋体"/>
                <w:b/>
                <w:bCs/>
                <w:sz w:val="20"/>
                <w:highlight w:val="none"/>
              </w:rPr>
              <w:t>技术参数</w:t>
            </w:r>
          </w:p>
        </w:tc>
        <w:tc>
          <w:tcPr>
            <w:tcW w:w="776" w:type="pct"/>
            <w:vAlign w:val="center"/>
          </w:tcPr>
          <w:p w14:paraId="1ED3642F">
            <w:pPr>
              <w:widowControl/>
              <w:jc w:val="center"/>
              <w:textAlignment w:val="center"/>
              <w:rPr>
                <w:rFonts w:ascii="宋体" w:hAnsi="宋体" w:cs="宋体"/>
                <w:b/>
                <w:bCs/>
                <w:sz w:val="20"/>
                <w:highlight w:val="none"/>
              </w:rPr>
            </w:pPr>
            <w:r>
              <w:rPr>
                <w:rFonts w:hint="eastAsia" w:ascii="宋体" w:hAnsi="宋体" w:cs="宋体"/>
                <w:b/>
                <w:bCs/>
                <w:sz w:val="20"/>
                <w:highlight w:val="none"/>
              </w:rPr>
              <w:t>数量/单位</w:t>
            </w:r>
          </w:p>
        </w:tc>
      </w:tr>
      <w:tr w14:paraId="76DAC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restart"/>
            <w:vAlign w:val="center"/>
          </w:tcPr>
          <w:p w14:paraId="74BF776E">
            <w:pPr>
              <w:widowControl/>
              <w:textAlignment w:val="center"/>
              <w:rPr>
                <w:rFonts w:ascii="宋体" w:hAnsi="宋体" w:cs="宋体"/>
                <w:kern w:val="0"/>
                <w:szCs w:val="21"/>
                <w:highlight w:val="none"/>
              </w:rPr>
            </w:pPr>
            <w:r>
              <w:rPr>
                <w:rFonts w:hint="eastAsia" w:ascii="宋体" w:hAnsi="宋体" w:cs="宋体"/>
                <w:kern w:val="0"/>
                <w:szCs w:val="21"/>
                <w:highlight w:val="none"/>
              </w:rPr>
              <w:t>岸基水动力监测系统</w:t>
            </w:r>
          </w:p>
        </w:tc>
        <w:tc>
          <w:tcPr>
            <w:tcW w:w="526" w:type="pct"/>
            <w:vAlign w:val="center"/>
          </w:tcPr>
          <w:p w14:paraId="63223317">
            <w:pPr>
              <w:widowControl/>
              <w:rPr>
                <w:kern w:val="0"/>
                <w:sz w:val="20"/>
                <w:highlight w:val="none"/>
              </w:rPr>
            </w:pPr>
            <w:r>
              <w:rPr>
                <w:rFonts w:hint="eastAsia"/>
                <w:sz w:val="20"/>
                <w:highlight w:val="none"/>
              </w:rPr>
              <w:t>雷达流量计</w:t>
            </w:r>
          </w:p>
        </w:tc>
        <w:tc>
          <w:tcPr>
            <w:tcW w:w="3270" w:type="pct"/>
            <w:vAlign w:val="center"/>
          </w:tcPr>
          <w:p w14:paraId="5B5F6451">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1）测速范围：0.1~20m/s</w:t>
            </w:r>
          </w:p>
          <w:p w14:paraId="10D16375">
            <w:pPr>
              <w:rPr>
                <w:rFonts w:ascii="宋体" w:hAnsi="宋体"/>
                <w:szCs w:val="21"/>
                <w:highlight w:val="none"/>
              </w:rPr>
            </w:pPr>
            <w:r>
              <w:rPr>
                <w:rFonts w:hint="eastAsia" w:ascii="宋体" w:hAnsi="宋体"/>
                <w:szCs w:val="21"/>
                <w:highlight w:val="none"/>
              </w:rPr>
              <w:t>2）测速精度：士0.02m/s</w:t>
            </w:r>
          </w:p>
          <w:p w14:paraId="5B1EA5CB">
            <w:pPr>
              <w:rPr>
                <w:rFonts w:ascii="宋体" w:hAnsi="宋体"/>
                <w:szCs w:val="21"/>
                <w:highlight w:val="none"/>
              </w:rPr>
            </w:pPr>
            <w:r>
              <w:rPr>
                <w:rFonts w:hint="eastAsia" w:ascii="宋体" w:hAnsi="宋体"/>
                <w:szCs w:val="21"/>
                <w:highlight w:val="none"/>
              </w:rPr>
              <w:t>3）测速分辨力：0.001m/s（满足）</w:t>
            </w:r>
          </w:p>
          <w:p w14:paraId="27FA53B5">
            <w:pPr>
              <w:rPr>
                <w:rFonts w:ascii="宋体" w:hAnsi="宋体"/>
                <w:szCs w:val="21"/>
                <w:highlight w:val="none"/>
              </w:rPr>
            </w:pPr>
            <w:r>
              <w:rPr>
                <w:rFonts w:hint="eastAsia" w:ascii="宋体" w:hAnsi="宋体"/>
                <w:szCs w:val="21"/>
                <w:highlight w:val="none"/>
              </w:rPr>
              <w:t>4）测速天线波束角：30*80°</w:t>
            </w:r>
          </w:p>
          <w:p w14:paraId="226958CD">
            <w:pPr>
              <w:rPr>
                <w:rFonts w:ascii="宋体" w:hAnsi="宋体"/>
                <w:szCs w:val="21"/>
                <w:highlight w:val="none"/>
              </w:rPr>
            </w:pPr>
            <w:r>
              <w:rPr>
                <w:rFonts w:ascii="宋体" w:hAnsi="宋体"/>
                <w:szCs w:val="21"/>
                <w:highlight w:val="none"/>
              </w:rPr>
              <w:t>5</w:t>
            </w:r>
            <w:r>
              <w:rPr>
                <w:rFonts w:hint="eastAsia" w:ascii="宋体" w:hAnsi="宋体"/>
                <w:szCs w:val="21"/>
                <w:highlight w:val="none"/>
              </w:rPr>
              <w:t>）测距量程：0.1~30m</w:t>
            </w:r>
          </w:p>
          <w:p w14:paraId="42E33FB8">
            <w:pPr>
              <w:rPr>
                <w:rFonts w:ascii="宋体" w:hAnsi="宋体"/>
                <w:szCs w:val="21"/>
                <w:highlight w:val="none"/>
              </w:rPr>
            </w:pPr>
            <w:r>
              <w:rPr>
                <w:rFonts w:hint="eastAsia" w:ascii="宋体" w:hAnsi="宋体"/>
                <w:szCs w:val="21"/>
                <w:highlight w:val="none"/>
              </w:rPr>
              <w:t>6）测距精度：±2mm</w:t>
            </w:r>
          </w:p>
          <w:p w14:paraId="2EEAA38D">
            <w:pPr>
              <w:rPr>
                <w:rFonts w:ascii="宋体" w:hAnsi="宋体"/>
                <w:szCs w:val="21"/>
                <w:highlight w:val="none"/>
              </w:rPr>
            </w:pPr>
            <w:r>
              <w:rPr>
                <w:rFonts w:ascii="宋体" w:hAnsi="宋体"/>
                <w:szCs w:val="21"/>
                <w:highlight w:val="none"/>
              </w:rPr>
              <w:t>7</w:t>
            </w:r>
            <w:r>
              <w:rPr>
                <w:rFonts w:hint="eastAsia" w:ascii="宋体" w:hAnsi="宋体"/>
                <w:szCs w:val="21"/>
                <w:highlight w:val="none"/>
              </w:rPr>
              <w:t>）测距分辨力：1mm</w:t>
            </w:r>
          </w:p>
          <w:p w14:paraId="76F95AFD">
            <w:pPr>
              <w:rPr>
                <w:rFonts w:ascii="宋体" w:hAnsi="宋体"/>
                <w:szCs w:val="21"/>
                <w:highlight w:val="none"/>
              </w:rPr>
            </w:pPr>
            <w:r>
              <w:rPr>
                <w:rFonts w:hint="eastAsia" w:ascii="宋体" w:hAnsi="宋体"/>
                <w:szCs w:val="21"/>
                <w:highlight w:val="none"/>
              </w:rPr>
              <w:t>8）测距天线波束角：6*6°</w:t>
            </w:r>
          </w:p>
          <w:p w14:paraId="32863AEB">
            <w:pPr>
              <w:rPr>
                <w:rFonts w:ascii="宋体" w:hAnsi="宋体"/>
                <w:szCs w:val="21"/>
                <w:highlight w:val="none"/>
              </w:rPr>
            </w:pPr>
            <w:r>
              <w:rPr>
                <w:rFonts w:hint="eastAsia" w:ascii="宋体" w:hAnsi="宋体"/>
                <w:szCs w:val="21"/>
                <w:highlight w:val="none"/>
              </w:rPr>
              <w:t>9）工作温度：-35℃~75℃</w:t>
            </w:r>
          </w:p>
          <w:p w14:paraId="0274AB3F">
            <w:pPr>
              <w:rPr>
                <w:rFonts w:ascii="宋体" w:hAnsi="宋体"/>
                <w:szCs w:val="21"/>
                <w:highlight w:val="none"/>
              </w:rPr>
            </w:pPr>
            <w:r>
              <w:rPr>
                <w:rFonts w:hint="eastAsia" w:ascii="宋体" w:hAnsi="宋体"/>
                <w:szCs w:val="21"/>
                <w:highlight w:val="none"/>
              </w:rPr>
              <w:t>1</w:t>
            </w:r>
            <w:r>
              <w:rPr>
                <w:rFonts w:ascii="宋体" w:hAnsi="宋体"/>
                <w:szCs w:val="21"/>
                <w:highlight w:val="none"/>
              </w:rPr>
              <w:t>0</w:t>
            </w:r>
            <w:r>
              <w:rPr>
                <w:rFonts w:hint="eastAsia" w:ascii="宋体" w:hAnsi="宋体"/>
                <w:szCs w:val="21"/>
                <w:highlight w:val="none"/>
              </w:rPr>
              <w:t>）保护等级：IP67</w:t>
            </w:r>
          </w:p>
          <w:p w14:paraId="71FE2924">
            <w:pPr>
              <w:rPr>
                <w:rFonts w:ascii="宋体" w:hAnsi="宋体"/>
                <w:szCs w:val="21"/>
                <w:highlight w:val="none"/>
              </w:rPr>
            </w:pPr>
            <w:r>
              <w:rPr>
                <w:rFonts w:ascii="宋体" w:hAnsi="宋体"/>
                <w:szCs w:val="21"/>
                <w:highlight w:val="none"/>
              </w:rPr>
              <w:t>11</w:t>
            </w:r>
            <w:r>
              <w:rPr>
                <w:rFonts w:hint="eastAsia" w:ascii="宋体" w:hAnsi="宋体"/>
                <w:szCs w:val="21"/>
                <w:highlight w:val="none"/>
              </w:rPr>
              <w:t>）通信方式：4</w:t>
            </w:r>
            <w:r>
              <w:rPr>
                <w:rFonts w:ascii="宋体" w:hAnsi="宋体"/>
                <w:szCs w:val="21"/>
                <w:highlight w:val="none"/>
              </w:rPr>
              <w:t>G/R232/RS485</w:t>
            </w:r>
            <w:r>
              <w:rPr>
                <w:rFonts w:hint="eastAsia" w:ascii="宋体" w:hAnsi="宋体"/>
                <w:szCs w:val="21"/>
                <w:highlight w:val="none"/>
              </w:rPr>
              <w:tab/>
            </w:r>
          </w:p>
        </w:tc>
        <w:tc>
          <w:tcPr>
            <w:tcW w:w="776" w:type="pct"/>
            <w:vAlign w:val="center"/>
          </w:tcPr>
          <w:p w14:paraId="16919876">
            <w:pPr>
              <w:widowControl/>
              <w:jc w:val="center"/>
              <w:textAlignment w:val="center"/>
              <w:rPr>
                <w:rFonts w:ascii="宋体" w:hAnsi="宋体" w:cs="宋体"/>
                <w:kern w:val="0"/>
                <w:szCs w:val="21"/>
                <w:highlight w:val="none"/>
              </w:rPr>
            </w:pPr>
            <w:r>
              <w:rPr>
                <w:rFonts w:hint="eastAsia" w:ascii="宋体" w:hAnsi="宋体" w:cs="宋体"/>
                <w:kern w:val="0"/>
                <w:szCs w:val="21"/>
                <w:highlight w:val="none"/>
              </w:rPr>
              <w:t>1套</w:t>
            </w:r>
          </w:p>
        </w:tc>
      </w:tr>
      <w:tr w14:paraId="6083B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657EDE94">
            <w:pPr>
              <w:jc w:val="center"/>
              <w:rPr>
                <w:rFonts w:ascii="宋体" w:hAnsi="宋体" w:cs="宋体"/>
                <w:szCs w:val="21"/>
                <w:highlight w:val="none"/>
              </w:rPr>
            </w:pPr>
          </w:p>
        </w:tc>
        <w:tc>
          <w:tcPr>
            <w:tcW w:w="526" w:type="pct"/>
            <w:vAlign w:val="center"/>
          </w:tcPr>
          <w:p w14:paraId="356833C8">
            <w:pPr>
              <w:rPr>
                <w:sz w:val="20"/>
                <w:highlight w:val="none"/>
              </w:rPr>
            </w:pPr>
            <w:r>
              <w:rPr>
                <w:rFonts w:hint="eastAsia"/>
                <w:sz w:val="20"/>
                <w:highlight w:val="none"/>
              </w:rPr>
              <w:t>雨量计</w:t>
            </w:r>
          </w:p>
        </w:tc>
        <w:tc>
          <w:tcPr>
            <w:tcW w:w="3270" w:type="pct"/>
            <w:vAlign w:val="center"/>
          </w:tcPr>
          <w:p w14:paraId="39FD73FC">
            <w:pPr>
              <w:rPr>
                <w:rFonts w:ascii="宋体" w:hAnsi="宋体" w:cs="宋体"/>
                <w:kern w:val="0"/>
                <w:szCs w:val="21"/>
                <w:highlight w:val="none"/>
              </w:rPr>
            </w:pPr>
            <w:r>
              <w:rPr>
                <w:rFonts w:hint="eastAsia" w:ascii="宋体" w:hAnsi="宋体" w:cs="宋体"/>
                <w:sz w:val="24"/>
                <w:highlight w:val="none"/>
              </w:rPr>
              <w:t>●</w:t>
            </w:r>
            <w:r>
              <w:rPr>
                <w:rFonts w:ascii="宋体" w:hAnsi="宋体" w:cs="宋体"/>
                <w:kern w:val="0"/>
                <w:szCs w:val="21"/>
                <w:highlight w:val="none"/>
              </w:rPr>
              <w:t>1</w:t>
            </w:r>
            <w:r>
              <w:rPr>
                <w:rFonts w:hint="eastAsia" w:ascii="宋体" w:hAnsi="宋体" w:cs="宋体"/>
                <w:kern w:val="0"/>
                <w:szCs w:val="21"/>
                <w:highlight w:val="none"/>
              </w:rPr>
              <w:t>）承雨口径</w:t>
            </w:r>
            <w:r>
              <w:rPr>
                <w:rFonts w:ascii="宋体" w:hAnsi="宋体" w:cs="宋体"/>
                <w:kern w:val="0"/>
                <w:szCs w:val="21"/>
                <w:highlight w:val="none"/>
              </w:rPr>
              <w:t>200mm</w:t>
            </w:r>
          </w:p>
          <w:p w14:paraId="709E14F8">
            <w:pPr>
              <w:rPr>
                <w:rFonts w:ascii="宋体" w:hAnsi="宋体" w:cs="宋体"/>
                <w:kern w:val="0"/>
                <w:szCs w:val="21"/>
                <w:highlight w:val="none"/>
              </w:rPr>
            </w:pPr>
            <w:r>
              <w:rPr>
                <w:rFonts w:hint="eastAsia" w:ascii="宋体" w:hAnsi="宋体" w:cs="宋体"/>
                <w:kern w:val="0"/>
                <w:szCs w:val="21"/>
                <w:highlight w:val="none"/>
              </w:rPr>
              <w:t>2）测量降水强度0-4mm/min以内</w:t>
            </w:r>
          </w:p>
          <w:p w14:paraId="4895FABD">
            <w:pPr>
              <w:rPr>
                <w:rFonts w:ascii="宋体" w:hAnsi="宋体" w:cs="宋体"/>
                <w:kern w:val="0"/>
                <w:szCs w:val="21"/>
                <w:highlight w:val="none"/>
              </w:rPr>
            </w:pPr>
            <w:r>
              <w:rPr>
                <w:rFonts w:hint="eastAsia" w:ascii="宋体" w:hAnsi="宋体" w:cs="宋体"/>
                <w:kern w:val="0"/>
                <w:szCs w:val="21"/>
                <w:highlight w:val="none"/>
              </w:rPr>
              <w:t>3）分辨率：0.2mm/0.5mm</w:t>
            </w:r>
          </w:p>
          <w:p w14:paraId="4295B401">
            <w:pPr>
              <w:rPr>
                <w:rFonts w:ascii="宋体" w:hAnsi="宋体" w:cs="宋体"/>
                <w:kern w:val="0"/>
                <w:szCs w:val="21"/>
                <w:highlight w:val="none"/>
              </w:rPr>
            </w:pPr>
            <w:r>
              <w:rPr>
                <w:rFonts w:hint="eastAsia" w:ascii="宋体" w:hAnsi="宋体" w:cs="宋体"/>
                <w:kern w:val="0"/>
                <w:szCs w:val="21"/>
                <w:highlight w:val="none"/>
              </w:rPr>
              <w:t>4）最大允许误差±4mm</w:t>
            </w:r>
          </w:p>
        </w:tc>
        <w:tc>
          <w:tcPr>
            <w:tcW w:w="776" w:type="pct"/>
            <w:vAlign w:val="center"/>
          </w:tcPr>
          <w:p w14:paraId="5F7AB6D9">
            <w:pPr>
              <w:jc w:val="center"/>
              <w:rPr>
                <w:highlight w:val="none"/>
              </w:rPr>
            </w:pPr>
            <w:r>
              <w:rPr>
                <w:rFonts w:hint="eastAsia"/>
                <w:highlight w:val="none"/>
              </w:rPr>
              <w:t>1套</w:t>
            </w:r>
          </w:p>
        </w:tc>
      </w:tr>
      <w:tr w14:paraId="2DCE3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2697A04E">
            <w:pPr>
              <w:jc w:val="center"/>
              <w:rPr>
                <w:rFonts w:ascii="宋体" w:hAnsi="宋体" w:cs="宋体"/>
                <w:szCs w:val="21"/>
                <w:highlight w:val="none"/>
              </w:rPr>
            </w:pPr>
          </w:p>
        </w:tc>
        <w:tc>
          <w:tcPr>
            <w:tcW w:w="526" w:type="pct"/>
            <w:vAlign w:val="center"/>
          </w:tcPr>
          <w:p w14:paraId="77D84CCC">
            <w:pPr>
              <w:rPr>
                <w:sz w:val="20"/>
                <w:highlight w:val="none"/>
              </w:rPr>
            </w:pPr>
            <w:r>
              <w:rPr>
                <w:rFonts w:hint="eastAsia"/>
                <w:sz w:val="20"/>
                <w:highlight w:val="none"/>
              </w:rPr>
              <w:t>数据采集器</w:t>
            </w:r>
          </w:p>
        </w:tc>
        <w:tc>
          <w:tcPr>
            <w:tcW w:w="3270" w:type="pct"/>
            <w:vAlign w:val="center"/>
          </w:tcPr>
          <w:p w14:paraId="6BA42888">
            <w:pPr>
              <w:rPr>
                <w:rFonts w:ascii="宋体" w:hAnsi="宋体" w:cs="宋体"/>
                <w:kern w:val="0"/>
                <w:szCs w:val="21"/>
                <w:highlight w:val="none"/>
              </w:rPr>
            </w:pPr>
            <w:r>
              <w:rPr>
                <w:rFonts w:hint="eastAsia" w:ascii="宋体" w:hAnsi="宋体" w:cs="宋体"/>
                <w:kern w:val="0"/>
                <w:szCs w:val="21"/>
                <w:highlight w:val="none"/>
              </w:rPr>
              <w:t>1）工作温度：-25°C ~50°C ；</w:t>
            </w:r>
          </w:p>
          <w:p w14:paraId="3F2D073D">
            <w:pPr>
              <w:rPr>
                <w:rFonts w:ascii="宋体" w:hAnsi="宋体"/>
                <w:szCs w:val="21"/>
                <w:highlight w:val="none"/>
              </w:rPr>
            </w:pPr>
            <w:r>
              <w:rPr>
                <w:rFonts w:hint="eastAsia" w:ascii="宋体" w:hAnsi="宋体"/>
                <w:szCs w:val="21"/>
                <w:highlight w:val="none"/>
              </w:rPr>
              <w:t>2）</w:t>
            </w:r>
            <w:r>
              <w:rPr>
                <w:rFonts w:ascii="宋体" w:hAnsi="宋体"/>
                <w:szCs w:val="21"/>
                <w:highlight w:val="none"/>
              </w:rPr>
              <w:t>供电方式：支持支持10-30VDC宽压供电。支持10-30VDC市电与太阳能板双供电。（需沟通进行改制，改制后优先市电供电，当市电断电后太阳能系统再进行供电，为太阳能“减负”。）</w:t>
            </w:r>
          </w:p>
          <w:p w14:paraId="0D05C89C">
            <w:pPr>
              <w:rPr>
                <w:rFonts w:ascii="宋体" w:hAnsi="宋体"/>
                <w:szCs w:val="21"/>
                <w:highlight w:val="none"/>
              </w:rPr>
            </w:pPr>
            <w:r>
              <w:rPr>
                <w:rFonts w:hint="eastAsia" w:ascii="宋体" w:hAnsi="宋体"/>
                <w:szCs w:val="21"/>
                <w:highlight w:val="none"/>
              </w:rPr>
              <w:t>3）</w:t>
            </w:r>
            <w:r>
              <w:rPr>
                <w:rFonts w:ascii="宋体" w:hAnsi="宋体"/>
                <w:szCs w:val="21"/>
                <w:highlight w:val="none"/>
              </w:rPr>
              <w:t>通过4G/RJ45其中任意一种方式实时上传测量数据（注意4G/RJ45是二选一的）。</w:t>
            </w:r>
          </w:p>
          <w:p w14:paraId="3233E1C0">
            <w:pPr>
              <w:rPr>
                <w:rFonts w:ascii="宋体" w:hAnsi="宋体"/>
                <w:szCs w:val="21"/>
                <w:highlight w:val="none"/>
              </w:rPr>
            </w:pPr>
            <w:r>
              <w:rPr>
                <w:rFonts w:hint="eastAsia" w:ascii="宋体" w:hAnsi="宋体"/>
                <w:szCs w:val="21"/>
                <w:highlight w:val="none"/>
              </w:rPr>
              <w:t>4）</w:t>
            </w:r>
            <w:r>
              <w:rPr>
                <w:rFonts w:ascii="宋体" w:hAnsi="宋体"/>
                <w:szCs w:val="21"/>
                <w:highlight w:val="none"/>
              </w:rPr>
              <w:t>RS485从站接口，支持外部设备通过ModBus-RTU协议问询环境监测站的数据。</w:t>
            </w:r>
          </w:p>
          <w:p w14:paraId="45DF9BFF">
            <w:pPr>
              <w:rPr>
                <w:rFonts w:ascii="宋体" w:hAnsi="宋体"/>
                <w:szCs w:val="21"/>
                <w:highlight w:val="none"/>
              </w:rPr>
            </w:pPr>
            <w:r>
              <w:rPr>
                <w:rFonts w:hint="eastAsia" w:ascii="宋体" w:hAnsi="宋体"/>
                <w:szCs w:val="21"/>
                <w:highlight w:val="none"/>
              </w:rPr>
              <w:t>5）</w:t>
            </w:r>
            <w:r>
              <w:rPr>
                <w:rFonts w:ascii="宋体" w:hAnsi="宋体"/>
                <w:szCs w:val="21"/>
                <w:highlight w:val="none"/>
              </w:rPr>
              <w:t>默认一路继电器输出，两路继电器输出选配。继电器容量：250VAC/30VDC 5A ，支持平台远程控制。</w:t>
            </w:r>
          </w:p>
          <w:p w14:paraId="623D88A9">
            <w:pPr>
              <w:rPr>
                <w:rFonts w:ascii="宋体" w:hAnsi="宋体"/>
                <w:szCs w:val="21"/>
                <w:highlight w:val="none"/>
              </w:rPr>
            </w:pPr>
            <w:r>
              <w:rPr>
                <w:rFonts w:hint="eastAsia" w:ascii="宋体" w:hAnsi="宋体"/>
                <w:szCs w:val="21"/>
                <w:highlight w:val="none"/>
              </w:rPr>
              <w:t>6）</w:t>
            </w:r>
            <w:r>
              <w:rPr>
                <w:rFonts w:ascii="宋体" w:hAnsi="宋体"/>
                <w:szCs w:val="21"/>
                <w:highlight w:val="none"/>
              </w:rPr>
              <w:t>RS485主站数据采集接口，能够读取RS485从站的测量数据，支持从站设备“手拉手”方式接入，最长通信距离≥1500米</w:t>
            </w:r>
          </w:p>
          <w:p w14:paraId="59D456BB">
            <w:pPr>
              <w:rPr>
                <w:rFonts w:ascii="宋体" w:hAnsi="宋体"/>
                <w:szCs w:val="21"/>
                <w:highlight w:val="none"/>
              </w:rPr>
            </w:pPr>
            <w:r>
              <w:rPr>
                <w:rFonts w:hint="eastAsia" w:ascii="宋体" w:hAnsi="宋体"/>
                <w:szCs w:val="21"/>
                <w:highlight w:val="none"/>
              </w:rPr>
              <w:t>7）</w:t>
            </w:r>
            <w:r>
              <w:rPr>
                <w:rFonts w:ascii="宋体" w:hAnsi="宋体"/>
                <w:szCs w:val="21"/>
                <w:highlight w:val="none"/>
              </w:rPr>
              <w:t>脉冲信号输入接口，可采集磁开关脉冲信号进行雨量计量，默认脉冲当量：0.2mm，可上传瞬时雨量、日雨量、当前雨量及累计雨量值。</w:t>
            </w:r>
          </w:p>
          <w:p w14:paraId="782E2195">
            <w:pPr>
              <w:rPr>
                <w:highlight w:val="none"/>
              </w:rPr>
            </w:pPr>
            <w:r>
              <w:rPr>
                <w:rFonts w:hint="eastAsia" w:ascii="宋体" w:hAnsi="宋体"/>
                <w:szCs w:val="21"/>
                <w:highlight w:val="none"/>
              </w:rPr>
              <w:t>8）</w:t>
            </w:r>
            <w:r>
              <w:rPr>
                <w:rFonts w:ascii="宋体" w:hAnsi="宋体"/>
                <w:szCs w:val="21"/>
                <w:highlight w:val="none"/>
              </w:rPr>
              <w:t>RS485主站LED控制接口，可外接LED显示屏，将气象测量数据显示在96*48点阵的室外LED显示屏上。</w:t>
            </w:r>
          </w:p>
        </w:tc>
        <w:tc>
          <w:tcPr>
            <w:tcW w:w="776" w:type="pct"/>
            <w:vAlign w:val="center"/>
          </w:tcPr>
          <w:p w14:paraId="2B78A094">
            <w:pPr>
              <w:jc w:val="center"/>
              <w:rPr>
                <w:highlight w:val="none"/>
              </w:rPr>
            </w:pPr>
            <w:r>
              <w:rPr>
                <w:rFonts w:hint="eastAsia"/>
                <w:highlight w:val="none"/>
              </w:rPr>
              <w:t>1套</w:t>
            </w:r>
          </w:p>
        </w:tc>
      </w:tr>
      <w:tr w14:paraId="1F2CD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286C180D">
            <w:pPr>
              <w:jc w:val="center"/>
              <w:rPr>
                <w:rFonts w:ascii="宋体" w:hAnsi="宋体" w:cs="宋体"/>
                <w:szCs w:val="21"/>
                <w:highlight w:val="none"/>
              </w:rPr>
            </w:pPr>
          </w:p>
        </w:tc>
        <w:tc>
          <w:tcPr>
            <w:tcW w:w="526" w:type="pct"/>
            <w:vAlign w:val="center"/>
          </w:tcPr>
          <w:p w14:paraId="67298BB8">
            <w:pPr>
              <w:rPr>
                <w:sz w:val="20"/>
                <w:highlight w:val="none"/>
              </w:rPr>
            </w:pPr>
            <w:r>
              <w:rPr>
                <w:rFonts w:hint="eastAsia"/>
                <w:sz w:val="20"/>
                <w:highlight w:val="none"/>
              </w:rPr>
              <w:t>太阳能供电单元</w:t>
            </w:r>
          </w:p>
        </w:tc>
        <w:tc>
          <w:tcPr>
            <w:tcW w:w="3270" w:type="pct"/>
            <w:vAlign w:val="center"/>
          </w:tcPr>
          <w:p w14:paraId="1C31CF5B">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1）</w:t>
            </w:r>
            <w:r>
              <w:rPr>
                <w:rFonts w:ascii="宋体" w:hAnsi="宋体"/>
                <w:szCs w:val="21"/>
                <w:highlight w:val="none"/>
              </w:rPr>
              <w:t>100</w:t>
            </w:r>
            <w:r>
              <w:rPr>
                <w:rFonts w:hint="eastAsia" w:ascii="宋体" w:hAnsi="宋体"/>
                <w:szCs w:val="21"/>
                <w:highlight w:val="none"/>
              </w:rPr>
              <w:t>W*</w:t>
            </w:r>
            <w:r>
              <w:rPr>
                <w:rFonts w:ascii="宋体" w:hAnsi="宋体"/>
                <w:szCs w:val="21"/>
                <w:highlight w:val="none"/>
              </w:rPr>
              <w:t>2</w:t>
            </w:r>
            <w:r>
              <w:rPr>
                <w:rFonts w:hint="eastAsia" w:ascii="宋体" w:hAnsi="宋体"/>
                <w:szCs w:val="21"/>
                <w:highlight w:val="none"/>
              </w:rPr>
              <w:t>太阳能电池板、</w:t>
            </w:r>
            <w:r>
              <w:rPr>
                <w:rFonts w:ascii="宋体" w:hAnsi="宋体"/>
                <w:szCs w:val="21"/>
                <w:highlight w:val="none"/>
              </w:rPr>
              <w:t>1</w:t>
            </w:r>
            <w:r>
              <w:rPr>
                <w:rFonts w:hint="eastAsia" w:ascii="宋体" w:hAnsi="宋体"/>
                <w:szCs w:val="21"/>
                <w:highlight w:val="none"/>
              </w:rPr>
              <w:t>00Ah</w:t>
            </w:r>
            <w:r>
              <w:rPr>
                <w:rFonts w:ascii="宋体" w:hAnsi="宋体"/>
                <w:szCs w:val="21"/>
                <w:highlight w:val="none"/>
              </w:rPr>
              <w:t>*2</w:t>
            </w:r>
            <w:r>
              <w:rPr>
                <w:rFonts w:hint="eastAsia" w:ascii="宋体" w:hAnsi="宋体"/>
                <w:szCs w:val="21"/>
                <w:highlight w:val="none"/>
              </w:rPr>
              <w:t>蓄电池作为电源，保证无光下5天的供电时间。</w:t>
            </w:r>
          </w:p>
          <w:p w14:paraId="0D32FEDF">
            <w:pPr>
              <w:numPr>
                <w:ilvl w:val="0"/>
                <w:numId w:val="13"/>
              </w:numPr>
              <w:rPr>
                <w:rFonts w:ascii="宋体" w:hAnsi="宋体"/>
                <w:szCs w:val="21"/>
                <w:highlight w:val="none"/>
              </w:rPr>
            </w:pPr>
            <w:r>
              <w:rPr>
                <w:rFonts w:hint="eastAsia" w:ascii="宋体" w:hAnsi="宋体"/>
                <w:szCs w:val="21"/>
                <w:highlight w:val="none"/>
              </w:rPr>
              <w:t>太阳能板技术参数：</w:t>
            </w:r>
            <w:r>
              <w:rPr>
                <w:rFonts w:hint="eastAsia" w:ascii="宋体" w:hAnsi="宋体"/>
                <w:szCs w:val="21"/>
                <w:highlight w:val="none"/>
              </w:rPr>
              <w:br w:type="textWrapping"/>
            </w:r>
            <w:r>
              <w:rPr>
                <w:rFonts w:hint="eastAsia" w:ascii="宋体" w:hAnsi="宋体"/>
                <w:szCs w:val="21"/>
                <w:highlight w:val="none"/>
              </w:rPr>
              <w:t>最大功率（Pmax）：</w:t>
            </w:r>
            <w:r>
              <w:rPr>
                <w:rFonts w:ascii="宋体" w:hAnsi="宋体"/>
                <w:szCs w:val="21"/>
                <w:highlight w:val="none"/>
              </w:rPr>
              <w:t>10</w:t>
            </w:r>
            <w:r>
              <w:rPr>
                <w:rFonts w:hint="eastAsia" w:ascii="宋体" w:hAnsi="宋体"/>
                <w:szCs w:val="21"/>
                <w:highlight w:val="none"/>
              </w:rPr>
              <w:t>0W</w:t>
            </w:r>
            <w:r>
              <w:rPr>
                <w:rFonts w:hint="eastAsia" w:ascii="宋体" w:hAnsi="宋体"/>
                <w:szCs w:val="21"/>
                <w:highlight w:val="none"/>
              </w:rPr>
              <w:br w:type="textWrapping"/>
            </w:r>
            <w:r>
              <w:rPr>
                <w:rFonts w:hint="eastAsia" w:ascii="宋体" w:hAnsi="宋体"/>
                <w:szCs w:val="21"/>
                <w:highlight w:val="none"/>
              </w:rPr>
              <w:t>最佳工作电压（Vmp）：18V</w:t>
            </w:r>
            <w:r>
              <w:rPr>
                <w:rFonts w:hint="eastAsia" w:ascii="宋体" w:hAnsi="宋体"/>
                <w:szCs w:val="21"/>
                <w:highlight w:val="none"/>
              </w:rPr>
              <w:br w:type="textWrapping"/>
            </w:r>
            <w:r>
              <w:rPr>
                <w:rFonts w:hint="eastAsia" w:ascii="宋体" w:hAnsi="宋体"/>
                <w:szCs w:val="21"/>
                <w:highlight w:val="none"/>
              </w:rPr>
              <w:t>最佳工作电流（Imp）： 5.5A</w:t>
            </w:r>
            <w:r>
              <w:rPr>
                <w:rFonts w:hint="eastAsia" w:ascii="宋体" w:hAnsi="宋体"/>
                <w:szCs w:val="21"/>
                <w:highlight w:val="none"/>
              </w:rPr>
              <w:br w:type="textWrapping"/>
            </w:r>
            <w:r>
              <w:rPr>
                <w:rFonts w:hint="eastAsia" w:ascii="宋体" w:hAnsi="宋体"/>
                <w:szCs w:val="21"/>
                <w:highlight w:val="none"/>
              </w:rPr>
              <w:t>最大系统电压：500V DC</w:t>
            </w:r>
            <w:r>
              <w:rPr>
                <w:rFonts w:hint="eastAsia" w:ascii="宋体" w:hAnsi="宋体"/>
                <w:szCs w:val="21"/>
                <w:highlight w:val="none"/>
              </w:rPr>
              <w:br w:type="textWrapping"/>
            </w:r>
            <w:r>
              <w:rPr>
                <w:rFonts w:hint="eastAsia" w:ascii="宋体" w:hAnsi="宋体"/>
                <w:szCs w:val="21"/>
                <w:highlight w:val="none"/>
              </w:rPr>
              <w:t>输出功率公差：±3%</w:t>
            </w:r>
            <w:r>
              <w:rPr>
                <w:rFonts w:hint="eastAsia" w:ascii="宋体" w:hAnsi="宋体"/>
                <w:szCs w:val="21"/>
                <w:highlight w:val="none"/>
              </w:rPr>
              <w:br w:type="textWrapping"/>
            </w:r>
            <w:r>
              <w:rPr>
                <w:rFonts w:hint="eastAsia" w:ascii="宋体" w:hAnsi="宋体"/>
                <w:szCs w:val="21"/>
                <w:highlight w:val="none"/>
              </w:rPr>
              <w:t>电池片：单晶硅电池晶片。</w:t>
            </w:r>
          </w:p>
          <w:p w14:paraId="36E918F6">
            <w:pPr>
              <w:ind w:left="420"/>
              <w:rPr>
                <w:rFonts w:ascii="宋体" w:hAnsi="宋体" w:cs="宋体"/>
                <w:kern w:val="0"/>
                <w:szCs w:val="21"/>
                <w:highlight w:val="none"/>
              </w:rPr>
            </w:pPr>
            <w:r>
              <w:rPr>
                <w:rFonts w:ascii="宋体" w:hAnsi="宋体"/>
                <w:szCs w:val="21"/>
                <w:highlight w:val="none"/>
              </w:rPr>
              <w:t>3</w:t>
            </w:r>
            <w:r>
              <w:rPr>
                <w:rFonts w:hint="eastAsia" w:ascii="宋体" w:hAnsi="宋体"/>
                <w:szCs w:val="21"/>
                <w:highlight w:val="none"/>
              </w:rPr>
              <w:t>）蓄电池技术参数：</w:t>
            </w:r>
            <w:r>
              <w:rPr>
                <w:rFonts w:hint="eastAsia" w:ascii="宋体" w:hAnsi="宋体"/>
                <w:szCs w:val="21"/>
                <w:highlight w:val="none"/>
              </w:rPr>
              <w:br w:type="textWrapping"/>
            </w:r>
            <w:r>
              <w:rPr>
                <w:rFonts w:hint="eastAsia" w:ascii="宋体" w:hAnsi="宋体"/>
                <w:szCs w:val="21"/>
                <w:highlight w:val="none"/>
              </w:rPr>
              <w:t>额定电压：12V</w:t>
            </w:r>
            <w:r>
              <w:rPr>
                <w:rFonts w:hint="eastAsia" w:ascii="宋体" w:hAnsi="宋体"/>
                <w:szCs w:val="21"/>
                <w:highlight w:val="none"/>
              </w:rPr>
              <w:br w:type="textWrapping"/>
            </w:r>
            <w:r>
              <w:rPr>
                <w:rFonts w:hint="eastAsia" w:ascii="宋体" w:hAnsi="宋体"/>
                <w:szCs w:val="21"/>
                <w:highlight w:val="none"/>
              </w:rPr>
              <w:t>额定容量：100AH</w:t>
            </w:r>
          </w:p>
        </w:tc>
        <w:tc>
          <w:tcPr>
            <w:tcW w:w="776" w:type="pct"/>
            <w:vAlign w:val="center"/>
          </w:tcPr>
          <w:p w14:paraId="2B38E29F">
            <w:pPr>
              <w:jc w:val="center"/>
              <w:rPr>
                <w:highlight w:val="none"/>
              </w:rPr>
            </w:pPr>
            <w:r>
              <w:rPr>
                <w:rFonts w:hint="eastAsia"/>
                <w:highlight w:val="none"/>
              </w:rPr>
              <w:t>1套</w:t>
            </w:r>
          </w:p>
        </w:tc>
      </w:tr>
      <w:tr w14:paraId="2C161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02FBB95F">
            <w:pPr>
              <w:jc w:val="center"/>
              <w:rPr>
                <w:rFonts w:ascii="宋体" w:hAnsi="宋体" w:cs="宋体"/>
                <w:szCs w:val="21"/>
                <w:highlight w:val="none"/>
              </w:rPr>
            </w:pPr>
          </w:p>
        </w:tc>
        <w:tc>
          <w:tcPr>
            <w:tcW w:w="526" w:type="pct"/>
            <w:vAlign w:val="center"/>
          </w:tcPr>
          <w:p w14:paraId="6885D1C5">
            <w:pPr>
              <w:rPr>
                <w:sz w:val="20"/>
                <w:highlight w:val="none"/>
              </w:rPr>
            </w:pPr>
            <w:r>
              <w:rPr>
                <w:rFonts w:hint="eastAsia"/>
                <w:sz w:val="20"/>
                <w:highlight w:val="none"/>
              </w:rPr>
              <w:t>安装立杆及支架</w:t>
            </w:r>
          </w:p>
        </w:tc>
        <w:tc>
          <w:tcPr>
            <w:tcW w:w="3270" w:type="pct"/>
            <w:vAlign w:val="center"/>
          </w:tcPr>
          <w:p w14:paraId="1AC401A3">
            <w:pPr>
              <w:rPr>
                <w:rFonts w:ascii="宋体" w:hAnsi="宋体"/>
                <w:szCs w:val="21"/>
                <w:highlight w:val="none"/>
              </w:rPr>
            </w:pPr>
            <w:r>
              <w:rPr>
                <w:rFonts w:hint="eastAsia" w:ascii="宋体" w:hAnsi="宋体"/>
                <w:szCs w:val="21"/>
                <w:highlight w:val="none"/>
              </w:rPr>
              <w:t>1）采用钢制镀锌立杆进行安装，根据河床及水面高度，要求立杆高度≥4</w:t>
            </w:r>
            <w:r>
              <w:rPr>
                <w:rFonts w:ascii="宋体" w:hAnsi="宋体"/>
                <w:szCs w:val="21"/>
                <w:highlight w:val="none"/>
              </w:rPr>
              <w:t>000</w:t>
            </w:r>
            <w:r>
              <w:rPr>
                <w:rFonts w:hint="eastAsia" w:ascii="宋体" w:hAnsi="宋体"/>
                <w:szCs w:val="21"/>
                <w:highlight w:val="none"/>
              </w:rPr>
              <w:t>mmm，直径≥</w:t>
            </w:r>
            <w:r>
              <w:rPr>
                <w:rFonts w:ascii="宋体" w:hAnsi="宋体"/>
                <w:szCs w:val="21"/>
                <w:highlight w:val="none"/>
              </w:rPr>
              <w:t>200</w:t>
            </w:r>
            <w:r>
              <w:rPr>
                <w:rFonts w:hint="eastAsia" w:ascii="宋体" w:hAnsi="宋体"/>
                <w:szCs w:val="21"/>
                <w:highlight w:val="none"/>
              </w:rPr>
              <w:t>mm；</w:t>
            </w:r>
          </w:p>
          <w:p w14:paraId="1E846674">
            <w:pPr>
              <w:rPr>
                <w:rFonts w:ascii="宋体" w:hAnsi="宋体"/>
                <w:szCs w:val="21"/>
                <w:highlight w:val="none"/>
              </w:rPr>
            </w:pPr>
            <w:r>
              <w:rPr>
                <w:rFonts w:hint="eastAsia" w:ascii="宋体" w:hAnsi="宋体"/>
                <w:szCs w:val="21"/>
                <w:highlight w:val="none"/>
              </w:rPr>
              <w:t>2）挑臂长度≥5</w:t>
            </w:r>
            <w:r>
              <w:rPr>
                <w:rFonts w:ascii="宋体" w:hAnsi="宋体"/>
                <w:szCs w:val="21"/>
                <w:highlight w:val="none"/>
              </w:rPr>
              <w:t>00</w:t>
            </w:r>
            <w:r>
              <w:rPr>
                <w:rFonts w:hint="eastAsia" w:ascii="宋体" w:hAnsi="宋体"/>
                <w:szCs w:val="21"/>
                <w:highlight w:val="none"/>
              </w:rPr>
              <w:t>mm，直径≥</w:t>
            </w:r>
            <w:r>
              <w:rPr>
                <w:rFonts w:ascii="宋体" w:hAnsi="宋体"/>
                <w:szCs w:val="21"/>
                <w:highlight w:val="none"/>
              </w:rPr>
              <w:t>100</w:t>
            </w:r>
            <w:r>
              <w:rPr>
                <w:rFonts w:hint="eastAsia" w:ascii="宋体" w:hAnsi="宋体"/>
                <w:szCs w:val="21"/>
                <w:highlight w:val="none"/>
              </w:rPr>
              <w:t>mm；</w:t>
            </w:r>
          </w:p>
          <w:p w14:paraId="307BD497">
            <w:pPr>
              <w:rPr>
                <w:rFonts w:ascii="宋体" w:hAnsi="宋体"/>
                <w:szCs w:val="21"/>
                <w:highlight w:val="none"/>
              </w:rPr>
            </w:pPr>
            <w:r>
              <w:rPr>
                <w:rFonts w:hint="eastAsia" w:ascii="宋体" w:hAnsi="宋体"/>
                <w:szCs w:val="21"/>
                <w:highlight w:val="none"/>
              </w:rPr>
              <w:t>3）定制安装雨量桶支架；</w:t>
            </w:r>
          </w:p>
          <w:p w14:paraId="4AFF8C37">
            <w:pPr>
              <w:rPr>
                <w:rFonts w:ascii="宋体" w:hAnsi="宋体"/>
                <w:szCs w:val="21"/>
                <w:highlight w:val="none"/>
              </w:rPr>
            </w:pPr>
            <w:r>
              <w:rPr>
                <w:rFonts w:ascii="宋体" w:hAnsi="宋体"/>
                <w:szCs w:val="21"/>
                <w:highlight w:val="none"/>
              </w:rPr>
              <w:t>4</w:t>
            </w:r>
            <w:r>
              <w:rPr>
                <w:rFonts w:hint="eastAsia" w:ascii="宋体" w:hAnsi="宋体"/>
                <w:szCs w:val="21"/>
                <w:highlight w:val="none"/>
              </w:rPr>
              <w:t>）基础采用四脚螺栓以上固定，且标号不低于C</w:t>
            </w:r>
            <w:r>
              <w:rPr>
                <w:rFonts w:ascii="宋体" w:hAnsi="宋体"/>
                <w:szCs w:val="21"/>
                <w:highlight w:val="none"/>
              </w:rPr>
              <w:t>25</w:t>
            </w:r>
          </w:p>
        </w:tc>
        <w:tc>
          <w:tcPr>
            <w:tcW w:w="776" w:type="pct"/>
            <w:vAlign w:val="center"/>
          </w:tcPr>
          <w:p w14:paraId="4F246CEA">
            <w:pPr>
              <w:jc w:val="center"/>
              <w:rPr>
                <w:highlight w:val="none"/>
              </w:rPr>
            </w:pPr>
            <w:r>
              <w:rPr>
                <w:rFonts w:hint="eastAsia"/>
                <w:highlight w:val="none"/>
              </w:rPr>
              <w:t>1套</w:t>
            </w:r>
          </w:p>
        </w:tc>
      </w:tr>
      <w:tr w14:paraId="34DA9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0943CA35">
            <w:pPr>
              <w:jc w:val="center"/>
              <w:rPr>
                <w:rFonts w:ascii="宋体" w:hAnsi="宋体" w:cs="宋体"/>
                <w:szCs w:val="21"/>
                <w:highlight w:val="none"/>
              </w:rPr>
            </w:pPr>
          </w:p>
        </w:tc>
        <w:tc>
          <w:tcPr>
            <w:tcW w:w="526" w:type="pct"/>
            <w:vAlign w:val="center"/>
          </w:tcPr>
          <w:p w14:paraId="29767B52">
            <w:pPr>
              <w:rPr>
                <w:sz w:val="20"/>
                <w:highlight w:val="none"/>
              </w:rPr>
            </w:pPr>
            <w:r>
              <w:rPr>
                <w:rFonts w:hint="eastAsia" w:ascii="宋体" w:hAnsi="宋体" w:cs="宋体"/>
                <w:kern w:val="0"/>
                <w:sz w:val="24"/>
                <w:highlight w:val="none"/>
              </w:rPr>
              <w:t>★</w:t>
            </w:r>
            <w:r>
              <w:rPr>
                <w:rFonts w:hint="eastAsia"/>
                <w:sz w:val="20"/>
                <w:highlight w:val="none"/>
              </w:rPr>
              <w:t>安装维护</w:t>
            </w:r>
          </w:p>
        </w:tc>
        <w:tc>
          <w:tcPr>
            <w:tcW w:w="3270" w:type="pct"/>
            <w:vAlign w:val="center"/>
          </w:tcPr>
          <w:p w14:paraId="4545B703">
            <w:pPr>
              <w:rPr>
                <w:rFonts w:ascii="宋体" w:hAnsi="宋体" w:cs="宋体"/>
                <w:kern w:val="0"/>
                <w:szCs w:val="21"/>
                <w:highlight w:val="none"/>
              </w:rPr>
            </w:pPr>
            <w:r>
              <w:rPr>
                <w:rFonts w:hint="eastAsia" w:ascii="宋体" w:hAnsi="宋体"/>
                <w:szCs w:val="21"/>
                <w:highlight w:val="none"/>
              </w:rPr>
              <w:t>维护主要包括</w:t>
            </w:r>
            <w:r>
              <w:rPr>
                <w:rFonts w:ascii="宋体" w:hAnsi="宋体"/>
                <w:szCs w:val="21"/>
                <w:highlight w:val="none"/>
              </w:rPr>
              <w:t>12</w:t>
            </w:r>
            <w:r>
              <w:rPr>
                <w:rFonts w:hint="eastAsia" w:ascii="宋体" w:hAnsi="宋体"/>
                <w:szCs w:val="21"/>
                <w:highlight w:val="none"/>
              </w:rPr>
              <w:t>次/年，共计5年的保障数据运行维护，维护内容主要包括仪器校准、基准潮位校核、系统太阳能板及仪器清理。</w:t>
            </w:r>
          </w:p>
        </w:tc>
        <w:tc>
          <w:tcPr>
            <w:tcW w:w="776" w:type="pct"/>
            <w:vAlign w:val="center"/>
          </w:tcPr>
          <w:p w14:paraId="5E916DB0">
            <w:pPr>
              <w:jc w:val="center"/>
              <w:rPr>
                <w:highlight w:val="none"/>
              </w:rPr>
            </w:pPr>
            <w:r>
              <w:rPr>
                <w:rFonts w:hint="eastAsia"/>
                <w:highlight w:val="none"/>
              </w:rPr>
              <w:t>5年</w:t>
            </w:r>
          </w:p>
        </w:tc>
      </w:tr>
    </w:tbl>
    <w:p w14:paraId="67FE0DD4">
      <w:pPr>
        <w:adjustRightInd w:val="0"/>
        <w:snapToGrid w:val="0"/>
        <w:spacing w:line="360" w:lineRule="auto"/>
        <w:ind w:left="723" w:hanging="723" w:hangingChars="300"/>
        <w:outlineLvl w:val="2"/>
        <w:rPr>
          <w:rFonts w:ascii="宋体" w:hAnsi="宋体"/>
          <w:b/>
          <w:bCs/>
          <w:sz w:val="24"/>
          <w:szCs w:val="24"/>
          <w:highlight w:val="none"/>
        </w:rPr>
      </w:pPr>
      <w:bookmarkStart w:id="84" w:name="_Toc3758"/>
      <w:bookmarkStart w:id="85" w:name="_Toc16076"/>
      <w:r>
        <w:rPr>
          <w:rFonts w:hint="eastAsia" w:ascii="宋体" w:hAnsi="宋体"/>
          <w:b/>
          <w:bCs/>
          <w:sz w:val="24"/>
          <w:szCs w:val="24"/>
          <w:highlight w:val="none"/>
        </w:rPr>
        <w:t>（三）</w:t>
      </w:r>
      <w:r>
        <w:rPr>
          <w:rFonts w:hint="eastAsia" w:ascii="宋体" w:hAnsi="宋体"/>
          <w:b/>
          <w:bCs/>
          <w:sz w:val="24"/>
          <w:highlight w:val="none"/>
        </w:rPr>
        <w:t>岸基水质监测系统</w:t>
      </w:r>
      <w:bookmarkEnd w:id="84"/>
      <w:bookmarkEnd w:id="85"/>
    </w:p>
    <w:p w14:paraId="654304B5">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大辽河口的污染物输入是辽东湾底水质的主要影响因素，对修复后的生态系统功能发挥、生态价值体现具有重要意义，因此拟对大辽河口的入海水质开展连续监测，设置一台水质在线监测站，主要监测参数包括水温、pH、浊度、电导率、溶解氧、叶绿素a、氨氮、总磷、总氮等。</w:t>
      </w:r>
    </w:p>
    <w:p w14:paraId="524116C4">
      <w:pPr>
        <w:pStyle w:val="56"/>
        <w:ind w:firstLine="480"/>
        <w:rPr>
          <w:rFonts w:ascii="宋体"/>
          <w:highlight w:val="none"/>
        </w:rPr>
      </w:pPr>
      <w:r>
        <w:rPr>
          <w:rFonts w:hint="eastAsia" w:ascii="宋体"/>
          <w:highlight w:val="none"/>
        </w:rPr>
        <w:t>监测站包括双层隔热户外机柜、取水单元、配水单元、控制系统、数据采集/处理/传输系统、自动监测仪器及其它辅助设备，总体架构如图所示。</w:t>
      </w:r>
    </w:p>
    <w:p w14:paraId="23E4978C">
      <w:pPr>
        <w:pStyle w:val="56"/>
        <w:ind w:firstLine="0" w:firstLineChars="0"/>
        <w:jc w:val="center"/>
        <w:rPr>
          <w:rFonts w:ascii="宋体"/>
          <w:highlight w:val="none"/>
        </w:rPr>
      </w:pPr>
      <w:r>
        <w:rPr>
          <w:rFonts w:ascii="宋体"/>
          <w:snapToGrid/>
          <w:highlight w:val="none"/>
        </w:rPr>
        <w:drawing>
          <wp:inline distT="0" distB="0" distL="114300" distR="114300">
            <wp:extent cx="3657600" cy="3478530"/>
            <wp:effectExtent l="0" t="0" r="0" b="762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4" cstate="print"/>
                    <a:srcRect l="34824" t="16431" r="30794"/>
                    <a:stretch>
                      <a:fillRect/>
                    </a:stretch>
                  </pic:blipFill>
                  <pic:spPr>
                    <a:xfrm>
                      <a:off x="0" y="0"/>
                      <a:ext cx="3657600" cy="3478530"/>
                    </a:xfrm>
                    <a:prstGeom prst="rect">
                      <a:avLst/>
                    </a:prstGeom>
                    <a:noFill/>
                    <a:ln>
                      <a:noFill/>
                    </a:ln>
                  </pic:spPr>
                </pic:pic>
              </a:graphicData>
            </a:graphic>
          </wp:inline>
        </w:drawing>
      </w:r>
    </w:p>
    <w:p w14:paraId="66AF2251">
      <w:pPr>
        <w:adjustRightInd w:val="0"/>
        <w:snapToGrid w:val="0"/>
        <w:spacing w:line="360" w:lineRule="auto"/>
        <w:jc w:val="center"/>
        <w:textAlignment w:val="baseline"/>
        <w:rPr>
          <w:rFonts w:ascii="黑体" w:hAnsi="黑体" w:eastAsia="黑体" w:cs="仿宋"/>
          <w:b/>
          <w:kern w:val="0"/>
          <w:sz w:val="24"/>
          <w:szCs w:val="24"/>
          <w:highlight w:val="none"/>
        </w:rPr>
      </w:pPr>
      <w:r>
        <w:rPr>
          <w:rFonts w:hint="eastAsia" w:ascii="黑体" w:hAnsi="黑体" w:eastAsia="黑体" w:cs="仿宋"/>
          <w:b/>
          <w:kern w:val="0"/>
          <w:sz w:val="24"/>
          <w:szCs w:val="24"/>
          <w:highlight w:val="none"/>
        </w:rPr>
        <w:t xml:space="preserve"> 岸基水质监测系统总体架构示意图</w:t>
      </w:r>
    </w:p>
    <w:p w14:paraId="7D63DB37">
      <w:pPr>
        <w:pStyle w:val="57"/>
        <w:ind w:firstLine="484"/>
        <w:rPr>
          <w:rFonts w:ascii="宋体" w:hAnsi="宋体"/>
          <w:highlight w:val="none"/>
        </w:rPr>
      </w:pPr>
      <w:r>
        <w:rPr>
          <w:rFonts w:hint="eastAsia" w:ascii="宋体" w:hAnsi="宋体"/>
          <w:highlight w:val="none"/>
        </w:rPr>
        <w:t>与传统监测站不同，微型站要求高度集成和小型化。在实际使用中，水质自动监测微型站常用于城市内河，江河支流等户外环境，对用电、土地使用、安全等有较高要求。</w:t>
      </w:r>
    </w:p>
    <w:p w14:paraId="2ED6E150">
      <w:pPr>
        <w:pStyle w:val="57"/>
        <w:ind w:firstLine="484"/>
        <w:rPr>
          <w:rFonts w:ascii="宋体" w:hAnsi="宋体"/>
          <w:highlight w:val="none"/>
        </w:rPr>
      </w:pPr>
      <w:r>
        <w:rPr>
          <w:rFonts w:hint="eastAsia" w:ascii="宋体" w:hAnsi="宋体"/>
          <w:highlight w:val="none"/>
        </w:rPr>
        <w:t>本系统采用高度集成的一站式户外柜，分为数据采集层、分析仪表层、采样预处理层和化学试剂层。</w:t>
      </w:r>
    </w:p>
    <w:p w14:paraId="647ED27F">
      <w:pPr>
        <w:pStyle w:val="57"/>
        <w:ind w:firstLine="484"/>
        <w:rPr>
          <w:rFonts w:ascii="宋体" w:hAnsi="宋体"/>
          <w:highlight w:val="none"/>
        </w:rPr>
      </w:pPr>
      <w:r>
        <w:rPr>
          <w:rFonts w:hint="eastAsia" w:ascii="宋体" w:hAnsi="宋体"/>
          <w:highlight w:val="none"/>
        </w:rPr>
        <w:t>系统布局如图所示：</w:t>
      </w:r>
    </w:p>
    <w:p w14:paraId="2F57A8C3">
      <w:pPr>
        <w:pStyle w:val="57"/>
        <w:ind w:firstLine="200" w:firstLineChars="83"/>
        <w:jc w:val="center"/>
        <w:rPr>
          <w:rFonts w:ascii="宋体" w:hAnsi="宋体" w:cs="宋体"/>
          <w:highlight w:val="none"/>
        </w:rPr>
      </w:pPr>
      <w:r>
        <w:rPr>
          <w:rFonts w:hint="eastAsia" w:ascii="宋体" w:hAnsi="宋体" w:cs="宋体"/>
          <w:highlight w:val="none"/>
        </w:rPr>
        <w:drawing>
          <wp:inline distT="0" distB="0" distL="114300" distR="114300">
            <wp:extent cx="3387725" cy="2794000"/>
            <wp:effectExtent l="0" t="0" r="3175" b="6350"/>
            <wp:docPr id="4" name="图片 9" descr="H:\公司资料\--产品文件夹-凯铭\----7.特殊项目资料\---0.微型站解决方案\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H:\公司资料\--产品文件夹-凯铭\----7.特殊项目资料\---0.微型站解决方案\1.jpg1"/>
                    <pic:cNvPicPr>
                      <a:picLocks noChangeAspect="1"/>
                    </pic:cNvPicPr>
                  </pic:nvPicPr>
                  <pic:blipFill>
                    <a:blip r:embed="rId25" cstate="print"/>
                    <a:srcRect b="9499"/>
                    <a:stretch>
                      <a:fillRect/>
                    </a:stretch>
                  </pic:blipFill>
                  <pic:spPr>
                    <a:xfrm>
                      <a:off x="0" y="0"/>
                      <a:ext cx="3387725" cy="2794000"/>
                    </a:xfrm>
                    <a:prstGeom prst="rect">
                      <a:avLst/>
                    </a:prstGeom>
                    <a:noFill/>
                    <a:ln>
                      <a:noFill/>
                    </a:ln>
                  </pic:spPr>
                </pic:pic>
              </a:graphicData>
            </a:graphic>
          </wp:inline>
        </w:drawing>
      </w:r>
    </w:p>
    <w:p w14:paraId="09DBDE44">
      <w:pPr>
        <w:adjustRightInd w:val="0"/>
        <w:snapToGrid w:val="0"/>
        <w:spacing w:line="360" w:lineRule="auto"/>
        <w:jc w:val="center"/>
        <w:textAlignment w:val="baseline"/>
        <w:rPr>
          <w:rFonts w:ascii="黑体" w:hAnsi="黑体" w:eastAsia="黑体" w:cs="仿宋"/>
          <w:b/>
          <w:kern w:val="0"/>
          <w:sz w:val="24"/>
          <w:szCs w:val="24"/>
          <w:highlight w:val="none"/>
        </w:rPr>
      </w:pPr>
      <w:r>
        <w:rPr>
          <w:rFonts w:hint="eastAsia" w:ascii="黑体" w:hAnsi="黑体" w:eastAsia="黑体" w:cs="仿宋"/>
          <w:b/>
          <w:kern w:val="0"/>
          <w:sz w:val="24"/>
          <w:szCs w:val="24"/>
          <w:highlight w:val="none"/>
        </w:rPr>
        <w:t xml:space="preserve"> 水站实物示意图</w:t>
      </w:r>
    </w:p>
    <w:p w14:paraId="6A97782B">
      <w:pPr>
        <w:pStyle w:val="57"/>
        <w:ind w:firstLine="484"/>
        <w:jc w:val="left"/>
        <w:rPr>
          <w:rFonts w:ascii="宋体" w:hAnsi="宋体"/>
          <w:highlight w:val="none"/>
        </w:rPr>
      </w:pPr>
      <w:r>
        <w:rPr>
          <w:rFonts w:hint="eastAsia" w:ascii="宋体" w:hAnsi="宋体"/>
          <w:highlight w:val="none"/>
        </w:rPr>
        <w:t>一站式户外柜占地面积小（1200*800*1700），采用不锈钢双层隔热技术，含内外通风管道，冬天情况下无需通过空调调温，同时起到节能作用。内加装工业空调（600W），机柜内部温度在夏天时保持平衡。</w:t>
      </w:r>
    </w:p>
    <w:p w14:paraId="25B2DBC7">
      <w:pPr>
        <w:pStyle w:val="57"/>
        <w:ind w:firstLine="484"/>
        <w:jc w:val="left"/>
        <w:rPr>
          <w:rFonts w:ascii="宋体" w:hAnsi="宋体"/>
          <w:highlight w:val="none"/>
        </w:rPr>
      </w:pPr>
      <w:r>
        <w:rPr>
          <w:rFonts w:hint="eastAsia" w:ascii="宋体" w:hAnsi="宋体"/>
          <w:highlight w:val="none"/>
        </w:rPr>
        <w:t>显示屏采用工业一体化工作站，工作站运行的中控软件，通过PLC控制水样采集系统和预处理系统。同时控制分析仪器开启测量，并采集内部所用分析仪数据。通过GPRS将所有数据传送到软件云平台上。</w:t>
      </w:r>
    </w:p>
    <w:p w14:paraId="5C911794">
      <w:pPr>
        <w:pStyle w:val="57"/>
        <w:ind w:firstLine="484"/>
        <w:jc w:val="left"/>
        <w:rPr>
          <w:rFonts w:ascii="宋体" w:hAnsi="宋体"/>
          <w:highlight w:val="none"/>
        </w:rPr>
      </w:pPr>
      <w:r>
        <w:rPr>
          <w:rFonts w:hint="eastAsia" w:ascii="宋体" w:hAnsi="宋体"/>
          <w:highlight w:val="none"/>
        </w:rPr>
        <w:t>内部分析仪包含</w:t>
      </w:r>
      <w:r>
        <w:rPr>
          <w:rFonts w:ascii="宋体" w:hAnsi="宋体"/>
          <w:highlight w:val="none"/>
        </w:rPr>
        <w:t>3N1P</w:t>
      </w:r>
      <w:r>
        <w:rPr>
          <w:rFonts w:hint="eastAsia" w:ascii="宋体" w:hAnsi="宋体"/>
          <w:highlight w:val="none"/>
        </w:rPr>
        <w:t>、TP、TN、水质多参数等，可根据用户的需求进行更改或扩展。</w:t>
      </w:r>
    </w:p>
    <w:p w14:paraId="25080EA1">
      <w:pPr>
        <w:pStyle w:val="57"/>
        <w:ind w:firstLine="484"/>
        <w:jc w:val="left"/>
        <w:rPr>
          <w:rFonts w:ascii="宋体" w:hAnsi="宋体"/>
          <w:highlight w:val="none"/>
        </w:rPr>
      </w:pPr>
      <w:r>
        <w:rPr>
          <w:rFonts w:hint="eastAsia" w:ascii="宋体" w:hAnsi="宋体"/>
          <w:highlight w:val="none"/>
        </w:rPr>
        <w:t>监测站主要特点：</w:t>
      </w:r>
    </w:p>
    <w:p w14:paraId="7F9F040F">
      <w:pPr>
        <w:pStyle w:val="57"/>
        <w:ind w:firstLine="484"/>
        <w:jc w:val="left"/>
        <w:rPr>
          <w:rFonts w:ascii="宋体" w:hAnsi="宋体"/>
          <w:highlight w:val="none"/>
        </w:rPr>
      </w:pPr>
      <w:r>
        <w:rPr>
          <w:rFonts w:hint="eastAsia" w:ascii="宋体" w:hAnsi="宋体"/>
          <w:highlight w:val="none"/>
        </w:rPr>
        <w:t>内部主要因子采用国标法进行测量，可对被测点水样的水质情况进行定性、定量分析；</w:t>
      </w:r>
    </w:p>
    <w:p w14:paraId="0B87D7AA">
      <w:pPr>
        <w:pStyle w:val="57"/>
        <w:ind w:firstLine="484"/>
        <w:jc w:val="left"/>
        <w:rPr>
          <w:rFonts w:ascii="宋体" w:hAnsi="宋体"/>
          <w:highlight w:val="none"/>
        </w:rPr>
      </w:pPr>
      <w:r>
        <w:rPr>
          <w:rFonts w:hint="eastAsia" w:ascii="宋体" w:hAnsi="宋体"/>
          <w:highlight w:val="none"/>
        </w:rPr>
        <w:t>安装方便，仅需供电和安装外部管路即可；</w:t>
      </w:r>
    </w:p>
    <w:p w14:paraId="6737D44A">
      <w:pPr>
        <w:pStyle w:val="57"/>
        <w:ind w:firstLine="484"/>
        <w:jc w:val="left"/>
        <w:rPr>
          <w:rFonts w:ascii="宋体" w:hAnsi="宋体"/>
          <w:highlight w:val="none"/>
        </w:rPr>
      </w:pPr>
      <w:r>
        <w:rPr>
          <w:rFonts w:hint="eastAsia" w:ascii="宋体" w:hAnsi="宋体"/>
          <w:highlight w:val="none"/>
        </w:rPr>
        <w:t>采用特种户外机，双层隔热，隔热性能好，阻燃，防水防撞；</w:t>
      </w:r>
    </w:p>
    <w:p w14:paraId="331B5376">
      <w:pPr>
        <w:pStyle w:val="57"/>
        <w:ind w:firstLine="484"/>
        <w:jc w:val="left"/>
        <w:rPr>
          <w:rFonts w:ascii="宋体" w:hAnsi="宋体"/>
          <w:highlight w:val="none"/>
        </w:rPr>
      </w:pPr>
      <w:r>
        <w:rPr>
          <w:rFonts w:hint="eastAsia" w:ascii="宋体" w:hAnsi="宋体"/>
          <w:highlight w:val="none"/>
        </w:rPr>
        <w:t>内置工业空调，全天候无故障运行，可保证仪表稳定运行及延长试剂保质期；</w:t>
      </w:r>
    </w:p>
    <w:p w14:paraId="2199F693">
      <w:pPr>
        <w:pStyle w:val="57"/>
        <w:ind w:firstLine="484"/>
        <w:jc w:val="left"/>
        <w:rPr>
          <w:rFonts w:ascii="宋体" w:hAnsi="宋体"/>
          <w:highlight w:val="none"/>
        </w:rPr>
      </w:pPr>
      <w:r>
        <w:rPr>
          <w:rFonts w:hint="eastAsia" w:ascii="宋体" w:hAnsi="宋体"/>
          <w:highlight w:val="none"/>
        </w:rPr>
        <w:t>测量因子可根据用户需求进行更改或增减；</w:t>
      </w:r>
    </w:p>
    <w:p w14:paraId="039EE5C9">
      <w:pPr>
        <w:pStyle w:val="57"/>
        <w:ind w:firstLine="484"/>
        <w:jc w:val="left"/>
        <w:rPr>
          <w:rFonts w:ascii="宋体" w:hAnsi="宋体"/>
          <w:highlight w:val="none"/>
        </w:rPr>
      </w:pPr>
      <w:r>
        <w:rPr>
          <w:rFonts w:hint="eastAsia" w:ascii="宋体" w:hAnsi="宋体"/>
          <w:highlight w:val="none"/>
        </w:rPr>
        <w:t>可扩展五参数因子，无需加装二次仪表；</w:t>
      </w:r>
    </w:p>
    <w:p w14:paraId="0AE9F73E">
      <w:pPr>
        <w:pStyle w:val="57"/>
        <w:ind w:firstLine="484"/>
        <w:jc w:val="left"/>
        <w:rPr>
          <w:rFonts w:ascii="宋体" w:hAnsi="宋体"/>
          <w:highlight w:val="none"/>
        </w:rPr>
      </w:pPr>
      <w:r>
        <w:rPr>
          <w:rFonts w:hint="eastAsia" w:ascii="宋体" w:hAnsi="宋体"/>
          <w:highlight w:val="none"/>
        </w:rPr>
        <w:t>内部集成有高性能中控，可通过RG45、GPRS、NB_Iot等技术实现数据传输和网络反控；</w:t>
      </w:r>
    </w:p>
    <w:p w14:paraId="10AF8A49">
      <w:pPr>
        <w:pStyle w:val="57"/>
        <w:ind w:firstLine="484"/>
        <w:jc w:val="left"/>
        <w:rPr>
          <w:rFonts w:ascii="宋体" w:hAnsi="宋体"/>
          <w:highlight w:val="none"/>
        </w:rPr>
      </w:pPr>
      <w:r>
        <w:rPr>
          <w:rFonts w:hint="eastAsia" w:ascii="宋体" w:hAnsi="宋体"/>
          <w:highlight w:val="none"/>
        </w:rPr>
        <w:t>内部控制系统采用PLC控制；</w:t>
      </w:r>
    </w:p>
    <w:p w14:paraId="5DC5972A">
      <w:pPr>
        <w:pStyle w:val="57"/>
        <w:ind w:firstLine="484"/>
        <w:jc w:val="left"/>
        <w:rPr>
          <w:rFonts w:ascii="宋体" w:hAnsi="宋体"/>
          <w:highlight w:val="none"/>
        </w:rPr>
      </w:pPr>
      <w:r>
        <w:rPr>
          <w:rFonts w:hint="eastAsia" w:ascii="宋体" w:hAnsi="宋体"/>
          <w:highlight w:val="none"/>
        </w:rPr>
        <w:t>网络反控能力强，可以进行细节化操作；</w:t>
      </w:r>
    </w:p>
    <w:p w14:paraId="25CC6295">
      <w:pPr>
        <w:pStyle w:val="57"/>
        <w:ind w:firstLine="484"/>
        <w:jc w:val="left"/>
        <w:rPr>
          <w:rFonts w:ascii="宋体" w:hAnsi="宋体"/>
          <w:highlight w:val="none"/>
        </w:rPr>
      </w:pPr>
      <w:r>
        <w:rPr>
          <w:rFonts w:hint="eastAsia" w:ascii="宋体" w:hAnsi="宋体"/>
          <w:highlight w:val="none"/>
        </w:rPr>
        <w:t>多种采样系统组合安装，可根据现场实际工况选择合适的采样系统；</w:t>
      </w:r>
    </w:p>
    <w:p w14:paraId="7809D38C">
      <w:pPr>
        <w:pStyle w:val="57"/>
        <w:ind w:firstLine="484"/>
        <w:jc w:val="left"/>
        <w:rPr>
          <w:rFonts w:ascii="宋体" w:hAnsi="宋体"/>
          <w:highlight w:val="none"/>
        </w:rPr>
      </w:pPr>
      <w:r>
        <w:rPr>
          <w:rFonts w:hint="eastAsia" w:ascii="宋体" w:hAnsi="宋体"/>
          <w:highlight w:val="none"/>
        </w:rPr>
        <w:t>可增加反吹、反冲清洗系统，具有除藻、杀菌功能；</w:t>
      </w:r>
    </w:p>
    <w:p w14:paraId="2985AB27">
      <w:pPr>
        <w:pStyle w:val="57"/>
        <w:ind w:firstLine="484"/>
        <w:jc w:val="left"/>
        <w:rPr>
          <w:rFonts w:ascii="宋体" w:hAnsi="宋体"/>
          <w:highlight w:val="none"/>
        </w:rPr>
      </w:pPr>
      <w:r>
        <w:rPr>
          <w:rFonts w:hint="eastAsia" w:ascii="宋体" w:hAnsi="宋体"/>
          <w:highlight w:val="none"/>
        </w:rPr>
        <w:t>内置手动采样装置；</w:t>
      </w:r>
    </w:p>
    <w:p w14:paraId="42B86315">
      <w:pPr>
        <w:pStyle w:val="57"/>
        <w:ind w:firstLine="484"/>
        <w:jc w:val="left"/>
        <w:rPr>
          <w:rFonts w:ascii="宋体" w:hAnsi="宋体"/>
          <w:highlight w:val="none"/>
        </w:rPr>
      </w:pPr>
      <w:r>
        <w:rPr>
          <w:rFonts w:hint="eastAsia" w:ascii="宋体" w:hAnsi="宋体"/>
          <w:highlight w:val="none"/>
        </w:rPr>
        <w:t>产品功耗低，可单独使用太阳能或市电，也可同时使用太阳能和市电；</w:t>
      </w:r>
    </w:p>
    <w:p w14:paraId="2193969E">
      <w:pPr>
        <w:pStyle w:val="57"/>
        <w:ind w:firstLine="484"/>
        <w:jc w:val="left"/>
        <w:rPr>
          <w:rFonts w:ascii="宋体" w:hAnsi="宋体"/>
          <w:highlight w:val="none"/>
        </w:rPr>
      </w:pPr>
      <w:r>
        <w:rPr>
          <w:rFonts w:hint="eastAsia" w:ascii="宋体" w:hAnsi="宋体"/>
          <w:highlight w:val="none"/>
        </w:rPr>
        <w:t>维护量小，分析仪试剂使用量小，单次取样仅用0.8mL；</w:t>
      </w:r>
    </w:p>
    <w:p w14:paraId="69DA87B4">
      <w:pPr>
        <w:pStyle w:val="57"/>
        <w:ind w:firstLine="484"/>
        <w:jc w:val="left"/>
        <w:rPr>
          <w:rFonts w:ascii="宋体" w:hAnsi="宋体"/>
          <w:highlight w:val="none"/>
        </w:rPr>
      </w:pPr>
      <w:r>
        <w:rPr>
          <w:rFonts w:hint="eastAsia" w:ascii="宋体" w:hAnsi="宋体"/>
          <w:highlight w:val="none"/>
        </w:rPr>
        <w:t>具有烟雾报警、防淹报警功能；</w:t>
      </w:r>
    </w:p>
    <w:p w14:paraId="56E8B6F8">
      <w:pPr>
        <w:pStyle w:val="57"/>
        <w:ind w:firstLine="484"/>
        <w:jc w:val="left"/>
        <w:rPr>
          <w:rFonts w:ascii="宋体" w:hAnsi="宋体"/>
          <w:highlight w:val="none"/>
        </w:rPr>
      </w:pPr>
      <w:r>
        <w:rPr>
          <w:rFonts w:hint="eastAsia" w:ascii="宋体" w:hAnsi="宋体"/>
          <w:highlight w:val="none"/>
        </w:rPr>
        <w:t>具有开门记录及非法开门报警；</w:t>
      </w:r>
    </w:p>
    <w:p w14:paraId="74F2DAD1">
      <w:pPr>
        <w:pStyle w:val="57"/>
        <w:ind w:firstLine="484"/>
        <w:jc w:val="left"/>
        <w:rPr>
          <w:rFonts w:ascii="宋体" w:hAnsi="宋体"/>
          <w:highlight w:val="none"/>
        </w:rPr>
      </w:pPr>
      <w:r>
        <w:rPr>
          <w:rFonts w:hint="eastAsia" w:ascii="宋体" w:hAnsi="宋体"/>
          <w:highlight w:val="none"/>
        </w:rPr>
        <w:t>具有电子门禁或机械门禁；</w:t>
      </w:r>
    </w:p>
    <w:p w14:paraId="2136C7F8">
      <w:pPr>
        <w:pStyle w:val="57"/>
        <w:ind w:firstLine="484"/>
        <w:jc w:val="left"/>
        <w:rPr>
          <w:rFonts w:ascii="宋体" w:hAnsi="宋体"/>
          <w:highlight w:val="none"/>
        </w:rPr>
      </w:pPr>
      <w:r>
        <w:rPr>
          <w:rFonts w:hint="eastAsia" w:ascii="宋体" w:hAnsi="宋体"/>
          <w:highlight w:val="none"/>
        </w:rPr>
        <w:t>可内置视频采集系统；</w:t>
      </w:r>
    </w:p>
    <w:p w14:paraId="216A2F83">
      <w:pPr>
        <w:pStyle w:val="57"/>
        <w:ind w:firstLine="484"/>
        <w:jc w:val="left"/>
        <w:rPr>
          <w:rFonts w:ascii="宋体" w:hAnsi="宋体"/>
          <w:highlight w:val="none"/>
        </w:rPr>
      </w:pPr>
      <w:r>
        <w:rPr>
          <w:rFonts w:hint="eastAsia" w:ascii="宋体" w:hAnsi="宋体"/>
          <w:highlight w:val="none"/>
        </w:rPr>
        <w:t>小型化模块，整台仪器体积小（100*300*200）、重量轻、集成度高。</w:t>
      </w:r>
    </w:p>
    <w:p w14:paraId="7926AF05">
      <w:pPr>
        <w:pStyle w:val="57"/>
        <w:ind w:firstLine="484"/>
        <w:jc w:val="left"/>
        <w:rPr>
          <w:rFonts w:ascii="宋体" w:hAnsi="宋体"/>
          <w:highlight w:val="none"/>
        </w:rPr>
      </w:pPr>
      <w:r>
        <w:rPr>
          <w:rFonts w:hint="eastAsia" w:ascii="宋体" w:hAnsi="宋体"/>
          <w:highlight w:val="none"/>
        </w:rPr>
        <w:t>监测取水方式：</w:t>
      </w:r>
    </w:p>
    <w:p w14:paraId="3A0FAED4">
      <w:pPr>
        <w:pStyle w:val="57"/>
        <w:ind w:firstLine="484"/>
        <w:jc w:val="left"/>
        <w:rPr>
          <w:rFonts w:ascii="宋体" w:hAnsi="宋体"/>
          <w:highlight w:val="none"/>
        </w:rPr>
      </w:pPr>
      <w:r>
        <w:rPr>
          <w:rFonts w:hint="eastAsia" w:ascii="宋体" w:hAnsi="宋体"/>
          <w:highlight w:val="none"/>
        </w:rPr>
        <w:t>采水应用范围：浮球式采水方式主要应用于水体比较开阔，水位变化不是很大，岸边坡度较小且便于人为维护的场合。</w:t>
      </w:r>
    </w:p>
    <w:p w14:paraId="0F7723B8">
      <w:pPr>
        <w:pStyle w:val="57"/>
        <w:ind w:firstLine="484"/>
        <w:jc w:val="left"/>
        <w:rPr>
          <w:rFonts w:ascii="宋体" w:hAnsi="宋体"/>
          <w:highlight w:val="none"/>
        </w:rPr>
      </w:pPr>
      <w:r>
        <w:rPr>
          <w:rFonts w:hint="eastAsia" w:ascii="宋体" w:hAnsi="宋体"/>
          <w:highlight w:val="none"/>
        </w:rPr>
        <w:t>采水特点：浮球式采水方式设备简单，安装方便且成本很低，但是抗河流冲击能力较差。</w:t>
      </w:r>
    </w:p>
    <w:p w14:paraId="43D8EE3C">
      <w:pPr>
        <w:pStyle w:val="57"/>
        <w:ind w:firstLine="484"/>
        <w:jc w:val="left"/>
        <w:rPr>
          <w:rFonts w:ascii="宋体" w:hAnsi="宋体"/>
          <w:highlight w:val="none"/>
        </w:rPr>
      </w:pPr>
      <w:r>
        <w:rPr>
          <w:rFonts w:hint="eastAsia" w:ascii="宋体" w:hAnsi="宋体"/>
          <w:highlight w:val="none"/>
        </w:rPr>
        <w:t>系统组成包括：</w:t>
      </w:r>
    </w:p>
    <w:p w14:paraId="3E0EC973">
      <w:pPr>
        <w:pStyle w:val="57"/>
        <w:ind w:firstLine="484"/>
        <w:jc w:val="left"/>
        <w:rPr>
          <w:rFonts w:ascii="宋体" w:hAnsi="宋体"/>
          <w:highlight w:val="none"/>
        </w:rPr>
      </w:pPr>
      <w:r>
        <w:rPr>
          <w:rFonts w:hint="eastAsia" w:ascii="宋体" w:hAnsi="宋体"/>
          <w:highlight w:val="none"/>
        </w:rPr>
        <w:t>浮球/浮标：固定水泵，使水泵能随液位波动而上下浮动；</w:t>
      </w:r>
    </w:p>
    <w:p w14:paraId="63F5EC0A">
      <w:pPr>
        <w:pStyle w:val="57"/>
        <w:ind w:firstLine="484"/>
        <w:jc w:val="left"/>
        <w:rPr>
          <w:rFonts w:ascii="宋体" w:hAnsi="宋体"/>
          <w:highlight w:val="none"/>
        </w:rPr>
      </w:pPr>
      <w:r>
        <w:rPr>
          <w:rFonts w:hint="eastAsia" w:ascii="宋体" w:hAnsi="宋体"/>
          <w:highlight w:val="none"/>
        </w:rPr>
        <w:t>前级过滤：对水泵取水起到粗滤作用；</w:t>
      </w:r>
    </w:p>
    <w:p w14:paraId="7F2B144C">
      <w:pPr>
        <w:pStyle w:val="57"/>
        <w:ind w:firstLine="484"/>
        <w:jc w:val="left"/>
        <w:rPr>
          <w:rFonts w:ascii="宋体" w:hAnsi="宋体"/>
          <w:highlight w:val="none"/>
        </w:rPr>
      </w:pPr>
      <w:r>
        <w:rPr>
          <w:rFonts w:hint="eastAsia" w:ascii="宋体" w:hAnsi="宋体"/>
          <w:highlight w:val="none"/>
        </w:rPr>
        <w:t>采水潜水泵：取水功能；</w:t>
      </w:r>
    </w:p>
    <w:p w14:paraId="4175A0BE">
      <w:pPr>
        <w:pStyle w:val="57"/>
        <w:ind w:firstLine="484"/>
        <w:jc w:val="left"/>
        <w:rPr>
          <w:rFonts w:ascii="宋体" w:hAnsi="宋体"/>
          <w:highlight w:val="none"/>
        </w:rPr>
      </w:pPr>
      <w:r>
        <w:rPr>
          <w:rFonts w:hint="eastAsia" w:ascii="宋体" w:hAnsi="宋体"/>
          <w:highlight w:val="none"/>
        </w:rPr>
        <w:t>警示灯：起警示作用，避免来往船只与之发生碰撞；</w:t>
      </w:r>
    </w:p>
    <w:p w14:paraId="71386AC8">
      <w:pPr>
        <w:pStyle w:val="57"/>
        <w:ind w:firstLine="484"/>
        <w:jc w:val="left"/>
        <w:rPr>
          <w:rFonts w:ascii="宋体" w:hAnsi="宋体"/>
          <w:highlight w:val="none"/>
        </w:rPr>
      </w:pPr>
      <w:r>
        <w:rPr>
          <w:rFonts w:hint="eastAsia" w:ascii="宋体" w:hAnsi="宋体"/>
          <w:highlight w:val="none"/>
        </w:rPr>
        <w:t>固定点：通过钢丝绳实现浮球与固定点之间的连接；</w:t>
      </w:r>
    </w:p>
    <w:p w14:paraId="4FB867C8">
      <w:pPr>
        <w:pStyle w:val="57"/>
        <w:ind w:firstLine="0" w:firstLineChars="0"/>
        <w:jc w:val="center"/>
        <w:rPr>
          <w:rFonts w:ascii="宋体" w:hAnsi="宋体"/>
          <w:highlight w:val="none"/>
        </w:rPr>
      </w:pPr>
      <w:r>
        <w:rPr>
          <w:rFonts w:ascii="宋体" w:hAnsi="宋体"/>
          <w:highlight w:val="none"/>
        </w:rPr>
        <w:drawing>
          <wp:inline distT="0" distB="0" distL="114300" distR="114300">
            <wp:extent cx="3251835" cy="1354455"/>
            <wp:effectExtent l="0" t="0" r="5715" b="171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6" cstate="print"/>
                    <a:stretch>
                      <a:fillRect/>
                    </a:stretch>
                  </pic:blipFill>
                  <pic:spPr>
                    <a:xfrm>
                      <a:off x="0" y="0"/>
                      <a:ext cx="3251835" cy="1354455"/>
                    </a:xfrm>
                    <a:prstGeom prst="rect">
                      <a:avLst/>
                    </a:prstGeom>
                    <a:noFill/>
                    <a:ln>
                      <a:noFill/>
                    </a:ln>
                  </pic:spPr>
                </pic:pic>
              </a:graphicData>
            </a:graphic>
          </wp:inline>
        </w:drawing>
      </w:r>
    </w:p>
    <w:p w14:paraId="21A89EFC">
      <w:pPr>
        <w:adjustRightInd w:val="0"/>
        <w:snapToGrid w:val="0"/>
        <w:spacing w:line="360" w:lineRule="auto"/>
        <w:jc w:val="center"/>
        <w:textAlignment w:val="baseline"/>
        <w:rPr>
          <w:rFonts w:ascii="宋体" w:hAnsi="宋体"/>
          <w:highlight w:val="none"/>
        </w:rPr>
      </w:pPr>
      <w:r>
        <w:rPr>
          <w:rFonts w:hint="eastAsia" w:ascii="黑体" w:hAnsi="黑体" w:eastAsia="黑体" w:cs="仿宋"/>
          <w:b/>
          <w:kern w:val="0"/>
          <w:sz w:val="24"/>
          <w:szCs w:val="24"/>
          <w:highlight w:val="none"/>
        </w:rPr>
        <w:t xml:space="preserve">  取水方式示意图</w:t>
      </w:r>
    </w:p>
    <w:p w14:paraId="465B120D">
      <w:pPr>
        <w:pStyle w:val="55"/>
        <w:adjustRightInd w:val="0"/>
        <w:snapToGrid w:val="0"/>
        <w:spacing w:beforeLines="0"/>
        <w:ind w:firstLine="0" w:firstLineChars="0"/>
        <w:jc w:val="center"/>
        <w:rPr>
          <w:rFonts w:ascii="黑体" w:hAnsi="黑体" w:eastAsia="黑体" w:cs="仿宋"/>
          <w:b/>
          <w:kern w:val="0"/>
          <w:szCs w:val="24"/>
          <w:highlight w:val="none"/>
        </w:rPr>
      </w:pPr>
    </w:p>
    <w:p w14:paraId="3C2B54B3">
      <w:pPr>
        <w:pStyle w:val="55"/>
        <w:adjustRightInd w:val="0"/>
        <w:snapToGrid w:val="0"/>
        <w:spacing w:beforeLines="0"/>
        <w:ind w:firstLine="0" w:firstLineChars="0"/>
        <w:jc w:val="center"/>
        <w:rPr>
          <w:rFonts w:ascii="黑体" w:hAnsi="黑体" w:eastAsia="黑体" w:cs="仿宋"/>
          <w:b/>
          <w:kern w:val="0"/>
          <w:szCs w:val="24"/>
          <w:highlight w:val="none"/>
        </w:rPr>
      </w:pPr>
    </w:p>
    <w:p w14:paraId="75D6622D">
      <w:pPr>
        <w:pStyle w:val="55"/>
        <w:adjustRightInd w:val="0"/>
        <w:snapToGrid w:val="0"/>
        <w:spacing w:beforeLines="0"/>
        <w:ind w:firstLine="0" w:firstLineChars="0"/>
        <w:jc w:val="center"/>
        <w:rPr>
          <w:rFonts w:ascii="黑体" w:hAnsi="黑体" w:eastAsia="黑体" w:cs="仿宋"/>
          <w:b/>
          <w:kern w:val="0"/>
          <w:szCs w:val="24"/>
          <w:highlight w:val="none"/>
        </w:rPr>
      </w:pPr>
      <w:r>
        <w:rPr>
          <w:rFonts w:hint="eastAsia" w:ascii="黑体" w:hAnsi="黑体" w:eastAsia="黑体" w:cs="仿宋"/>
          <w:b/>
          <w:kern w:val="0"/>
          <w:szCs w:val="24"/>
          <w:highlight w:val="none"/>
        </w:rPr>
        <w:t>岸基水质监测系统详细技术参数明细表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9"/>
        <w:gridCol w:w="1037"/>
        <w:gridCol w:w="6445"/>
        <w:gridCol w:w="1529"/>
      </w:tblGrid>
      <w:tr w14:paraId="74ADD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Align w:val="center"/>
          </w:tcPr>
          <w:p w14:paraId="434BC0F6">
            <w:pPr>
              <w:widowControl/>
              <w:jc w:val="center"/>
              <w:textAlignment w:val="center"/>
              <w:rPr>
                <w:rFonts w:ascii="宋体" w:hAnsi="宋体" w:cs="宋体"/>
                <w:b/>
                <w:bCs/>
                <w:szCs w:val="21"/>
                <w:highlight w:val="none"/>
              </w:rPr>
            </w:pPr>
            <w:bookmarkStart w:id="86" w:name="OLE_LINK3"/>
            <w:r>
              <w:rPr>
                <w:rFonts w:hint="eastAsia" w:ascii="宋体" w:hAnsi="宋体" w:cs="宋体"/>
                <w:b/>
                <w:bCs/>
                <w:szCs w:val="21"/>
                <w:highlight w:val="none"/>
              </w:rPr>
              <w:t>建设内容</w:t>
            </w:r>
          </w:p>
        </w:tc>
        <w:tc>
          <w:tcPr>
            <w:tcW w:w="526" w:type="pct"/>
            <w:vAlign w:val="center"/>
          </w:tcPr>
          <w:p w14:paraId="6C30975E">
            <w:pPr>
              <w:widowControl/>
              <w:jc w:val="center"/>
              <w:textAlignment w:val="center"/>
              <w:rPr>
                <w:rFonts w:ascii="宋体" w:hAnsi="宋体" w:cs="宋体"/>
                <w:b/>
                <w:bCs/>
                <w:szCs w:val="21"/>
                <w:highlight w:val="none"/>
              </w:rPr>
            </w:pPr>
            <w:r>
              <w:rPr>
                <w:rFonts w:hint="eastAsia" w:ascii="宋体" w:hAnsi="宋体" w:cs="宋体"/>
                <w:b/>
                <w:bCs/>
                <w:szCs w:val="21"/>
                <w:highlight w:val="none"/>
              </w:rPr>
              <w:t>分项明细</w:t>
            </w:r>
          </w:p>
        </w:tc>
        <w:tc>
          <w:tcPr>
            <w:tcW w:w="3270" w:type="pct"/>
            <w:vAlign w:val="center"/>
          </w:tcPr>
          <w:p w14:paraId="02C2A301">
            <w:pPr>
              <w:widowControl/>
              <w:jc w:val="center"/>
              <w:textAlignment w:val="center"/>
              <w:rPr>
                <w:rFonts w:ascii="宋体" w:hAnsi="宋体" w:cs="宋体"/>
                <w:b/>
                <w:bCs/>
                <w:szCs w:val="21"/>
                <w:highlight w:val="none"/>
              </w:rPr>
            </w:pPr>
            <w:r>
              <w:rPr>
                <w:rFonts w:hint="eastAsia" w:ascii="宋体" w:hAnsi="宋体" w:cs="宋体"/>
                <w:b/>
                <w:bCs/>
                <w:szCs w:val="21"/>
                <w:highlight w:val="none"/>
              </w:rPr>
              <w:t>技术参数</w:t>
            </w:r>
          </w:p>
        </w:tc>
        <w:tc>
          <w:tcPr>
            <w:tcW w:w="776" w:type="pct"/>
            <w:vAlign w:val="center"/>
          </w:tcPr>
          <w:p w14:paraId="650A18CC">
            <w:pPr>
              <w:widowControl/>
              <w:jc w:val="center"/>
              <w:textAlignment w:val="center"/>
              <w:rPr>
                <w:rFonts w:ascii="宋体" w:hAnsi="宋体" w:cs="宋体"/>
                <w:b/>
                <w:bCs/>
                <w:szCs w:val="21"/>
                <w:highlight w:val="none"/>
              </w:rPr>
            </w:pPr>
            <w:r>
              <w:rPr>
                <w:rFonts w:hint="eastAsia" w:ascii="宋体" w:hAnsi="宋体" w:cs="宋体"/>
                <w:b/>
                <w:bCs/>
                <w:szCs w:val="21"/>
                <w:highlight w:val="none"/>
              </w:rPr>
              <w:t>数量/单位</w:t>
            </w:r>
          </w:p>
        </w:tc>
      </w:tr>
      <w:tr w14:paraId="17F1C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restart"/>
            <w:vAlign w:val="center"/>
          </w:tcPr>
          <w:p w14:paraId="1C85250D">
            <w:pPr>
              <w:widowControl/>
              <w:textAlignment w:val="center"/>
              <w:rPr>
                <w:rFonts w:ascii="宋体" w:hAnsi="宋体" w:cs="宋体"/>
                <w:kern w:val="0"/>
                <w:szCs w:val="21"/>
                <w:highlight w:val="none"/>
              </w:rPr>
            </w:pPr>
            <w:r>
              <w:rPr>
                <w:rFonts w:hint="eastAsia" w:ascii="宋体" w:hAnsi="宋体"/>
                <w:szCs w:val="21"/>
                <w:highlight w:val="none"/>
              </w:rPr>
              <w:t>岸基水质监测系 统</w:t>
            </w:r>
          </w:p>
        </w:tc>
        <w:tc>
          <w:tcPr>
            <w:tcW w:w="526" w:type="pct"/>
            <w:vAlign w:val="center"/>
          </w:tcPr>
          <w:p w14:paraId="739CFC3B">
            <w:pPr>
              <w:widowControl/>
              <w:rPr>
                <w:rFonts w:ascii="宋体" w:hAnsi="宋体"/>
                <w:kern w:val="0"/>
                <w:szCs w:val="21"/>
                <w:highlight w:val="none"/>
              </w:rPr>
            </w:pPr>
            <w:r>
              <w:rPr>
                <w:rFonts w:hint="eastAsia" w:ascii="宋体" w:hAnsi="宋体"/>
                <w:szCs w:val="21"/>
                <w:highlight w:val="none"/>
              </w:rPr>
              <w:t>主控机柜（含数据采集及无线传输）</w:t>
            </w:r>
          </w:p>
        </w:tc>
        <w:tc>
          <w:tcPr>
            <w:tcW w:w="3270" w:type="pct"/>
            <w:vAlign w:val="center"/>
          </w:tcPr>
          <w:p w14:paraId="2C20E188">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1.规格：≤950×980×2000 材料：316不锈钢+碳钢混合喷塑，占地面积小于1平方米；</w:t>
            </w:r>
          </w:p>
          <w:p w14:paraId="0F558391">
            <w:pPr>
              <w:rPr>
                <w:rFonts w:ascii="宋体" w:hAnsi="宋体"/>
                <w:szCs w:val="21"/>
                <w:highlight w:val="none"/>
              </w:rPr>
            </w:pPr>
            <w:r>
              <w:rPr>
                <w:rFonts w:hint="eastAsia" w:ascii="宋体" w:hAnsi="宋体"/>
                <w:szCs w:val="21"/>
                <w:highlight w:val="none"/>
              </w:rPr>
              <w:t>2.站柜前后为敞开门洞；站柜左右两侧为固定太阳能蓄电池支架用；</w:t>
            </w:r>
          </w:p>
          <w:p w14:paraId="6900EF10">
            <w:pPr>
              <w:rPr>
                <w:rFonts w:ascii="宋体" w:hAnsi="宋体"/>
                <w:szCs w:val="21"/>
                <w:highlight w:val="none"/>
              </w:rPr>
            </w:pPr>
            <w:r>
              <w:rPr>
                <w:rFonts w:hint="eastAsia" w:ascii="宋体" w:hAnsi="宋体"/>
                <w:szCs w:val="21"/>
                <w:highlight w:val="none"/>
              </w:rPr>
              <w:t>3.监测站柜内配与本工程相配套的水、电等相关配管配线、开关、插座、电缆、电线等；</w:t>
            </w:r>
          </w:p>
          <w:p w14:paraId="32791F35">
            <w:pPr>
              <w:rPr>
                <w:rFonts w:ascii="宋体" w:hAnsi="宋体"/>
                <w:szCs w:val="21"/>
                <w:highlight w:val="none"/>
              </w:rPr>
            </w:pPr>
            <w:r>
              <w:rPr>
                <w:rFonts w:hint="eastAsia" w:ascii="宋体" w:hAnsi="宋体"/>
                <w:szCs w:val="21"/>
                <w:highlight w:val="none"/>
              </w:rPr>
              <w:t>4.防雷接地处理，预埋固定支架及防雷地网，用8mm钢筋铺5*5米地网，四根2.5米加厚热镀锌，规格为50*50*5mm；</w:t>
            </w:r>
          </w:p>
          <w:p w14:paraId="3386EF85">
            <w:pPr>
              <w:rPr>
                <w:rFonts w:ascii="宋体" w:hAnsi="宋体"/>
                <w:szCs w:val="21"/>
                <w:highlight w:val="none"/>
              </w:rPr>
            </w:pPr>
            <w:r>
              <w:rPr>
                <w:rFonts w:hint="eastAsia" w:ascii="宋体" w:hAnsi="宋体"/>
                <w:szCs w:val="21"/>
                <w:highlight w:val="none"/>
              </w:rPr>
              <w:t>5.柜内配件：电气安装板，户外专用工业空调，各类分析模块，烟感，浸水，温湿度、各类控制板卡、工控机等</w:t>
            </w:r>
          </w:p>
          <w:p w14:paraId="38F2AB13">
            <w:pPr>
              <w:rPr>
                <w:rFonts w:ascii="宋体" w:hAnsi="宋体"/>
                <w:szCs w:val="21"/>
                <w:highlight w:val="none"/>
              </w:rPr>
            </w:pPr>
            <w:r>
              <w:rPr>
                <w:rFonts w:hint="eastAsia" w:ascii="宋体" w:hAnsi="宋体"/>
                <w:szCs w:val="21"/>
                <w:highlight w:val="none"/>
              </w:rPr>
              <w:t>6.站柜防腐保护：对整个柜体进行原有涂层清除，抛光机打磨后进行涂油保养，然后清理油层后进行喷塑。</w:t>
            </w:r>
          </w:p>
          <w:p w14:paraId="61C50C91">
            <w:pPr>
              <w:rPr>
                <w:rFonts w:ascii="宋体" w:hAnsi="宋体"/>
                <w:szCs w:val="21"/>
                <w:highlight w:val="none"/>
              </w:rPr>
            </w:pPr>
            <w:r>
              <w:rPr>
                <w:rFonts w:hint="eastAsia" w:ascii="宋体" w:hAnsi="宋体"/>
                <w:szCs w:val="21"/>
                <w:highlight w:val="none"/>
              </w:rPr>
              <w:t>7.仪表模块化设计9参数可灵活组合。测量方法均采用国标法，可定性及定量分析被测水样；</w:t>
            </w:r>
          </w:p>
          <w:p w14:paraId="664CB844">
            <w:pPr>
              <w:rPr>
                <w:rFonts w:ascii="宋体" w:hAnsi="宋体"/>
                <w:szCs w:val="21"/>
                <w:highlight w:val="none"/>
              </w:rPr>
            </w:pPr>
            <w:r>
              <w:rPr>
                <w:rFonts w:hint="eastAsia" w:ascii="宋体" w:hAnsi="宋体"/>
                <w:szCs w:val="21"/>
                <w:highlight w:val="none"/>
              </w:rPr>
              <w:t>8</w:t>
            </w:r>
            <w:r>
              <w:rPr>
                <w:rFonts w:ascii="宋体" w:hAnsi="宋体"/>
                <w:szCs w:val="21"/>
                <w:highlight w:val="none"/>
              </w:rPr>
              <w:t>.</w:t>
            </w:r>
            <w:r>
              <w:rPr>
                <w:rFonts w:hint="eastAsia" w:ascii="宋体" w:hAnsi="宋体"/>
                <w:szCs w:val="21"/>
                <w:highlight w:val="none"/>
              </w:rPr>
              <w:t>岸站含有数据采集及无线数据传输，数据处理/传输单元是指嵌入数据处理和数据采集传输软件的工控板卡及工控机，外加配合的工业路由器及信号加强器等；板卡：CPU：32位集成浮点运算单元，计算速度可达100MHZ、内存：128MB闪存和4MB带内置供电的静态存储器、时钟精确：±3分钟每年，可GPS校时至10微秒、10/100 以太网 RJ45接口用于LAN连接、RS-232/CPI 端口用于通道扩展或者集成模块CDM、协议支持。</w:t>
            </w:r>
          </w:p>
        </w:tc>
        <w:tc>
          <w:tcPr>
            <w:tcW w:w="776" w:type="pct"/>
            <w:vAlign w:val="center"/>
          </w:tcPr>
          <w:p w14:paraId="711615A2">
            <w:pPr>
              <w:jc w:val="center"/>
              <w:rPr>
                <w:rFonts w:ascii="宋体" w:hAnsi="宋体"/>
                <w:szCs w:val="21"/>
                <w:highlight w:val="none"/>
              </w:rPr>
            </w:pPr>
            <w:r>
              <w:rPr>
                <w:rFonts w:hint="eastAsia" w:ascii="宋体" w:hAnsi="宋体"/>
                <w:szCs w:val="21"/>
                <w:highlight w:val="none"/>
              </w:rPr>
              <w:t>1套</w:t>
            </w:r>
          </w:p>
        </w:tc>
      </w:tr>
      <w:tr w14:paraId="46004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1E3BB922">
            <w:pPr>
              <w:jc w:val="center"/>
              <w:rPr>
                <w:rFonts w:ascii="宋体" w:hAnsi="宋体" w:cs="宋体"/>
                <w:szCs w:val="21"/>
                <w:highlight w:val="none"/>
              </w:rPr>
            </w:pPr>
          </w:p>
        </w:tc>
        <w:tc>
          <w:tcPr>
            <w:tcW w:w="526" w:type="pct"/>
            <w:vAlign w:val="center"/>
          </w:tcPr>
          <w:p w14:paraId="5E9F55F9">
            <w:pPr>
              <w:rPr>
                <w:rFonts w:ascii="宋体" w:hAnsi="宋体"/>
                <w:szCs w:val="21"/>
                <w:highlight w:val="none"/>
              </w:rPr>
            </w:pPr>
            <w:r>
              <w:rPr>
                <w:rFonts w:hint="eastAsia" w:ascii="宋体" w:hAnsi="宋体"/>
                <w:szCs w:val="21"/>
                <w:highlight w:val="none"/>
              </w:rPr>
              <w:t>多参数监测单元</w:t>
            </w:r>
          </w:p>
        </w:tc>
        <w:tc>
          <w:tcPr>
            <w:tcW w:w="3270" w:type="pct"/>
            <w:vAlign w:val="center"/>
          </w:tcPr>
          <w:p w14:paraId="7A10FAD8">
            <w:pPr>
              <w:rPr>
                <w:rFonts w:ascii="宋体" w:hAnsi="宋体"/>
                <w:snapToGrid w:val="0"/>
                <w:szCs w:val="21"/>
                <w:highlight w:val="none"/>
              </w:rPr>
            </w:pPr>
            <w:r>
              <w:rPr>
                <w:rFonts w:hint="eastAsia" w:ascii="宋体" w:hAnsi="宋体"/>
                <w:snapToGrid w:val="0"/>
                <w:szCs w:val="21"/>
                <w:highlight w:val="none"/>
              </w:rPr>
              <w:t>1.溶解氧电极</w:t>
            </w:r>
          </w:p>
          <w:p w14:paraId="730CAEF8">
            <w:pPr>
              <w:rPr>
                <w:rFonts w:ascii="宋体" w:hAnsi="宋体"/>
                <w:bCs/>
                <w:szCs w:val="21"/>
                <w:highlight w:val="none"/>
              </w:rPr>
            </w:pPr>
            <w:r>
              <w:rPr>
                <w:rFonts w:hint="eastAsia" w:ascii="宋体" w:hAnsi="宋体"/>
                <w:bCs/>
                <w:szCs w:val="21"/>
                <w:highlight w:val="none"/>
              </w:rPr>
              <w:t>测试原理：荧光淬灭法；</w:t>
            </w:r>
          </w:p>
          <w:p w14:paraId="5E3EC967">
            <w:pPr>
              <w:rPr>
                <w:rFonts w:ascii="宋体" w:hAnsi="宋体"/>
                <w:bCs/>
                <w:szCs w:val="21"/>
                <w:highlight w:val="none"/>
              </w:rPr>
            </w:pPr>
            <w:r>
              <w:rPr>
                <w:rFonts w:hint="eastAsia" w:ascii="宋体" w:hAnsi="宋体"/>
                <w:bCs/>
                <w:szCs w:val="21"/>
                <w:highlight w:val="none"/>
              </w:rPr>
              <w:t>量程：</w:t>
            </w:r>
            <w:r>
              <w:rPr>
                <w:rFonts w:ascii="宋体" w:hAnsi="宋体"/>
                <w:bCs/>
                <w:szCs w:val="21"/>
                <w:highlight w:val="none"/>
              </w:rPr>
              <w:t>0</w:t>
            </w:r>
            <w:r>
              <w:rPr>
                <w:rFonts w:hint="eastAsia" w:ascii="宋体" w:hAnsi="宋体"/>
                <w:bCs/>
                <w:szCs w:val="21"/>
                <w:highlight w:val="none"/>
              </w:rPr>
              <w:t>溶解氧：(0～20)mg/L或(0～200)% ；</w:t>
            </w:r>
          </w:p>
          <w:p w14:paraId="3D012E5A">
            <w:pPr>
              <w:rPr>
                <w:rFonts w:ascii="宋体" w:hAnsi="宋体"/>
                <w:bCs/>
                <w:szCs w:val="21"/>
                <w:highlight w:val="none"/>
              </w:rPr>
            </w:pPr>
            <w:r>
              <w:rPr>
                <w:rFonts w:hint="eastAsia" w:ascii="宋体" w:hAnsi="宋体"/>
                <w:bCs/>
                <w:szCs w:val="21"/>
                <w:highlight w:val="none"/>
              </w:rPr>
              <w:t>温度：(0～60)℃</w:t>
            </w:r>
          </w:p>
          <w:p w14:paraId="11A39BB4">
            <w:pPr>
              <w:rPr>
                <w:rFonts w:ascii="宋体" w:hAnsi="宋体"/>
                <w:bCs/>
                <w:szCs w:val="21"/>
                <w:highlight w:val="none"/>
              </w:rPr>
            </w:pPr>
            <w:r>
              <w:rPr>
                <w:rFonts w:hint="eastAsia" w:ascii="宋体" w:hAnsi="宋体"/>
                <w:bCs/>
                <w:szCs w:val="21"/>
                <w:highlight w:val="none"/>
              </w:rPr>
              <w:t>准确度：±0.3mg/L、重复性：±0.3mg/L</w:t>
            </w:r>
          </w:p>
          <w:p w14:paraId="7BBDCD09">
            <w:pPr>
              <w:rPr>
                <w:rFonts w:ascii="宋体" w:hAnsi="宋体"/>
                <w:bCs/>
                <w:szCs w:val="21"/>
                <w:highlight w:val="none"/>
              </w:rPr>
            </w:pPr>
            <w:r>
              <w:rPr>
                <w:rFonts w:hint="eastAsia" w:ascii="宋体" w:hAnsi="宋体"/>
                <w:bCs/>
                <w:szCs w:val="21"/>
                <w:highlight w:val="none"/>
              </w:rPr>
              <w:t>分辨率：0.01mg/L、响应时间：≤60s</w:t>
            </w:r>
          </w:p>
          <w:p w14:paraId="0E4742BE">
            <w:pPr>
              <w:rPr>
                <w:rFonts w:ascii="宋体" w:hAnsi="宋体"/>
                <w:bCs/>
                <w:szCs w:val="21"/>
                <w:highlight w:val="none"/>
              </w:rPr>
            </w:pPr>
            <w:r>
              <w:rPr>
                <w:rFonts w:hint="eastAsia" w:ascii="宋体" w:hAnsi="宋体"/>
                <w:bCs/>
                <w:szCs w:val="21"/>
                <w:highlight w:val="none"/>
              </w:rPr>
              <w:t>零点漂移（24h）：±0.3mg/L</w:t>
            </w:r>
          </w:p>
          <w:p w14:paraId="09A00D51">
            <w:pPr>
              <w:rPr>
                <w:rFonts w:ascii="宋体" w:hAnsi="宋体"/>
                <w:bCs/>
                <w:szCs w:val="21"/>
                <w:highlight w:val="none"/>
              </w:rPr>
            </w:pPr>
            <w:r>
              <w:rPr>
                <w:rFonts w:hint="eastAsia" w:ascii="宋体" w:hAnsi="宋体"/>
                <w:bCs/>
                <w:szCs w:val="21"/>
                <w:highlight w:val="none"/>
              </w:rPr>
              <w:t>量程漂移（24h）：±0.3mg/L</w:t>
            </w:r>
          </w:p>
          <w:p w14:paraId="1415D592">
            <w:pPr>
              <w:rPr>
                <w:rFonts w:ascii="宋体" w:hAnsi="宋体"/>
                <w:bCs/>
                <w:szCs w:val="21"/>
                <w:highlight w:val="none"/>
              </w:rPr>
            </w:pPr>
            <w:r>
              <w:rPr>
                <w:rFonts w:hint="eastAsia" w:ascii="宋体" w:hAnsi="宋体"/>
                <w:bCs/>
                <w:szCs w:val="21"/>
                <w:highlight w:val="none"/>
              </w:rPr>
              <w:t>温度补偿精度：±0.3mg/L</w:t>
            </w:r>
          </w:p>
          <w:p w14:paraId="54F5E260">
            <w:pPr>
              <w:rPr>
                <w:rFonts w:ascii="宋体" w:hAnsi="宋体"/>
                <w:bCs/>
                <w:szCs w:val="21"/>
                <w:highlight w:val="none"/>
              </w:rPr>
            </w:pPr>
            <w:r>
              <w:rPr>
                <w:rFonts w:hint="eastAsia" w:ascii="宋体" w:hAnsi="宋体"/>
                <w:bCs/>
                <w:szCs w:val="21"/>
                <w:highlight w:val="none"/>
              </w:rPr>
              <w:t>校准周期：6个月、防护等级：IP68</w:t>
            </w:r>
          </w:p>
          <w:p w14:paraId="0C413D2E">
            <w:pPr>
              <w:rPr>
                <w:rFonts w:ascii="宋体" w:hAnsi="宋体"/>
                <w:snapToGrid w:val="0"/>
                <w:szCs w:val="21"/>
                <w:highlight w:val="none"/>
              </w:rPr>
            </w:pPr>
            <w:r>
              <w:rPr>
                <w:rFonts w:hint="eastAsia" w:ascii="宋体" w:hAnsi="宋体"/>
                <w:snapToGrid w:val="0"/>
                <w:szCs w:val="21"/>
                <w:highlight w:val="none"/>
              </w:rPr>
              <w:t>2.浊度电极</w:t>
            </w:r>
          </w:p>
          <w:p w14:paraId="523016B5">
            <w:pPr>
              <w:rPr>
                <w:rFonts w:ascii="宋体" w:hAnsi="宋体"/>
                <w:bCs/>
                <w:szCs w:val="21"/>
                <w:highlight w:val="none"/>
              </w:rPr>
            </w:pPr>
            <w:r>
              <w:rPr>
                <w:rFonts w:hint="eastAsia" w:ascii="宋体" w:hAnsi="宋体"/>
                <w:bCs/>
                <w:szCs w:val="21"/>
                <w:highlight w:val="none"/>
              </w:rPr>
              <w:t>测量方法:红外散射法</w:t>
            </w:r>
          </w:p>
          <w:p w14:paraId="5903A76F">
            <w:pPr>
              <w:rPr>
                <w:rFonts w:ascii="宋体" w:hAnsi="宋体"/>
                <w:bCs/>
                <w:szCs w:val="21"/>
                <w:highlight w:val="none"/>
              </w:rPr>
            </w:pPr>
            <w:r>
              <w:rPr>
                <w:rFonts w:hint="eastAsia" w:ascii="宋体" w:hAnsi="宋体"/>
                <w:bCs/>
                <w:szCs w:val="21"/>
                <w:highlight w:val="none"/>
              </w:rPr>
              <w:t>量程浊度：(0～100/500/2000/4000)NTU</w:t>
            </w:r>
            <w:r>
              <w:rPr>
                <w:rFonts w:ascii="宋体" w:hAnsi="宋体"/>
                <w:bCs/>
                <w:szCs w:val="21"/>
                <w:highlight w:val="none"/>
              </w:rPr>
              <w:t>;</w:t>
            </w:r>
            <w:r>
              <w:rPr>
                <w:rFonts w:hint="eastAsia" w:ascii="宋体" w:hAnsi="宋体"/>
                <w:bCs/>
                <w:szCs w:val="21"/>
                <w:highlight w:val="none"/>
              </w:rPr>
              <w:t>温度：(0～60)℃</w:t>
            </w:r>
          </w:p>
          <w:p w14:paraId="00553ED3">
            <w:pPr>
              <w:rPr>
                <w:rFonts w:ascii="宋体" w:hAnsi="宋体"/>
                <w:bCs/>
                <w:szCs w:val="21"/>
                <w:highlight w:val="none"/>
              </w:rPr>
            </w:pPr>
            <w:r>
              <w:rPr>
                <w:rFonts w:hint="eastAsia" w:ascii="宋体" w:hAnsi="宋体"/>
                <w:bCs/>
                <w:szCs w:val="21"/>
                <w:highlight w:val="none"/>
              </w:rPr>
              <w:t>准确度:≤±2%、重复性:1%、分辨率:0.01NTU、检出限:0.05NTU、响应时间:≤5s、零点漂移（24h）:≤±3%F.S、量程漂移（24h）:≤±3%F.S</w:t>
            </w:r>
          </w:p>
          <w:p w14:paraId="088D7A31">
            <w:pPr>
              <w:rPr>
                <w:rFonts w:ascii="宋体" w:hAnsi="宋体"/>
                <w:bCs/>
                <w:szCs w:val="21"/>
                <w:highlight w:val="none"/>
              </w:rPr>
            </w:pPr>
            <w:r>
              <w:rPr>
                <w:rFonts w:hint="eastAsia" w:ascii="宋体" w:hAnsi="宋体"/>
                <w:bCs/>
                <w:szCs w:val="21"/>
                <w:highlight w:val="none"/>
              </w:rPr>
              <w:t>校准周期:6个月、防护等级:IP68</w:t>
            </w:r>
          </w:p>
          <w:p w14:paraId="7945D934">
            <w:pPr>
              <w:rPr>
                <w:rFonts w:ascii="宋体" w:hAnsi="宋体"/>
                <w:bCs/>
                <w:szCs w:val="21"/>
                <w:highlight w:val="none"/>
              </w:rPr>
            </w:pPr>
            <w:r>
              <w:rPr>
                <w:rFonts w:hint="eastAsia" w:ascii="宋体" w:hAnsi="宋体"/>
                <w:bCs/>
                <w:szCs w:val="21"/>
                <w:highlight w:val="none"/>
              </w:rPr>
              <w:t>3.</w:t>
            </w:r>
            <w:r>
              <w:rPr>
                <w:rFonts w:hint="eastAsia" w:ascii="宋体" w:hAnsi="宋体"/>
                <w:snapToGrid w:val="0"/>
                <w:szCs w:val="21"/>
                <w:highlight w:val="none"/>
              </w:rPr>
              <w:t>电导率电极</w:t>
            </w:r>
          </w:p>
          <w:p w14:paraId="1839E614">
            <w:pPr>
              <w:rPr>
                <w:rFonts w:ascii="宋体" w:hAnsi="宋体"/>
                <w:bCs/>
                <w:szCs w:val="21"/>
                <w:highlight w:val="none"/>
              </w:rPr>
            </w:pPr>
            <w:r>
              <w:rPr>
                <w:rFonts w:hint="eastAsia" w:ascii="宋体" w:hAnsi="宋体"/>
                <w:bCs/>
                <w:szCs w:val="21"/>
                <w:highlight w:val="none"/>
              </w:rPr>
              <w:t>测量方法:四线制石墨电极法</w:t>
            </w:r>
          </w:p>
          <w:p w14:paraId="7E4C2554">
            <w:pPr>
              <w:rPr>
                <w:rFonts w:ascii="宋体" w:hAnsi="宋体"/>
                <w:bCs/>
                <w:szCs w:val="21"/>
                <w:highlight w:val="none"/>
              </w:rPr>
            </w:pPr>
            <w:r>
              <w:rPr>
                <w:rFonts w:hint="eastAsia" w:ascii="宋体" w:hAnsi="宋体"/>
                <w:bCs/>
                <w:szCs w:val="21"/>
                <w:highlight w:val="none"/>
              </w:rPr>
              <w:t>量 程:电导率：(0～500mS/cm) ，盐度：（0-100）ppt</w:t>
            </w:r>
            <w:r>
              <w:rPr>
                <w:rFonts w:ascii="宋体" w:hAnsi="宋体"/>
                <w:bCs/>
                <w:szCs w:val="21"/>
                <w:highlight w:val="none"/>
              </w:rPr>
              <w:t xml:space="preserve">; </w:t>
            </w:r>
            <w:r>
              <w:rPr>
                <w:rFonts w:hint="eastAsia" w:ascii="宋体" w:hAnsi="宋体"/>
                <w:bCs/>
                <w:szCs w:val="21"/>
                <w:highlight w:val="none"/>
              </w:rPr>
              <w:t>温度：(0～60)℃</w:t>
            </w:r>
          </w:p>
          <w:p w14:paraId="32AAA1B9">
            <w:pPr>
              <w:rPr>
                <w:rFonts w:ascii="宋体" w:hAnsi="宋体"/>
                <w:bCs/>
                <w:szCs w:val="21"/>
                <w:highlight w:val="none"/>
              </w:rPr>
            </w:pPr>
            <w:r>
              <w:rPr>
                <w:rFonts w:hint="eastAsia" w:ascii="宋体" w:hAnsi="宋体"/>
                <w:bCs/>
                <w:szCs w:val="21"/>
                <w:highlight w:val="none"/>
              </w:rPr>
              <w:t>准确度:≤±1%、重复性:≤1%</w:t>
            </w:r>
          </w:p>
          <w:p w14:paraId="0EA8F1CA">
            <w:pPr>
              <w:rPr>
                <w:rFonts w:ascii="宋体" w:hAnsi="宋体"/>
                <w:bCs/>
                <w:szCs w:val="21"/>
                <w:highlight w:val="none"/>
              </w:rPr>
            </w:pPr>
            <w:r>
              <w:rPr>
                <w:rFonts w:hint="eastAsia" w:ascii="宋体" w:hAnsi="宋体"/>
                <w:bCs/>
                <w:szCs w:val="21"/>
                <w:highlight w:val="none"/>
              </w:rPr>
              <w:t>分辨率:电导率：0.01µS/cm，盐度：0.01ppt</w:t>
            </w:r>
          </w:p>
          <w:p w14:paraId="1469234C">
            <w:pPr>
              <w:rPr>
                <w:rFonts w:ascii="宋体" w:hAnsi="宋体"/>
                <w:bCs/>
                <w:szCs w:val="21"/>
                <w:highlight w:val="none"/>
              </w:rPr>
            </w:pPr>
            <w:r>
              <w:rPr>
                <w:rFonts w:hint="eastAsia" w:ascii="宋体" w:hAnsi="宋体"/>
                <w:bCs/>
                <w:szCs w:val="21"/>
                <w:highlight w:val="none"/>
              </w:rPr>
              <w:t>响应时间:≤20s、零点漂移（24h）:≤±1%F.S.、量程漂移（24h）:≤±1%F.S.、温度补偿精度:≤±1%</w:t>
            </w:r>
          </w:p>
          <w:p w14:paraId="115E3B24">
            <w:pPr>
              <w:rPr>
                <w:rFonts w:ascii="宋体" w:hAnsi="宋体"/>
                <w:bCs/>
                <w:szCs w:val="21"/>
                <w:highlight w:val="none"/>
              </w:rPr>
            </w:pPr>
            <w:r>
              <w:rPr>
                <w:rFonts w:hint="eastAsia" w:ascii="宋体" w:hAnsi="宋体"/>
                <w:bCs/>
                <w:szCs w:val="21"/>
                <w:highlight w:val="none"/>
              </w:rPr>
              <w:t>校准周期:6个月、防护等级:IP68</w:t>
            </w:r>
          </w:p>
          <w:p w14:paraId="62489D75">
            <w:pPr>
              <w:rPr>
                <w:rFonts w:ascii="宋体" w:hAnsi="宋体"/>
                <w:snapToGrid w:val="0"/>
                <w:szCs w:val="21"/>
                <w:highlight w:val="none"/>
              </w:rPr>
            </w:pPr>
            <w:r>
              <w:rPr>
                <w:rFonts w:hint="eastAsia" w:ascii="宋体" w:hAnsi="宋体"/>
                <w:snapToGrid w:val="0"/>
                <w:szCs w:val="21"/>
                <w:highlight w:val="none"/>
              </w:rPr>
              <w:t>4.PH电极</w:t>
            </w:r>
          </w:p>
          <w:p w14:paraId="58969188">
            <w:pPr>
              <w:rPr>
                <w:rFonts w:ascii="宋体" w:hAnsi="宋体"/>
                <w:bCs/>
                <w:szCs w:val="21"/>
                <w:highlight w:val="none"/>
              </w:rPr>
            </w:pPr>
            <w:r>
              <w:rPr>
                <w:rFonts w:hint="eastAsia" w:ascii="宋体" w:hAnsi="宋体"/>
                <w:bCs/>
                <w:szCs w:val="21"/>
                <w:highlight w:val="none"/>
              </w:rPr>
              <w:t>测量方法:玻璃电极法</w:t>
            </w:r>
          </w:p>
          <w:p w14:paraId="2549A522">
            <w:pPr>
              <w:rPr>
                <w:rFonts w:ascii="宋体" w:hAnsi="宋体"/>
                <w:bCs/>
                <w:szCs w:val="21"/>
                <w:highlight w:val="none"/>
              </w:rPr>
            </w:pPr>
            <w:r>
              <w:rPr>
                <w:rFonts w:hint="eastAsia" w:ascii="宋体" w:hAnsi="宋体"/>
                <w:bCs/>
                <w:szCs w:val="21"/>
                <w:highlight w:val="none"/>
              </w:rPr>
              <w:t>量 程:pH：0～14</w:t>
            </w:r>
            <w:r>
              <w:rPr>
                <w:rFonts w:ascii="宋体" w:hAnsi="宋体"/>
                <w:bCs/>
                <w:szCs w:val="21"/>
                <w:highlight w:val="none"/>
              </w:rPr>
              <w:t xml:space="preserve">; </w:t>
            </w:r>
            <w:r>
              <w:rPr>
                <w:rFonts w:hint="eastAsia" w:ascii="宋体" w:hAnsi="宋体"/>
                <w:bCs/>
                <w:szCs w:val="21"/>
                <w:highlight w:val="none"/>
              </w:rPr>
              <w:t>温度：(0～60)℃</w:t>
            </w:r>
          </w:p>
          <w:p w14:paraId="09C92A96">
            <w:pPr>
              <w:rPr>
                <w:rFonts w:ascii="宋体" w:hAnsi="宋体"/>
                <w:bCs/>
                <w:szCs w:val="21"/>
                <w:highlight w:val="none"/>
              </w:rPr>
            </w:pPr>
            <w:r>
              <w:rPr>
                <w:rFonts w:hint="eastAsia" w:ascii="宋体" w:hAnsi="宋体"/>
                <w:bCs/>
                <w:szCs w:val="21"/>
                <w:highlight w:val="none"/>
              </w:rPr>
              <w:t>准确度:≤±0.1pH、重复性:≤±0.1pH</w:t>
            </w:r>
          </w:p>
          <w:p w14:paraId="38A9FFEB">
            <w:pPr>
              <w:rPr>
                <w:rFonts w:ascii="宋体" w:hAnsi="宋体"/>
                <w:bCs/>
                <w:szCs w:val="21"/>
                <w:highlight w:val="none"/>
              </w:rPr>
            </w:pPr>
            <w:r>
              <w:rPr>
                <w:rFonts w:hint="eastAsia" w:ascii="宋体" w:hAnsi="宋体"/>
                <w:bCs/>
                <w:szCs w:val="21"/>
                <w:highlight w:val="none"/>
              </w:rPr>
              <w:t>分辨率:0.01pH、响应时间:≤10s、漂 移:≤±0.1pH、温度补偿精度:≤±0.1pH</w:t>
            </w:r>
          </w:p>
          <w:p w14:paraId="7D230405">
            <w:pPr>
              <w:rPr>
                <w:rFonts w:ascii="宋体" w:hAnsi="宋体"/>
                <w:bCs/>
                <w:szCs w:val="21"/>
                <w:highlight w:val="none"/>
              </w:rPr>
            </w:pPr>
            <w:r>
              <w:rPr>
                <w:rFonts w:hint="eastAsia" w:ascii="宋体" w:hAnsi="宋体"/>
                <w:bCs/>
                <w:szCs w:val="21"/>
                <w:highlight w:val="none"/>
              </w:rPr>
              <w:t>校准周期:6个月、防护等级:IP68</w:t>
            </w:r>
          </w:p>
          <w:p w14:paraId="4954CA18">
            <w:pPr>
              <w:rPr>
                <w:rFonts w:ascii="宋体" w:hAnsi="宋体"/>
                <w:szCs w:val="21"/>
                <w:highlight w:val="none"/>
              </w:rPr>
            </w:pPr>
            <w:r>
              <w:rPr>
                <w:rFonts w:hint="eastAsia" w:ascii="宋体" w:hAnsi="宋体"/>
                <w:szCs w:val="21"/>
                <w:highlight w:val="none"/>
              </w:rPr>
              <w:t>5.叶绿素a：</w:t>
            </w:r>
            <w:r>
              <w:rPr>
                <w:rFonts w:ascii="宋体" w:hAnsi="宋体"/>
                <w:szCs w:val="21"/>
                <w:highlight w:val="none"/>
              </w:rPr>
              <w:t>范围0μg/L-400μg/L ；叶绿素等值浓度罗丹明WT溶液连续稀释，R</w:t>
            </w:r>
            <w:r>
              <w:rPr>
                <w:rFonts w:ascii="宋体" w:hAnsi="宋体" w:cs="Calibri"/>
                <w:szCs w:val="21"/>
                <w:highlight w:val="none"/>
              </w:rPr>
              <w:t>²</w:t>
            </w:r>
            <w:r>
              <w:rPr>
                <w:rFonts w:ascii="宋体" w:hAnsi="宋体"/>
                <w:szCs w:val="21"/>
                <w:highlight w:val="none"/>
              </w:rPr>
              <w:t>&gt;0.99 ；</w:t>
            </w:r>
            <w:r>
              <w:rPr>
                <w:rFonts w:hint="eastAsia" w:ascii="宋体" w:hAnsi="宋体"/>
                <w:szCs w:val="21"/>
                <w:highlight w:val="none"/>
              </w:rPr>
              <w:t>分辨率</w:t>
            </w:r>
            <w:r>
              <w:rPr>
                <w:rFonts w:ascii="宋体" w:hAnsi="宋体"/>
                <w:szCs w:val="21"/>
                <w:highlight w:val="none"/>
              </w:rPr>
              <w:t>0.01μg/L</w:t>
            </w:r>
          </w:p>
          <w:p w14:paraId="18BFB751">
            <w:pPr>
              <w:rPr>
                <w:rFonts w:ascii="宋体" w:hAnsi="宋体"/>
                <w:szCs w:val="21"/>
                <w:highlight w:val="none"/>
              </w:rPr>
            </w:pPr>
            <w:r>
              <w:rPr>
                <w:rFonts w:hint="eastAsia" w:ascii="宋体" w:hAnsi="宋体"/>
                <w:szCs w:val="21"/>
                <w:highlight w:val="none"/>
              </w:rPr>
              <w:t>溶解氧、浊度、电导率及PH探头要求均内置</w:t>
            </w:r>
            <w:r>
              <w:rPr>
                <w:rFonts w:ascii="宋体" w:hAnsi="宋体"/>
                <w:szCs w:val="21"/>
                <w:highlight w:val="none"/>
              </w:rPr>
              <w:t>温度</w:t>
            </w:r>
            <w:r>
              <w:rPr>
                <w:rFonts w:hint="eastAsia" w:ascii="宋体" w:hAnsi="宋体"/>
                <w:szCs w:val="21"/>
                <w:highlight w:val="none"/>
              </w:rPr>
              <w:t>测试功能。</w:t>
            </w:r>
          </w:p>
        </w:tc>
        <w:tc>
          <w:tcPr>
            <w:tcW w:w="776" w:type="pct"/>
            <w:vAlign w:val="center"/>
          </w:tcPr>
          <w:p w14:paraId="0BB7DDE9">
            <w:pPr>
              <w:jc w:val="center"/>
              <w:rPr>
                <w:rFonts w:ascii="宋体" w:hAnsi="宋体"/>
                <w:szCs w:val="21"/>
                <w:highlight w:val="none"/>
              </w:rPr>
            </w:pPr>
            <w:r>
              <w:rPr>
                <w:rFonts w:hint="eastAsia" w:ascii="宋体" w:hAnsi="宋体"/>
                <w:szCs w:val="21"/>
                <w:highlight w:val="none"/>
              </w:rPr>
              <w:t>1套</w:t>
            </w:r>
          </w:p>
        </w:tc>
      </w:tr>
      <w:tr w14:paraId="17F5A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4107D686">
            <w:pPr>
              <w:jc w:val="center"/>
              <w:rPr>
                <w:rFonts w:ascii="宋体" w:hAnsi="宋体" w:cs="宋体"/>
                <w:szCs w:val="21"/>
                <w:highlight w:val="none"/>
              </w:rPr>
            </w:pPr>
          </w:p>
        </w:tc>
        <w:tc>
          <w:tcPr>
            <w:tcW w:w="526" w:type="pct"/>
            <w:vAlign w:val="center"/>
          </w:tcPr>
          <w:p w14:paraId="625C1B2A">
            <w:pPr>
              <w:rPr>
                <w:rFonts w:ascii="宋体" w:hAnsi="宋体"/>
                <w:szCs w:val="21"/>
                <w:highlight w:val="none"/>
              </w:rPr>
            </w:pPr>
            <w:r>
              <w:rPr>
                <w:rFonts w:hint="eastAsia" w:ascii="宋体" w:hAnsi="宋体"/>
                <w:szCs w:val="21"/>
                <w:highlight w:val="none"/>
              </w:rPr>
              <w:t>总氮监测单元</w:t>
            </w:r>
          </w:p>
        </w:tc>
        <w:tc>
          <w:tcPr>
            <w:tcW w:w="3270" w:type="pct"/>
            <w:vAlign w:val="center"/>
          </w:tcPr>
          <w:p w14:paraId="623CE8C6">
            <w:pPr>
              <w:rPr>
                <w:rFonts w:ascii="宋体" w:hAnsi="宋体"/>
                <w:szCs w:val="21"/>
                <w:highlight w:val="none"/>
              </w:rPr>
            </w:pPr>
            <w:r>
              <w:rPr>
                <w:rFonts w:hint="eastAsia" w:ascii="宋体" w:hAnsi="宋体"/>
                <w:szCs w:val="21"/>
                <w:highlight w:val="none"/>
              </w:rPr>
              <w:t>测量方法：间苯二酚分光光度法</w:t>
            </w:r>
          </w:p>
          <w:p w14:paraId="26F1F506">
            <w:pPr>
              <w:rPr>
                <w:rFonts w:ascii="宋体" w:hAnsi="宋体"/>
                <w:szCs w:val="21"/>
                <w:highlight w:val="none"/>
              </w:rPr>
            </w:pPr>
            <w:r>
              <w:rPr>
                <w:rFonts w:hint="eastAsia" w:ascii="宋体" w:hAnsi="宋体"/>
                <w:szCs w:val="21"/>
                <w:highlight w:val="none"/>
              </w:rPr>
              <w:t>分析仪采用先进的多通道流控阀</w:t>
            </w:r>
            <w:r>
              <w:rPr>
                <w:rFonts w:hint="eastAsia" w:ascii="宋体" w:hAnsi="宋体" w:cs="仿宋"/>
                <w:bCs/>
                <w:snapToGrid w:val="0"/>
                <w:szCs w:val="21"/>
                <w:highlight w:val="none"/>
              </w:rPr>
              <w:t>及</w:t>
            </w:r>
            <w:r>
              <w:rPr>
                <w:rFonts w:hint="eastAsia" w:ascii="宋体" w:hAnsi="宋体"/>
                <w:szCs w:val="21"/>
                <w:highlight w:val="none"/>
              </w:rPr>
              <w:t>液路系统。</w:t>
            </w:r>
          </w:p>
          <w:p w14:paraId="701F2C58">
            <w:pPr>
              <w:rPr>
                <w:rFonts w:ascii="宋体" w:hAnsi="宋体"/>
                <w:szCs w:val="21"/>
                <w:highlight w:val="none"/>
              </w:rPr>
            </w:pPr>
            <w:r>
              <w:rPr>
                <w:rFonts w:hint="eastAsia" w:ascii="宋体" w:hAnsi="宋体"/>
                <w:szCs w:val="21"/>
                <w:highlight w:val="none"/>
              </w:rPr>
              <w:t>测量范围：(0-5)mg/L；(0-15)mg/L；(0-25)mg/L；(0-50)mg/L；可根据现场要求进行扩展</w:t>
            </w:r>
          </w:p>
          <w:p w14:paraId="11F2791D">
            <w:pPr>
              <w:rPr>
                <w:rFonts w:ascii="宋体" w:hAnsi="宋体"/>
                <w:szCs w:val="21"/>
                <w:highlight w:val="none"/>
              </w:rPr>
            </w:pPr>
            <w:r>
              <w:rPr>
                <w:rFonts w:hint="eastAsia" w:ascii="宋体" w:hAnsi="宋体"/>
                <w:szCs w:val="21"/>
                <w:highlight w:val="none"/>
              </w:rPr>
              <w:t>示值误差：(0-</w:t>
            </w:r>
            <w:r>
              <w:rPr>
                <w:rFonts w:ascii="宋体" w:hAnsi="宋体"/>
                <w:szCs w:val="21"/>
                <w:highlight w:val="none"/>
              </w:rPr>
              <w:t>2</w:t>
            </w:r>
            <w:r>
              <w:rPr>
                <w:rFonts w:hint="eastAsia" w:ascii="宋体" w:hAnsi="宋体"/>
                <w:szCs w:val="21"/>
                <w:highlight w:val="none"/>
              </w:rPr>
              <w:t>)mg/L±</w:t>
            </w:r>
            <w:r>
              <w:rPr>
                <w:rFonts w:ascii="宋体" w:hAnsi="宋体"/>
                <w:szCs w:val="21"/>
                <w:highlight w:val="none"/>
              </w:rPr>
              <w:t>0.2</w:t>
            </w:r>
            <w:r>
              <w:rPr>
                <w:rFonts w:hint="eastAsia" w:ascii="宋体" w:hAnsi="宋体"/>
                <w:szCs w:val="21"/>
                <w:highlight w:val="none"/>
              </w:rPr>
              <w:t>mg/L；&gt;</w:t>
            </w:r>
            <w:r>
              <w:rPr>
                <w:rFonts w:ascii="宋体" w:hAnsi="宋体"/>
                <w:szCs w:val="21"/>
                <w:highlight w:val="none"/>
              </w:rPr>
              <w:t>2</w:t>
            </w:r>
            <w:r>
              <w:rPr>
                <w:rFonts w:hint="eastAsia" w:ascii="宋体" w:hAnsi="宋体"/>
                <w:szCs w:val="21"/>
                <w:highlight w:val="none"/>
              </w:rPr>
              <w:t>mg/L，±</w:t>
            </w:r>
            <w:r>
              <w:rPr>
                <w:rFonts w:ascii="宋体" w:hAnsi="宋体"/>
                <w:szCs w:val="21"/>
                <w:highlight w:val="none"/>
              </w:rPr>
              <w:t>10</w:t>
            </w:r>
          </w:p>
          <w:p w14:paraId="328CB4C1">
            <w:pPr>
              <w:rPr>
                <w:rFonts w:ascii="宋体" w:hAnsi="宋体"/>
                <w:szCs w:val="21"/>
                <w:highlight w:val="none"/>
              </w:rPr>
            </w:pPr>
            <w:r>
              <w:rPr>
                <w:rFonts w:hint="eastAsia" w:ascii="宋体" w:hAnsi="宋体"/>
                <w:szCs w:val="21"/>
                <w:highlight w:val="none"/>
              </w:rPr>
              <w:t>重复性：≤5%</w:t>
            </w:r>
          </w:p>
          <w:p w14:paraId="4224296E">
            <w:pPr>
              <w:rPr>
                <w:rFonts w:ascii="宋体" w:hAnsi="宋体"/>
                <w:szCs w:val="21"/>
                <w:highlight w:val="none"/>
              </w:rPr>
            </w:pPr>
            <w:r>
              <w:rPr>
                <w:rFonts w:hint="eastAsia" w:ascii="宋体" w:hAnsi="宋体"/>
                <w:szCs w:val="21"/>
                <w:highlight w:val="none"/>
              </w:rPr>
              <w:t>零点漂移：±5%</w:t>
            </w:r>
            <w:r>
              <w:rPr>
                <w:rFonts w:ascii="宋体" w:hAnsi="宋体"/>
                <w:szCs w:val="21"/>
                <w:highlight w:val="none"/>
              </w:rPr>
              <w:t xml:space="preserve"> </w:t>
            </w:r>
          </w:p>
          <w:p w14:paraId="5508F53F">
            <w:pPr>
              <w:rPr>
                <w:rFonts w:ascii="宋体" w:hAnsi="宋体"/>
                <w:szCs w:val="21"/>
                <w:highlight w:val="none"/>
              </w:rPr>
            </w:pPr>
            <w:r>
              <w:rPr>
                <w:rFonts w:hint="eastAsia" w:ascii="宋体" w:hAnsi="宋体"/>
                <w:szCs w:val="21"/>
                <w:highlight w:val="none"/>
              </w:rPr>
              <w:t>量程漂移：±</w:t>
            </w:r>
            <w:r>
              <w:rPr>
                <w:rFonts w:ascii="宋体" w:hAnsi="宋体"/>
                <w:szCs w:val="21"/>
                <w:highlight w:val="none"/>
              </w:rPr>
              <w:t>10</w:t>
            </w:r>
            <w:r>
              <w:rPr>
                <w:rFonts w:hint="eastAsia" w:ascii="宋体" w:hAnsi="宋体"/>
                <w:szCs w:val="21"/>
                <w:highlight w:val="none"/>
              </w:rPr>
              <w:t>%</w:t>
            </w:r>
            <w:r>
              <w:rPr>
                <w:rFonts w:ascii="宋体" w:hAnsi="宋体"/>
                <w:szCs w:val="21"/>
                <w:highlight w:val="none"/>
              </w:rPr>
              <w:t xml:space="preserve"> </w:t>
            </w:r>
          </w:p>
          <w:p w14:paraId="79C4A4B7">
            <w:pPr>
              <w:rPr>
                <w:rFonts w:ascii="宋体" w:hAnsi="宋体"/>
                <w:szCs w:val="21"/>
                <w:highlight w:val="none"/>
              </w:rPr>
            </w:pPr>
            <w:r>
              <w:rPr>
                <w:rFonts w:hint="eastAsia" w:ascii="宋体" w:hAnsi="宋体"/>
                <w:szCs w:val="21"/>
                <w:highlight w:val="none"/>
              </w:rPr>
              <w:t>测定下限：0.5mg/L</w:t>
            </w:r>
          </w:p>
          <w:p w14:paraId="2AE955EE">
            <w:pPr>
              <w:rPr>
                <w:rFonts w:ascii="宋体" w:hAnsi="宋体"/>
                <w:szCs w:val="21"/>
                <w:highlight w:val="none"/>
              </w:rPr>
            </w:pPr>
            <w:r>
              <w:rPr>
                <w:rFonts w:hint="eastAsia" w:ascii="宋体" w:hAnsi="宋体"/>
                <w:szCs w:val="21"/>
                <w:highlight w:val="none"/>
              </w:rPr>
              <w:t>测量周期：最小测量周期为</w:t>
            </w:r>
            <w:r>
              <w:rPr>
                <w:rFonts w:ascii="宋体" w:hAnsi="宋体"/>
                <w:szCs w:val="21"/>
                <w:highlight w:val="none"/>
              </w:rPr>
              <w:t>45</w:t>
            </w:r>
            <w:r>
              <w:rPr>
                <w:rFonts w:hint="eastAsia" w:ascii="宋体" w:hAnsi="宋体"/>
                <w:szCs w:val="21"/>
                <w:highlight w:val="none"/>
              </w:rPr>
              <w:t>分钟/次</w:t>
            </w:r>
          </w:p>
          <w:p w14:paraId="57384115">
            <w:pPr>
              <w:rPr>
                <w:rFonts w:ascii="宋体" w:hAnsi="宋体"/>
                <w:szCs w:val="21"/>
                <w:highlight w:val="none"/>
              </w:rPr>
            </w:pPr>
            <w:r>
              <w:rPr>
                <w:rFonts w:hint="eastAsia" w:ascii="宋体" w:hAnsi="宋体"/>
                <w:szCs w:val="21"/>
                <w:highlight w:val="none"/>
              </w:rPr>
              <w:t>试剂消耗：标准试剂包可连续检测310次测量（26天×12次/天）</w:t>
            </w:r>
          </w:p>
          <w:p w14:paraId="37952D3D">
            <w:pPr>
              <w:rPr>
                <w:rFonts w:ascii="宋体" w:hAnsi="宋体"/>
                <w:szCs w:val="21"/>
                <w:highlight w:val="none"/>
              </w:rPr>
            </w:pPr>
            <w:r>
              <w:rPr>
                <w:rFonts w:hint="eastAsia" w:ascii="宋体" w:hAnsi="宋体"/>
                <w:szCs w:val="21"/>
                <w:highlight w:val="none"/>
              </w:rPr>
              <w:t>自动校准：1～99 天任意间隔任意时刻可调</w:t>
            </w:r>
          </w:p>
          <w:p w14:paraId="3D4F4532">
            <w:pPr>
              <w:rPr>
                <w:rFonts w:ascii="宋体" w:hAnsi="宋体"/>
                <w:szCs w:val="21"/>
                <w:highlight w:val="none"/>
              </w:rPr>
            </w:pPr>
            <w:r>
              <w:rPr>
                <w:rFonts w:hint="eastAsia" w:ascii="宋体" w:hAnsi="宋体"/>
                <w:szCs w:val="21"/>
                <w:highlight w:val="none"/>
              </w:rPr>
              <w:t>自动清洗：每次测定完成后仪器自动清洗，也可根据现场情况周期清洗</w:t>
            </w:r>
          </w:p>
        </w:tc>
        <w:tc>
          <w:tcPr>
            <w:tcW w:w="776" w:type="pct"/>
            <w:vAlign w:val="center"/>
          </w:tcPr>
          <w:p w14:paraId="69BAE7A0">
            <w:pPr>
              <w:jc w:val="center"/>
              <w:rPr>
                <w:rFonts w:ascii="宋体" w:hAnsi="宋体"/>
                <w:szCs w:val="21"/>
                <w:highlight w:val="none"/>
              </w:rPr>
            </w:pPr>
            <w:r>
              <w:rPr>
                <w:rFonts w:hint="eastAsia" w:ascii="宋体" w:hAnsi="宋体"/>
                <w:szCs w:val="21"/>
                <w:highlight w:val="none"/>
              </w:rPr>
              <w:t>1套</w:t>
            </w:r>
          </w:p>
        </w:tc>
      </w:tr>
      <w:tr w14:paraId="2ADE3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5F2E1EBB">
            <w:pPr>
              <w:jc w:val="center"/>
              <w:rPr>
                <w:rFonts w:ascii="宋体" w:hAnsi="宋体" w:cs="宋体"/>
                <w:szCs w:val="21"/>
                <w:highlight w:val="none"/>
              </w:rPr>
            </w:pPr>
          </w:p>
        </w:tc>
        <w:tc>
          <w:tcPr>
            <w:tcW w:w="526" w:type="pct"/>
            <w:vAlign w:val="center"/>
          </w:tcPr>
          <w:p w14:paraId="43F88DD3">
            <w:pPr>
              <w:rPr>
                <w:rFonts w:ascii="宋体" w:hAnsi="宋体"/>
                <w:szCs w:val="21"/>
                <w:highlight w:val="none"/>
              </w:rPr>
            </w:pPr>
            <w:r>
              <w:rPr>
                <w:rFonts w:hint="eastAsia" w:ascii="宋体" w:hAnsi="宋体"/>
                <w:szCs w:val="21"/>
                <w:highlight w:val="none"/>
              </w:rPr>
              <w:t>总磷监测单元</w:t>
            </w:r>
          </w:p>
        </w:tc>
        <w:tc>
          <w:tcPr>
            <w:tcW w:w="3270" w:type="pct"/>
            <w:vAlign w:val="center"/>
          </w:tcPr>
          <w:p w14:paraId="24E5CEB5">
            <w:pPr>
              <w:rPr>
                <w:rFonts w:ascii="宋体" w:hAnsi="宋体"/>
                <w:szCs w:val="21"/>
                <w:highlight w:val="none"/>
              </w:rPr>
            </w:pPr>
            <w:r>
              <w:rPr>
                <w:rFonts w:hint="eastAsia" w:ascii="宋体" w:hAnsi="宋体"/>
                <w:szCs w:val="21"/>
                <w:highlight w:val="none"/>
              </w:rPr>
              <w:t>测量方法：钼酸铵分光光度法</w:t>
            </w:r>
          </w:p>
          <w:p w14:paraId="7C538D9A">
            <w:pPr>
              <w:rPr>
                <w:rFonts w:ascii="宋体" w:hAnsi="宋体"/>
                <w:szCs w:val="21"/>
                <w:highlight w:val="none"/>
              </w:rPr>
            </w:pPr>
            <w:r>
              <w:rPr>
                <w:rFonts w:hint="eastAsia" w:ascii="宋体" w:hAnsi="宋体"/>
                <w:szCs w:val="21"/>
                <w:highlight w:val="none"/>
              </w:rPr>
              <w:t>分析仪采用先进的多通道流控阀</w:t>
            </w:r>
            <w:r>
              <w:rPr>
                <w:rFonts w:hint="eastAsia" w:ascii="宋体" w:hAnsi="宋体" w:cs="仿宋"/>
                <w:bCs/>
                <w:snapToGrid w:val="0"/>
                <w:szCs w:val="21"/>
                <w:highlight w:val="none"/>
              </w:rPr>
              <w:t>及</w:t>
            </w:r>
            <w:r>
              <w:rPr>
                <w:rFonts w:hint="eastAsia" w:ascii="宋体" w:hAnsi="宋体"/>
                <w:szCs w:val="21"/>
                <w:highlight w:val="none"/>
              </w:rPr>
              <w:t>液路系统。</w:t>
            </w:r>
          </w:p>
          <w:p w14:paraId="313C05DF">
            <w:pPr>
              <w:rPr>
                <w:rFonts w:ascii="宋体" w:hAnsi="宋体"/>
                <w:szCs w:val="21"/>
                <w:highlight w:val="none"/>
              </w:rPr>
            </w:pPr>
            <w:r>
              <w:rPr>
                <w:rFonts w:hint="eastAsia" w:ascii="宋体" w:hAnsi="宋体"/>
                <w:szCs w:val="21"/>
                <w:highlight w:val="none"/>
              </w:rPr>
              <w:t>测量范围：(0-1)mg/L；(0-5)mg/L；(0-10)mg/L；(0-25)mg/L；(0-50)mg/L；</w:t>
            </w:r>
          </w:p>
          <w:p w14:paraId="0DD1C72D">
            <w:pPr>
              <w:rPr>
                <w:rFonts w:ascii="宋体" w:hAnsi="宋体"/>
                <w:szCs w:val="21"/>
                <w:highlight w:val="none"/>
              </w:rPr>
            </w:pPr>
            <w:r>
              <w:rPr>
                <w:rFonts w:hint="eastAsia" w:ascii="宋体" w:hAnsi="宋体"/>
                <w:szCs w:val="21"/>
                <w:highlight w:val="none"/>
              </w:rPr>
              <w:t>比对误差：≤±0.05mg/L（TP≤0.1mg/L）；≤±10%（TP&gt;0.1mg/L）</w:t>
            </w:r>
          </w:p>
          <w:p w14:paraId="172B89FF">
            <w:pPr>
              <w:rPr>
                <w:rFonts w:ascii="宋体" w:hAnsi="宋体"/>
                <w:szCs w:val="21"/>
                <w:highlight w:val="none"/>
              </w:rPr>
            </w:pPr>
            <w:r>
              <w:rPr>
                <w:rFonts w:hint="eastAsia" w:ascii="宋体" w:hAnsi="宋体"/>
                <w:szCs w:val="21"/>
                <w:highlight w:val="none"/>
              </w:rPr>
              <w:t>准确度：≤±5%、重复性：≤±5%</w:t>
            </w:r>
          </w:p>
          <w:p w14:paraId="301B43DA">
            <w:pPr>
              <w:rPr>
                <w:rFonts w:ascii="宋体" w:hAnsi="宋体"/>
                <w:szCs w:val="21"/>
                <w:highlight w:val="none"/>
              </w:rPr>
            </w:pPr>
            <w:r>
              <w:rPr>
                <w:rFonts w:hint="eastAsia" w:ascii="宋体" w:hAnsi="宋体"/>
                <w:szCs w:val="21"/>
                <w:highlight w:val="none"/>
              </w:rPr>
              <w:t>直线性：≤±5%、零点漂移：≤±5%F.S/24h内</w:t>
            </w:r>
          </w:p>
          <w:p w14:paraId="77D61032">
            <w:pPr>
              <w:rPr>
                <w:rFonts w:ascii="宋体" w:hAnsi="宋体"/>
                <w:szCs w:val="21"/>
                <w:highlight w:val="none"/>
              </w:rPr>
            </w:pPr>
            <w:r>
              <w:rPr>
                <w:rFonts w:hint="eastAsia" w:ascii="宋体" w:hAnsi="宋体"/>
                <w:szCs w:val="21"/>
                <w:highlight w:val="none"/>
              </w:rPr>
              <w:t>量程漂移：≤±5%F.S/24h内、测定下限：&lt;0.05mg/L</w:t>
            </w:r>
          </w:p>
          <w:p w14:paraId="24A797B9">
            <w:pPr>
              <w:rPr>
                <w:rFonts w:ascii="宋体" w:hAnsi="宋体"/>
                <w:szCs w:val="21"/>
                <w:highlight w:val="none"/>
              </w:rPr>
            </w:pPr>
            <w:r>
              <w:rPr>
                <w:rFonts w:hint="eastAsia" w:ascii="宋体" w:hAnsi="宋体"/>
                <w:szCs w:val="21"/>
                <w:highlight w:val="none"/>
              </w:rPr>
              <w:t>测量周期：最小测量周期为30分钟/次，可在5~60min任意修改消解时间</w:t>
            </w:r>
          </w:p>
          <w:p w14:paraId="11C13B09">
            <w:pPr>
              <w:rPr>
                <w:rFonts w:ascii="宋体" w:hAnsi="宋体"/>
                <w:szCs w:val="21"/>
                <w:highlight w:val="none"/>
              </w:rPr>
            </w:pPr>
            <w:r>
              <w:rPr>
                <w:rFonts w:hint="eastAsia" w:ascii="宋体" w:hAnsi="宋体"/>
                <w:szCs w:val="21"/>
                <w:highlight w:val="none"/>
              </w:rPr>
              <w:t>试剂消耗：标准试剂包可连续检测600次测量（50天×12次/天）</w:t>
            </w:r>
          </w:p>
          <w:p w14:paraId="200472F7">
            <w:pPr>
              <w:rPr>
                <w:rFonts w:ascii="宋体" w:hAnsi="宋体"/>
                <w:szCs w:val="21"/>
                <w:highlight w:val="none"/>
              </w:rPr>
            </w:pPr>
            <w:r>
              <w:rPr>
                <w:rFonts w:hint="eastAsia" w:ascii="宋体" w:hAnsi="宋体"/>
                <w:szCs w:val="21"/>
                <w:highlight w:val="none"/>
              </w:rPr>
              <w:t>自动校准：1～99 天任意间隔任意时刻可调</w:t>
            </w:r>
          </w:p>
          <w:p w14:paraId="56804F3B">
            <w:pPr>
              <w:rPr>
                <w:rFonts w:ascii="宋体" w:hAnsi="宋体"/>
                <w:szCs w:val="21"/>
                <w:highlight w:val="none"/>
              </w:rPr>
            </w:pPr>
            <w:r>
              <w:rPr>
                <w:rFonts w:hint="eastAsia" w:ascii="宋体" w:hAnsi="宋体"/>
                <w:szCs w:val="21"/>
                <w:highlight w:val="none"/>
              </w:rPr>
              <w:t>自动清洗：每次测定完成后仪器自动清洗，也可根据现场情况周期清洗</w:t>
            </w:r>
          </w:p>
        </w:tc>
        <w:tc>
          <w:tcPr>
            <w:tcW w:w="776" w:type="pct"/>
            <w:vAlign w:val="center"/>
          </w:tcPr>
          <w:p w14:paraId="4F170A7F">
            <w:pPr>
              <w:jc w:val="center"/>
              <w:rPr>
                <w:rFonts w:ascii="宋体" w:hAnsi="宋体"/>
                <w:szCs w:val="21"/>
                <w:highlight w:val="none"/>
              </w:rPr>
            </w:pPr>
            <w:r>
              <w:rPr>
                <w:rFonts w:hint="eastAsia" w:ascii="宋体" w:hAnsi="宋体"/>
                <w:szCs w:val="21"/>
                <w:highlight w:val="none"/>
              </w:rPr>
              <w:t>1套</w:t>
            </w:r>
          </w:p>
        </w:tc>
      </w:tr>
      <w:tr w14:paraId="61E3C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4C602F85">
            <w:pPr>
              <w:jc w:val="center"/>
              <w:rPr>
                <w:rFonts w:ascii="宋体" w:hAnsi="宋体" w:cs="宋体"/>
                <w:szCs w:val="21"/>
                <w:highlight w:val="none"/>
              </w:rPr>
            </w:pPr>
          </w:p>
        </w:tc>
        <w:tc>
          <w:tcPr>
            <w:tcW w:w="526" w:type="pct"/>
            <w:vAlign w:val="center"/>
          </w:tcPr>
          <w:p w14:paraId="351F2C23">
            <w:pPr>
              <w:rPr>
                <w:rFonts w:ascii="宋体" w:hAnsi="宋体"/>
                <w:szCs w:val="21"/>
                <w:highlight w:val="none"/>
              </w:rPr>
            </w:pPr>
            <w:r>
              <w:rPr>
                <w:rFonts w:hint="eastAsia" w:ascii="宋体" w:hAnsi="宋体"/>
                <w:szCs w:val="21"/>
                <w:highlight w:val="none"/>
              </w:rPr>
              <w:t>氨氮监测单元</w:t>
            </w:r>
          </w:p>
        </w:tc>
        <w:tc>
          <w:tcPr>
            <w:tcW w:w="3270" w:type="pct"/>
            <w:vAlign w:val="center"/>
          </w:tcPr>
          <w:p w14:paraId="34D4DA73">
            <w:pPr>
              <w:rPr>
                <w:rFonts w:ascii="宋体" w:hAnsi="宋体"/>
                <w:szCs w:val="21"/>
                <w:highlight w:val="none"/>
              </w:rPr>
            </w:pPr>
            <w:r>
              <w:rPr>
                <w:rFonts w:hint="eastAsia" w:ascii="宋体" w:hAnsi="宋体"/>
                <w:szCs w:val="21"/>
                <w:highlight w:val="none"/>
              </w:rPr>
              <w:t>测量方法：水杨酸分光光度法</w:t>
            </w:r>
          </w:p>
          <w:p w14:paraId="49E97945">
            <w:pPr>
              <w:rPr>
                <w:rFonts w:ascii="宋体" w:hAnsi="宋体"/>
                <w:szCs w:val="21"/>
                <w:highlight w:val="none"/>
              </w:rPr>
            </w:pPr>
            <w:r>
              <w:rPr>
                <w:rFonts w:hint="eastAsia" w:ascii="宋体" w:hAnsi="宋体"/>
                <w:szCs w:val="21"/>
                <w:highlight w:val="none"/>
              </w:rPr>
              <w:t>分析仪采用先进的多通道流控阀</w:t>
            </w:r>
            <w:r>
              <w:rPr>
                <w:rFonts w:hint="eastAsia" w:ascii="宋体" w:hAnsi="宋体" w:cs="仿宋"/>
                <w:bCs/>
                <w:snapToGrid w:val="0"/>
                <w:szCs w:val="21"/>
                <w:highlight w:val="none"/>
              </w:rPr>
              <w:t>及</w:t>
            </w:r>
            <w:r>
              <w:rPr>
                <w:rFonts w:hint="eastAsia" w:ascii="宋体" w:hAnsi="宋体"/>
                <w:szCs w:val="21"/>
                <w:highlight w:val="none"/>
              </w:rPr>
              <w:t>液路系统。</w:t>
            </w:r>
          </w:p>
          <w:p w14:paraId="2D1705A2">
            <w:pPr>
              <w:rPr>
                <w:rFonts w:ascii="宋体" w:hAnsi="宋体"/>
                <w:szCs w:val="21"/>
                <w:highlight w:val="none"/>
              </w:rPr>
            </w:pPr>
            <w:r>
              <w:rPr>
                <w:rFonts w:hint="eastAsia" w:ascii="宋体" w:hAnsi="宋体"/>
                <w:szCs w:val="21"/>
                <w:highlight w:val="none"/>
              </w:rPr>
              <w:t>测量范围：(0-1)mg/L；(0-5)mg/L；(0-10)mg/L；(0-25)mg/L；(0-50)mg/L；（0～100mg/L），可根据现场要求进行扩展比对误差：±0.025mg/L（NH3-N≤0.1mg/L）；±10%（NH3-N&gt;0.1mg/L）；</w:t>
            </w:r>
          </w:p>
          <w:p w14:paraId="023E73E6">
            <w:pPr>
              <w:rPr>
                <w:rFonts w:ascii="宋体" w:hAnsi="宋体"/>
                <w:szCs w:val="21"/>
                <w:highlight w:val="none"/>
              </w:rPr>
            </w:pPr>
            <w:r>
              <w:rPr>
                <w:rFonts w:hint="eastAsia" w:ascii="宋体" w:hAnsi="宋体"/>
                <w:szCs w:val="21"/>
                <w:highlight w:val="none"/>
              </w:rPr>
              <w:t>准确度：±5%、重复性：≤5%</w:t>
            </w:r>
          </w:p>
          <w:p w14:paraId="29D69DB0">
            <w:pPr>
              <w:rPr>
                <w:rFonts w:ascii="宋体" w:hAnsi="宋体"/>
                <w:szCs w:val="21"/>
                <w:highlight w:val="none"/>
              </w:rPr>
            </w:pPr>
            <w:r>
              <w:rPr>
                <w:rFonts w:hint="eastAsia" w:ascii="宋体" w:hAnsi="宋体"/>
                <w:szCs w:val="21"/>
                <w:highlight w:val="none"/>
              </w:rPr>
              <w:t>直线性：±5%、零点漂移：±5%/24h内</w:t>
            </w:r>
          </w:p>
          <w:p w14:paraId="76DA975D">
            <w:pPr>
              <w:rPr>
                <w:rFonts w:ascii="宋体" w:hAnsi="宋体"/>
                <w:szCs w:val="21"/>
                <w:highlight w:val="none"/>
              </w:rPr>
            </w:pPr>
            <w:r>
              <w:rPr>
                <w:rFonts w:hint="eastAsia" w:ascii="宋体" w:hAnsi="宋体"/>
                <w:szCs w:val="21"/>
                <w:highlight w:val="none"/>
              </w:rPr>
              <w:t>量程漂移：±5%F.S/24h内、测定下限：0.015mg/L</w:t>
            </w:r>
          </w:p>
          <w:p w14:paraId="3E47E106">
            <w:pPr>
              <w:rPr>
                <w:rFonts w:ascii="宋体" w:hAnsi="宋体"/>
                <w:szCs w:val="21"/>
                <w:highlight w:val="none"/>
              </w:rPr>
            </w:pPr>
            <w:r>
              <w:rPr>
                <w:rFonts w:hint="eastAsia" w:ascii="宋体" w:hAnsi="宋体"/>
                <w:szCs w:val="21"/>
                <w:highlight w:val="none"/>
              </w:rPr>
              <w:t>测量周期：最小测量周期为40分钟/次</w:t>
            </w:r>
          </w:p>
          <w:p w14:paraId="6C4F9E9B">
            <w:pPr>
              <w:rPr>
                <w:rFonts w:ascii="宋体" w:hAnsi="宋体"/>
                <w:szCs w:val="21"/>
                <w:highlight w:val="none"/>
              </w:rPr>
            </w:pPr>
            <w:r>
              <w:rPr>
                <w:rFonts w:hint="eastAsia" w:ascii="宋体" w:hAnsi="宋体"/>
                <w:szCs w:val="21"/>
                <w:highlight w:val="none"/>
              </w:rPr>
              <w:t>试剂消耗：标准试剂包可连续检测600次测量（50天×12次/天）</w:t>
            </w:r>
          </w:p>
          <w:p w14:paraId="73ED4EF5">
            <w:pPr>
              <w:rPr>
                <w:rFonts w:ascii="宋体" w:hAnsi="宋体"/>
                <w:szCs w:val="21"/>
                <w:highlight w:val="none"/>
              </w:rPr>
            </w:pPr>
            <w:r>
              <w:rPr>
                <w:rFonts w:hint="eastAsia" w:ascii="宋体" w:hAnsi="宋体"/>
                <w:szCs w:val="21"/>
                <w:highlight w:val="none"/>
              </w:rPr>
              <w:t>自动校准：1～99 天任意间隔任意时刻可调</w:t>
            </w:r>
          </w:p>
          <w:p w14:paraId="57E40BFB">
            <w:pPr>
              <w:rPr>
                <w:rFonts w:ascii="宋体" w:hAnsi="宋体"/>
                <w:szCs w:val="21"/>
                <w:highlight w:val="none"/>
              </w:rPr>
            </w:pPr>
            <w:r>
              <w:rPr>
                <w:rFonts w:hint="eastAsia" w:ascii="宋体" w:hAnsi="宋体"/>
                <w:szCs w:val="21"/>
                <w:highlight w:val="none"/>
              </w:rPr>
              <w:t>自动清洗：每次测定完成后仪器自动清洗，也可根据现场情况周期清洗</w:t>
            </w:r>
          </w:p>
        </w:tc>
        <w:tc>
          <w:tcPr>
            <w:tcW w:w="776" w:type="pct"/>
            <w:vAlign w:val="center"/>
          </w:tcPr>
          <w:p w14:paraId="01043AE6">
            <w:pPr>
              <w:jc w:val="center"/>
              <w:rPr>
                <w:rFonts w:ascii="宋体" w:hAnsi="宋体"/>
                <w:szCs w:val="21"/>
                <w:highlight w:val="none"/>
              </w:rPr>
            </w:pPr>
            <w:r>
              <w:rPr>
                <w:rFonts w:hint="eastAsia" w:ascii="宋体" w:hAnsi="宋体"/>
                <w:szCs w:val="21"/>
                <w:highlight w:val="none"/>
              </w:rPr>
              <w:t>1套</w:t>
            </w:r>
          </w:p>
        </w:tc>
      </w:tr>
      <w:tr w14:paraId="54D01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1C41DB22">
            <w:pPr>
              <w:jc w:val="center"/>
              <w:rPr>
                <w:rFonts w:ascii="宋体" w:hAnsi="宋体" w:cs="宋体"/>
                <w:szCs w:val="21"/>
                <w:highlight w:val="none"/>
              </w:rPr>
            </w:pPr>
          </w:p>
        </w:tc>
        <w:tc>
          <w:tcPr>
            <w:tcW w:w="526" w:type="pct"/>
            <w:vAlign w:val="center"/>
          </w:tcPr>
          <w:p w14:paraId="4A96317A">
            <w:pPr>
              <w:rPr>
                <w:rFonts w:ascii="宋体" w:hAnsi="宋体"/>
                <w:szCs w:val="21"/>
                <w:highlight w:val="none"/>
              </w:rPr>
            </w:pPr>
            <w:r>
              <w:rPr>
                <w:rFonts w:hint="eastAsia" w:ascii="宋体" w:hAnsi="宋体"/>
                <w:szCs w:val="21"/>
                <w:highlight w:val="none"/>
              </w:rPr>
              <w:t>供电单元</w:t>
            </w:r>
          </w:p>
        </w:tc>
        <w:tc>
          <w:tcPr>
            <w:tcW w:w="3270" w:type="pct"/>
            <w:vAlign w:val="center"/>
          </w:tcPr>
          <w:p w14:paraId="6F30B502">
            <w:pPr>
              <w:jc w:val="left"/>
              <w:rPr>
                <w:rStyle w:val="58"/>
                <w:rFonts w:ascii="宋体" w:hAnsi="宋体"/>
                <w:szCs w:val="21"/>
                <w:highlight w:val="none"/>
              </w:rPr>
            </w:pPr>
            <w:r>
              <w:rPr>
                <w:rStyle w:val="58"/>
                <w:rFonts w:hint="eastAsia" w:ascii="宋体" w:hAnsi="宋体"/>
                <w:szCs w:val="21"/>
                <w:highlight w:val="none"/>
              </w:rPr>
              <w:t>主要设备构成：太阳能板、风力发电机、光电控制器、离网逆变器、蓄电池、光伏板支架、风机立杆、UPS控制器。</w:t>
            </w:r>
          </w:p>
          <w:p w14:paraId="22614F68">
            <w:pPr>
              <w:ind w:left="420"/>
              <w:rPr>
                <w:rStyle w:val="58"/>
                <w:rFonts w:ascii="宋体" w:hAnsi="宋体"/>
                <w:szCs w:val="21"/>
                <w:highlight w:val="none"/>
              </w:rPr>
            </w:pPr>
            <w:r>
              <w:rPr>
                <w:rStyle w:val="58"/>
                <w:rFonts w:hint="eastAsia" w:ascii="宋体" w:hAnsi="宋体"/>
                <w:szCs w:val="21"/>
                <w:highlight w:val="none"/>
              </w:rPr>
              <w:t>1.太阳能电池板 ：2279*1134*35mm  8块</w:t>
            </w:r>
          </w:p>
          <w:p w14:paraId="0D344679">
            <w:pPr>
              <w:ind w:left="420"/>
              <w:rPr>
                <w:rStyle w:val="58"/>
                <w:rFonts w:ascii="宋体" w:hAnsi="宋体"/>
                <w:szCs w:val="21"/>
                <w:highlight w:val="none"/>
              </w:rPr>
            </w:pPr>
            <w:r>
              <w:rPr>
                <w:rStyle w:val="58"/>
                <w:rFonts w:hint="eastAsia" w:ascii="宋体" w:hAnsi="宋体"/>
                <w:szCs w:val="21"/>
                <w:highlight w:val="none"/>
              </w:rPr>
              <w:t xml:space="preserve">最大工作电压41V </w:t>
            </w:r>
          </w:p>
          <w:p w14:paraId="5BF71F61">
            <w:pPr>
              <w:ind w:left="420"/>
              <w:rPr>
                <w:rStyle w:val="58"/>
                <w:rFonts w:ascii="宋体" w:hAnsi="宋体"/>
                <w:szCs w:val="21"/>
                <w:highlight w:val="none"/>
              </w:rPr>
            </w:pPr>
            <w:r>
              <w:rPr>
                <w:rStyle w:val="58"/>
                <w:rFonts w:hint="eastAsia" w:ascii="宋体" w:hAnsi="宋体"/>
                <w:szCs w:val="21"/>
                <w:highlight w:val="none"/>
              </w:rPr>
              <w:t>最大输出功率550w</w:t>
            </w:r>
          </w:p>
          <w:p w14:paraId="01E138FA">
            <w:pPr>
              <w:ind w:left="420"/>
              <w:rPr>
                <w:rStyle w:val="58"/>
                <w:rFonts w:ascii="宋体" w:hAnsi="宋体"/>
                <w:szCs w:val="21"/>
                <w:highlight w:val="none"/>
              </w:rPr>
            </w:pPr>
            <w:r>
              <w:rPr>
                <w:rStyle w:val="58"/>
                <w:rFonts w:hint="eastAsia" w:ascii="宋体" w:hAnsi="宋体"/>
                <w:szCs w:val="21"/>
                <w:highlight w:val="none"/>
              </w:rPr>
              <w:t>短路电流14.03A</w:t>
            </w:r>
            <w:r>
              <w:rPr>
                <w:rStyle w:val="58"/>
                <w:rFonts w:hint="eastAsia" w:ascii="宋体" w:hAnsi="宋体"/>
                <w:szCs w:val="21"/>
                <w:highlight w:val="none"/>
              </w:rPr>
              <w:tab/>
            </w:r>
          </w:p>
          <w:p w14:paraId="09B6938A">
            <w:pPr>
              <w:rPr>
                <w:rStyle w:val="58"/>
                <w:rFonts w:ascii="宋体" w:hAnsi="宋体"/>
                <w:szCs w:val="21"/>
                <w:highlight w:val="none"/>
              </w:rPr>
            </w:pPr>
            <w:r>
              <w:rPr>
                <w:rStyle w:val="58"/>
                <w:rFonts w:hint="eastAsia" w:ascii="宋体" w:hAnsi="宋体"/>
                <w:szCs w:val="21"/>
                <w:highlight w:val="none"/>
              </w:rPr>
              <w:t xml:space="preserve">2.蓄电池250AH 12V、风光互补系统专用、数量8块，工作电压9.2-14.2V </w:t>
            </w:r>
          </w:p>
          <w:p w14:paraId="74A06841">
            <w:pPr>
              <w:rPr>
                <w:rStyle w:val="58"/>
                <w:rFonts w:ascii="宋体" w:hAnsi="宋体"/>
                <w:szCs w:val="21"/>
                <w:highlight w:val="none"/>
              </w:rPr>
            </w:pPr>
            <w:r>
              <w:rPr>
                <w:rStyle w:val="58"/>
                <w:rFonts w:hint="eastAsia" w:ascii="宋体" w:hAnsi="宋体"/>
                <w:szCs w:val="21"/>
                <w:highlight w:val="none"/>
              </w:rPr>
              <w:t>3.风光互补控制器</w:t>
            </w:r>
            <w:r>
              <w:rPr>
                <w:rStyle w:val="58"/>
                <w:rFonts w:hint="eastAsia" w:ascii="宋体" w:hAnsi="宋体"/>
                <w:szCs w:val="21"/>
                <w:highlight w:val="none"/>
              </w:rPr>
              <w:tab/>
            </w:r>
            <w:r>
              <w:rPr>
                <w:rStyle w:val="58"/>
                <w:rFonts w:hint="eastAsia" w:ascii="宋体" w:hAnsi="宋体"/>
                <w:szCs w:val="21"/>
                <w:highlight w:val="none"/>
              </w:rPr>
              <w:t>DC 48V 60A</w:t>
            </w:r>
          </w:p>
          <w:p w14:paraId="1C5B9F33">
            <w:pPr>
              <w:rPr>
                <w:rStyle w:val="58"/>
                <w:rFonts w:ascii="宋体" w:hAnsi="宋体"/>
                <w:szCs w:val="21"/>
                <w:highlight w:val="none"/>
              </w:rPr>
            </w:pPr>
            <w:r>
              <w:rPr>
                <w:rStyle w:val="58"/>
                <w:rFonts w:hint="eastAsia" w:ascii="宋体" w:hAnsi="宋体"/>
                <w:szCs w:val="21"/>
                <w:highlight w:val="none"/>
              </w:rPr>
              <w:t>4.离网逆变器</w:t>
            </w:r>
            <w:r>
              <w:rPr>
                <w:rStyle w:val="58"/>
                <w:rFonts w:hint="eastAsia" w:ascii="宋体" w:hAnsi="宋体"/>
                <w:szCs w:val="21"/>
                <w:highlight w:val="none"/>
              </w:rPr>
              <w:tab/>
            </w:r>
            <w:r>
              <w:rPr>
                <w:rStyle w:val="58"/>
                <w:rFonts w:hint="eastAsia" w:ascii="宋体" w:hAnsi="宋体"/>
                <w:szCs w:val="21"/>
                <w:highlight w:val="none"/>
              </w:rPr>
              <w:t>功率：3KW、额定电压：48V、交流输出220Vac、功率因数：0.8、效率：95%、最大电压10KVA</w:t>
            </w:r>
          </w:p>
          <w:p w14:paraId="19A45029">
            <w:pPr>
              <w:rPr>
                <w:rStyle w:val="58"/>
                <w:rFonts w:ascii="宋体" w:hAnsi="宋体"/>
                <w:szCs w:val="21"/>
                <w:highlight w:val="none"/>
              </w:rPr>
            </w:pPr>
            <w:r>
              <w:rPr>
                <w:rStyle w:val="58"/>
                <w:rFonts w:hint="eastAsia" w:ascii="宋体" w:hAnsi="宋体"/>
                <w:szCs w:val="21"/>
                <w:highlight w:val="none"/>
              </w:rPr>
              <w:t>5.风力发电机</w:t>
            </w:r>
            <w:r>
              <w:rPr>
                <w:rStyle w:val="58"/>
                <w:rFonts w:hint="eastAsia" w:ascii="宋体" w:hAnsi="宋体"/>
                <w:szCs w:val="21"/>
                <w:highlight w:val="none"/>
              </w:rPr>
              <w:tab/>
            </w:r>
            <w:r>
              <w:rPr>
                <w:rStyle w:val="58"/>
                <w:rFonts w:hint="eastAsia" w:ascii="宋体" w:hAnsi="宋体"/>
                <w:szCs w:val="21"/>
                <w:highlight w:val="none"/>
              </w:rPr>
              <w:t>额定电压48V 、功率：800W</w:t>
            </w:r>
            <w:r>
              <w:rPr>
                <w:rStyle w:val="58"/>
                <w:rFonts w:hint="eastAsia" w:ascii="宋体" w:hAnsi="宋体"/>
                <w:szCs w:val="21"/>
                <w:highlight w:val="none"/>
              </w:rPr>
              <w:tab/>
            </w:r>
          </w:p>
          <w:p w14:paraId="123F8C88">
            <w:pPr>
              <w:rPr>
                <w:rStyle w:val="58"/>
                <w:rFonts w:ascii="宋体" w:hAnsi="宋体"/>
                <w:szCs w:val="21"/>
                <w:highlight w:val="none"/>
              </w:rPr>
            </w:pPr>
            <w:r>
              <w:rPr>
                <w:rStyle w:val="58"/>
                <w:rFonts w:hint="eastAsia" w:ascii="宋体" w:hAnsi="宋体"/>
                <w:szCs w:val="21"/>
                <w:highlight w:val="none"/>
              </w:rPr>
              <w:t>6.光伏支架、支架的材料：碳钢喷塑  数量：立柱约8根，平板支撑约16根等及其他太阳能支架安装配件。</w:t>
            </w:r>
            <w:r>
              <w:rPr>
                <w:rStyle w:val="58"/>
                <w:rFonts w:hint="eastAsia" w:ascii="宋体" w:hAnsi="宋体"/>
                <w:szCs w:val="21"/>
                <w:highlight w:val="none"/>
              </w:rPr>
              <w:tab/>
            </w:r>
          </w:p>
          <w:p w14:paraId="6ABF796C">
            <w:pPr>
              <w:rPr>
                <w:rStyle w:val="58"/>
                <w:rFonts w:ascii="宋体" w:hAnsi="宋体"/>
                <w:szCs w:val="21"/>
                <w:highlight w:val="none"/>
              </w:rPr>
            </w:pPr>
            <w:r>
              <w:rPr>
                <w:rStyle w:val="58"/>
                <w:rFonts w:hint="eastAsia" w:ascii="宋体" w:hAnsi="宋体"/>
                <w:szCs w:val="21"/>
                <w:highlight w:val="none"/>
              </w:rPr>
              <w:t>7.风机立杆高度3米，风机安装方式：坐顶</w:t>
            </w:r>
            <w:r>
              <w:rPr>
                <w:rStyle w:val="58"/>
                <w:rFonts w:hint="eastAsia" w:ascii="宋体" w:hAnsi="宋体"/>
                <w:szCs w:val="21"/>
                <w:highlight w:val="none"/>
              </w:rPr>
              <w:tab/>
            </w:r>
          </w:p>
          <w:p w14:paraId="63898318">
            <w:pPr>
              <w:rPr>
                <w:rStyle w:val="58"/>
                <w:rFonts w:ascii="宋体" w:hAnsi="宋体"/>
                <w:szCs w:val="21"/>
                <w:highlight w:val="none"/>
              </w:rPr>
            </w:pPr>
            <w:r>
              <w:rPr>
                <w:rStyle w:val="58"/>
                <w:rFonts w:hint="eastAsia" w:ascii="宋体" w:hAnsi="宋体"/>
                <w:szCs w:val="21"/>
                <w:highlight w:val="none"/>
              </w:rPr>
              <w:t>8.配件包含配管和线缆，配管采用DM25PVC-U管，长度约150m，线缆采用3*2.5平方室外电缆，接头配有硫化防腐处理。</w:t>
            </w:r>
          </w:p>
          <w:p w14:paraId="2A07B8C3">
            <w:pPr>
              <w:rPr>
                <w:rFonts w:ascii="宋体" w:hAnsi="宋体"/>
                <w:szCs w:val="21"/>
                <w:highlight w:val="none"/>
              </w:rPr>
            </w:pPr>
            <w:r>
              <w:rPr>
                <w:rStyle w:val="58"/>
                <w:rFonts w:hint="eastAsia" w:ascii="宋体" w:hAnsi="宋体"/>
                <w:szCs w:val="21"/>
                <w:highlight w:val="none"/>
              </w:rPr>
              <w:t>9.满足每天14-15度的用电需求，并保证3天以上无光的正常运转</w:t>
            </w:r>
          </w:p>
        </w:tc>
        <w:tc>
          <w:tcPr>
            <w:tcW w:w="776" w:type="pct"/>
            <w:vAlign w:val="center"/>
          </w:tcPr>
          <w:p w14:paraId="071F86DF">
            <w:pPr>
              <w:jc w:val="center"/>
              <w:rPr>
                <w:rFonts w:ascii="宋体" w:hAnsi="宋体"/>
                <w:szCs w:val="21"/>
                <w:highlight w:val="none"/>
              </w:rPr>
            </w:pPr>
            <w:r>
              <w:rPr>
                <w:rFonts w:hint="eastAsia" w:ascii="宋体" w:hAnsi="宋体"/>
                <w:szCs w:val="21"/>
                <w:highlight w:val="none"/>
              </w:rPr>
              <w:t>1套</w:t>
            </w:r>
          </w:p>
        </w:tc>
      </w:tr>
      <w:tr w14:paraId="7B32E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62554718">
            <w:pPr>
              <w:jc w:val="center"/>
              <w:rPr>
                <w:rFonts w:ascii="宋体" w:hAnsi="宋体" w:cs="宋体"/>
                <w:szCs w:val="21"/>
                <w:highlight w:val="none"/>
              </w:rPr>
            </w:pPr>
          </w:p>
        </w:tc>
        <w:tc>
          <w:tcPr>
            <w:tcW w:w="526" w:type="pct"/>
            <w:vAlign w:val="center"/>
          </w:tcPr>
          <w:p w14:paraId="5CB7B290">
            <w:pPr>
              <w:rPr>
                <w:rFonts w:ascii="宋体" w:hAnsi="宋体"/>
                <w:szCs w:val="21"/>
                <w:highlight w:val="none"/>
              </w:rPr>
            </w:pPr>
            <w:r>
              <w:rPr>
                <w:rFonts w:hint="eastAsia" w:ascii="宋体" w:hAnsi="宋体"/>
                <w:szCs w:val="21"/>
                <w:highlight w:val="none"/>
              </w:rPr>
              <w:t>取水单元</w:t>
            </w:r>
          </w:p>
        </w:tc>
        <w:tc>
          <w:tcPr>
            <w:tcW w:w="3270" w:type="pct"/>
            <w:vAlign w:val="center"/>
          </w:tcPr>
          <w:p w14:paraId="625B578C">
            <w:pPr>
              <w:rPr>
                <w:rFonts w:ascii="宋体" w:hAnsi="宋体"/>
                <w:szCs w:val="21"/>
                <w:highlight w:val="none"/>
              </w:rPr>
            </w:pPr>
            <w:r>
              <w:rPr>
                <w:rFonts w:hint="eastAsia" w:ascii="宋体" w:hAnsi="宋体"/>
                <w:szCs w:val="21"/>
                <w:highlight w:val="none"/>
              </w:rPr>
              <w:t>采用潜水泵结合浮标/浮标式采水方式实现系统的采配水功能。</w:t>
            </w:r>
          </w:p>
          <w:p w14:paraId="1E41146F">
            <w:pPr>
              <w:rPr>
                <w:rFonts w:ascii="宋体" w:hAnsi="宋体"/>
                <w:szCs w:val="21"/>
                <w:highlight w:val="none"/>
              </w:rPr>
            </w:pPr>
            <w:r>
              <w:rPr>
                <w:rFonts w:hint="eastAsia" w:ascii="宋体" w:hAnsi="宋体"/>
                <w:szCs w:val="21"/>
                <w:highlight w:val="none"/>
              </w:rPr>
              <w:t>1.采水管、线预埋件从站房布设至采水点岸边，采用四组镀锌钢管（管径≥DN100，厚度3.5毫米及以上）作为保护套管，对部分深度不满足要求的，管路两头终端进出接头处采用防冻材料保护，同时管道上层做好防误挖保护；</w:t>
            </w:r>
          </w:p>
          <w:p w14:paraId="738BE29F">
            <w:pPr>
              <w:rPr>
                <w:rFonts w:ascii="宋体" w:hAnsi="宋体"/>
                <w:szCs w:val="21"/>
                <w:highlight w:val="none"/>
              </w:rPr>
            </w:pPr>
            <w:r>
              <w:rPr>
                <w:rFonts w:hint="eastAsia" w:ascii="宋体" w:hAnsi="宋体"/>
                <w:szCs w:val="21"/>
                <w:highlight w:val="none"/>
              </w:rPr>
              <w:t>2.为保证水管、线管等管路施工操作方便，管槽开挖宽度和深度约为30cm以上，冰冻地区开挖深度应满足当地防冻深度需求，管路预埋在开挖渠内靠站房并高于河涌一侧，采水方式：浮标/浮球式；</w:t>
            </w:r>
          </w:p>
          <w:p w14:paraId="37FC0FE1">
            <w:pPr>
              <w:rPr>
                <w:rFonts w:ascii="宋体" w:hAnsi="宋体"/>
                <w:szCs w:val="21"/>
                <w:highlight w:val="none"/>
              </w:rPr>
            </w:pPr>
            <w:r>
              <w:rPr>
                <w:rFonts w:hint="eastAsia" w:ascii="宋体" w:hAnsi="宋体"/>
                <w:szCs w:val="21"/>
                <w:highlight w:val="none"/>
              </w:rPr>
              <w:t>3.基础的取水管路：PVC-U防紫外线管材，规格：25mm ，取水管根据当地施工情况采取部分套管及嵌套保温棉；</w:t>
            </w:r>
          </w:p>
          <w:p w14:paraId="71AE243A">
            <w:pPr>
              <w:rPr>
                <w:rFonts w:ascii="宋体" w:hAnsi="宋体"/>
                <w:szCs w:val="21"/>
                <w:highlight w:val="none"/>
              </w:rPr>
            </w:pPr>
            <w:r>
              <w:rPr>
                <w:rFonts w:hint="eastAsia" w:ascii="宋体" w:hAnsi="宋体"/>
                <w:szCs w:val="21"/>
                <w:highlight w:val="none"/>
              </w:rPr>
              <w:t>4.采水管线敷设主要包括从取水口到站房内的各段管路、电源线、信号线及相应的保护和防护；</w:t>
            </w:r>
          </w:p>
          <w:p w14:paraId="61E6AB00">
            <w:pPr>
              <w:rPr>
                <w:rFonts w:ascii="宋体" w:hAnsi="宋体"/>
                <w:szCs w:val="21"/>
                <w:highlight w:val="none"/>
              </w:rPr>
            </w:pPr>
            <w:r>
              <w:rPr>
                <w:rFonts w:hint="eastAsia" w:ascii="宋体" w:hAnsi="宋体"/>
                <w:szCs w:val="21"/>
                <w:highlight w:val="none"/>
              </w:rPr>
              <w:t>5.管道防腐、埋地保护、供水通电、电力设施、地沟挖填土方、管路敷设、河堤支墩固定等根据现场情况综合考虑施工；</w:t>
            </w:r>
          </w:p>
        </w:tc>
        <w:tc>
          <w:tcPr>
            <w:tcW w:w="776" w:type="pct"/>
            <w:vAlign w:val="center"/>
          </w:tcPr>
          <w:p w14:paraId="5091B9B9">
            <w:pPr>
              <w:jc w:val="center"/>
              <w:rPr>
                <w:rFonts w:ascii="宋体" w:hAnsi="宋体"/>
                <w:szCs w:val="21"/>
                <w:highlight w:val="none"/>
              </w:rPr>
            </w:pPr>
            <w:r>
              <w:rPr>
                <w:rFonts w:hint="eastAsia" w:ascii="宋体" w:hAnsi="宋体"/>
                <w:szCs w:val="21"/>
                <w:highlight w:val="none"/>
              </w:rPr>
              <w:t>1套</w:t>
            </w:r>
          </w:p>
        </w:tc>
      </w:tr>
      <w:tr w14:paraId="1E76D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7E157CE7">
            <w:pPr>
              <w:jc w:val="center"/>
              <w:rPr>
                <w:rFonts w:ascii="宋体" w:hAnsi="宋体" w:cs="宋体"/>
                <w:szCs w:val="21"/>
                <w:highlight w:val="none"/>
              </w:rPr>
            </w:pPr>
          </w:p>
        </w:tc>
        <w:tc>
          <w:tcPr>
            <w:tcW w:w="526" w:type="pct"/>
            <w:vAlign w:val="center"/>
          </w:tcPr>
          <w:p w14:paraId="06BDBA23">
            <w:pPr>
              <w:rPr>
                <w:rFonts w:ascii="宋体" w:hAnsi="宋体"/>
                <w:szCs w:val="21"/>
                <w:highlight w:val="none"/>
              </w:rPr>
            </w:pPr>
            <w:r>
              <w:rPr>
                <w:rFonts w:hint="eastAsia" w:ascii="宋体" w:hAnsi="宋体"/>
                <w:szCs w:val="21"/>
                <w:highlight w:val="none"/>
              </w:rPr>
              <w:t>室外站房</w:t>
            </w:r>
          </w:p>
        </w:tc>
        <w:tc>
          <w:tcPr>
            <w:tcW w:w="3270" w:type="pct"/>
            <w:vAlign w:val="center"/>
          </w:tcPr>
          <w:p w14:paraId="57267068">
            <w:pPr>
              <w:rPr>
                <w:rFonts w:ascii="宋体" w:hAnsi="宋体"/>
                <w:szCs w:val="21"/>
                <w:highlight w:val="none"/>
              </w:rPr>
            </w:pPr>
            <w:r>
              <w:rPr>
                <w:rFonts w:hint="eastAsia" w:ascii="宋体" w:hAnsi="宋体"/>
                <w:szCs w:val="21"/>
                <w:highlight w:val="none"/>
              </w:rPr>
              <w:t>根据现场实际情况，用彩钢瓦进行户外站房的搭建，保证站柜在海边恶劣环境下能延长使用寿命。</w:t>
            </w:r>
          </w:p>
        </w:tc>
        <w:tc>
          <w:tcPr>
            <w:tcW w:w="776" w:type="pct"/>
            <w:vAlign w:val="center"/>
          </w:tcPr>
          <w:p w14:paraId="163BF58D">
            <w:pPr>
              <w:jc w:val="center"/>
              <w:rPr>
                <w:rFonts w:ascii="宋体" w:hAnsi="宋体"/>
                <w:szCs w:val="21"/>
                <w:highlight w:val="none"/>
              </w:rPr>
            </w:pPr>
            <w:r>
              <w:rPr>
                <w:rFonts w:hint="eastAsia" w:ascii="宋体" w:hAnsi="宋体"/>
                <w:szCs w:val="21"/>
                <w:highlight w:val="none"/>
              </w:rPr>
              <w:t>1座</w:t>
            </w:r>
          </w:p>
        </w:tc>
      </w:tr>
      <w:tr w14:paraId="0C7FE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462E20D2">
            <w:pPr>
              <w:jc w:val="center"/>
              <w:rPr>
                <w:rFonts w:ascii="宋体" w:hAnsi="宋体" w:cs="宋体"/>
                <w:szCs w:val="21"/>
                <w:highlight w:val="none"/>
              </w:rPr>
            </w:pPr>
          </w:p>
        </w:tc>
        <w:tc>
          <w:tcPr>
            <w:tcW w:w="526" w:type="pct"/>
            <w:vAlign w:val="center"/>
          </w:tcPr>
          <w:p w14:paraId="56BE15C0">
            <w:pPr>
              <w:rPr>
                <w:rFonts w:ascii="宋体" w:hAnsi="宋体"/>
                <w:szCs w:val="21"/>
                <w:highlight w:val="none"/>
              </w:rPr>
            </w:pPr>
            <w:r>
              <w:rPr>
                <w:rFonts w:hint="eastAsia" w:ascii="宋体" w:hAnsi="宋体" w:cs="宋体"/>
                <w:kern w:val="0"/>
                <w:sz w:val="24"/>
                <w:highlight w:val="none"/>
              </w:rPr>
              <w:t>★</w:t>
            </w:r>
            <w:r>
              <w:rPr>
                <w:rFonts w:hint="eastAsia" w:ascii="宋体" w:hAnsi="宋体"/>
                <w:szCs w:val="21"/>
                <w:highlight w:val="none"/>
              </w:rPr>
              <w:t>安装维护</w:t>
            </w:r>
          </w:p>
        </w:tc>
        <w:tc>
          <w:tcPr>
            <w:tcW w:w="3270" w:type="pct"/>
            <w:vAlign w:val="center"/>
          </w:tcPr>
          <w:p w14:paraId="13455186">
            <w:pPr>
              <w:rPr>
                <w:rFonts w:ascii="宋体" w:hAnsi="宋体"/>
                <w:szCs w:val="21"/>
                <w:highlight w:val="none"/>
              </w:rPr>
            </w:pPr>
            <w:r>
              <w:rPr>
                <w:rFonts w:hint="eastAsia" w:ascii="宋体" w:hAnsi="宋体"/>
                <w:szCs w:val="21"/>
                <w:highlight w:val="none"/>
              </w:rPr>
              <w:t>1.主要包括站房、站柜等各类分开设备的组装及调试；</w:t>
            </w:r>
          </w:p>
          <w:p w14:paraId="05FCA044">
            <w:pPr>
              <w:rPr>
                <w:rFonts w:ascii="宋体" w:hAnsi="宋体"/>
                <w:szCs w:val="21"/>
                <w:highlight w:val="none"/>
              </w:rPr>
            </w:pPr>
            <w:r>
              <w:rPr>
                <w:rFonts w:hint="eastAsia" w:ascii="宋体" w:hAnsi="宋体"/>
                <w:szCs w:val="21"/>
                <w:highlight w:val="none"/>
              </w:rPr>
              <w:t>2.包括日常设备试剂的配置及更换，频率约为2</w:t>
            </w:r>
            <w:r>
              <w:rPr>
                <w:rFonts w:ascii="宋体" w:hAnsi="宋体"/>
                <w:szCs w:val="21"/>
                <w:highlight w:val="none"/>
              </w:rPr>
              <w:t>0-25</w:t>
            </w:r>
            <w:r>
              <w:rPr>
                <w:rFonts w:hint="eastAsia" w:ascii="宋体" w:hAnsi="宋体"/>
                <w:szCs w:val="21"/>
                <w:highlight w:val="none"/>
              </w:rPr>
              <w:t>日/次；</w:t>
            </w:r>
          </w:p>
          <w:p w14:paraId="55797722">
            <w:pPr>
              <w:rPr>
                <w:rFonts w:ascii="宋体" w:hAnsi="宋体"/>
                <w:szCs w:val="21"/>
                <w:highlight w:val="none"/>
              </w:rPr>
            </w:pPr>
            <w:r>
              <w:rPr>
                <w:rFonts w:hint="eastAsia" w:ascii="宋体" w:hAnsi="宋体"/>
                <w:szCs w:val="21"/>
                <w:highlight w:val="none"/>
              </w:rPr>
              <w:t>3.各类传感设备的校准，频率约为2</w:t>
            </w:r>
            <w:r>
              <w:rPr>
                <w:rFonts w:ascii="宋体" w:hAnsi="宋体"/>
                <w:szCs w:val="21"/>
                <w:highlight w:val="none"/>
              </w:rPr>
              <w:t>0-25</w:t>
            </w:r>
            <w:r>
              <w:rPr>
                <w:rFonts w:hint="eastAsia" w:ascii="宋体" w:hAnsi="宋体"/>
                <w:szCs w:val="21"/>
                <w:highlight w:val="none"/>
              </w:rPr>
              <w:t>日/次；</w:t>
            </w:r>
          </w:p>
          <w:p w14:paraId="066687BE">
            <w:pPr>
              <w:rPr>
                <w:rFonts w:ascii="宋体" w:hAnsi="宋体"/>
                <w:szCs w:val="21"/>
                <w:highlight w:val="none"/>
              </w:rPr>
            </w:pPr>
            <w:r>
              <w:rPr>
                <w:rFonts w:hint="eastAsia" w:ascii="宋体" w:hAnsi="宋体"/>
                <w:szCs w:val="21"/>
                <w:highlight w:val="none"/>
              </w:rPr>
              <w:t>4.取水管路的清理；</w:t>
            </w:r>
          </w:p>
          <w:p w14:paraId="63439CF6">
            <w:pPr>
              <w:rPr>
                <w:rFonts w:ascii="宋体" w:hAnsi="宋体"/>
                <w:szCs w:val="21"/>
                <w:highlight w:val="none"/>
              </w:rPr>
            </w:pPr>
            <w:r>
              <w:rPr>
                <w:rFonts w:hint="eastAsia" w:ascii="宋体" w:hAnsi="宋体"/>
                <w:szCs w:val="21"/>
                <w:highlight w:val="none"/>
              </w:rPr>
              <w:t>5.供电系统的检查及清理；</w:t>
            </w:r>
          </w:p>
          <w:p w14:paraId="325BA0FF">
            <w:pPr>
              <w:rPr>
                <w:rFonts w:ascii="宋体" w:hAnsi="宋体"/>
                <w:szCs w:val="21"/>
                <w:highlight w:val="none"/>
              </w:rPr>
            </w:pPr>
            <w:r>
              <w:rPr>
                <w:rFonts w:hint="eastAsia" w:ascii="宋体" w:hAnsi="宋体"/>
                <w:szCs w:val="21"/>
                <w:highlight w:val="none"/>
              </w:rPr>
              <w:t>6.站房及站柜的保养维护。</w:t>
            </w:r>
          </w:p>
        </w:tc>
        <w:tc>
          <w:tcPr>
            <w:tcW w:w="776" w:type="pct"/>
            <w:vAlign w:val="center"/>
          </w:tcPr>
          <w:p w14:paraId="774A0427">
            <w:pPr>
              <w:jc w:val="center"/>
              <w:rPr>
                <w:rFonts w:ascii="宋体" w:hAnsi="宋体"/>
                <w:szCs w:val="21"/>
                <w:highlight w:val="none"/>
              </w:rPr>
            </w:pPr>
            <w:r>
              <w:rPr>
                <w:rFonts w:hint="eastAsia" w:ascii="宋体" w:hAnsi="宋体"/>
                <w:szCs w:val="21"/>
                <w:highlight w:val="none"/>
              </w:rPr>
              <w:t>5年</w:t>
            </w:r>
          </w:p>
        </w:tc>
      </w:tr>
      <w:bookmarkEnd w:id="86"/>
    </w:tbl>
    <w:p w14:paraId="7898A8D9">
      <w:pPr>
        <w:adjustRightInd w:val="0"/>
        <w:snapToGrid w:val="0"/>
        <w:spacing w:line="360" w:lineRule="auto"/>
        <w:ind w:left="723" w:hanging="723" w:hangingChars="300"/>
        <w:outlineLvl w:val="2"/>
        <w:rPr>
          <w:rFonts w:ascii="宋体" w:hAnsi="宋体"/>
          <w:b/>
          <w:bCs/>
          <w:sz w:val="24"/>
          <w:szCs w:val="24"/>
          <w:highlight w:val="none"/>
        </w:rPr>
      </w:pPr>
      <w:bookmarkStart w:id="87" w:name="_Toc16814"/>
      <w:bookmarkStart w:id="88" w:name="_Toc9898"/>
      <w:r>
        <w:rPr>
          <w:rFonts w:hint="eastAsia" w:ascii="宋体" w:hAnsi="宋体"/>
          <w:b/>
          <w:bCs/>
          <w:sz w:val="24"/>
          <w:szCs w:val="24"/>
          <w:highlight w:val="none"/>
        </w:rPr>
        <w:t>（四）</w:t>
      </w:r>
      <w:bookmarkStart w:id="89" w:name="OLE_LINK4"/>
      <w:r>
        <w:rPr>
          <w:rFonts w:hint="eastAsia" w:ascii="宋体" w:hAnsi="宋体"/>
          <w:b/>
          <w:bCs/>
          <w:sz w:val="24"/>
          <w:highlight w:val="none"/>
        </w:rPr>
        <w:t>生态数字影像站</w:t>
      </w:r>
      <w:bookmarkEnd w:id="87"/>
      <w:bookmarkEnd w:id="88"/>
      <w:bookmarkEnd w:id="89"/>
    </w:p>
    <w:p w14:paraId="453BCEC1">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大辽河口开展了多处湿地植被修复工作，为及时跟踪植被的生长情况，在主要位置处布置高清视频监测站，获取植被生长状况，开展实时视频监控，并对人工活动、异常事件等进行识别。拟在永远角、西炮台及红海滩各布置2处高清网络摄像机监测点位。</w:t>
      </w:r>
    </w:p>
    <w:p w14:paraId="41CCBAA2">
      <w:pPr>
        <w:adjustRightInd w:val="0"/>
        <w:snapToGrid w:val="0"/>
        <w:spacing w:line="360" w:lineRule="auto"/>
        <w:ind w:firstLine="480" w:firstLineChars="200"/>
        <w:rPr>
          <w:rFonts w:ascii="宋体" w:hAnsi="宋体" w:cs="宋体"/>
          <w:sz w:val="24"/>
          <w:szCs w:val="24"/>
          <w:highlight w:val="none"/>
        </w:rPr>
      </w:pPr>
      <w:bookmarkStart w:id="90" w:name="_Toc6769213"/>
      <w:bookmarkStart w:id="91" w:name="_Toc20837915"/>
      <w:r>
        <w:rPr>
          <w:rFonts w:hint="eastAsia" w:ascii="宋体" w:hAnsi="宋体" w:cs="宋体"/>
          <w:sz w:val="24"/>
          <w:szCs w:val="24"/>
          <w:highlight w:val="none"/>
        </w:rPr>
        <w:t>系统组成</w:t>
      </w:r>
      <w:bookmarkEnd w:id="90"/>
      <w:bookmarkEnd w:id="91"/>
    </w:p>
    <w:p w14:paraId="62643929">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生态数字影像站由信息采集系统（高清网络摄像机、环境数据传感器）、无线传输系统、风光互补发电系统三个子系统组成。其中信息采集系统主要采集的信息有：实时高清图像、该点风速、风向、温湿、大气压力等；信息传输采用无线传输架构设计（4G传输或微波传输），该传输的方式具有布线少、操作简单、维护方便、模块化组装、传输稳定等特点，并留有VPN等接口，可以满足各类数据接口需求；站点还可与各种在线监测传感器联动，实现更多的海洋环境数据实时监测。供电方面采用先进的风光互补发电架构进行供电，该系统具有模块化组装维护、风光电力互补、稳压保护等特点。</w:t>
      </w:r>
    </w:p>
    <w:p w14:paraId="56C58683">
      <w:pPr>
        <w:adjustRightInd w:val="0"/>
        <w:snapToGrid w:val="0"/>
        <w:spacing w:line="360" w:lineRule="auto"/>
        <w:ind w:firstLine="480" w:firstLineChars="200"/>
        <w:rPr>
          <w:rFonts w:ascii="宋体" w:hAnsi="宋体" w:cs="宋体"/>
          <w:sz w:val="24"/>
          <w:szCs w:val="24"/>
          <w:highlight w:val="none"/>
        </w:rPr>
      </w:pPr>
      <w:bookmarkStart w:id="92" w:name="_Toc436668801"/>
      <w:bookmarkStart w:id="93" w:name="_Toc323739410"/>
      <w:bookmarkStart w:id="94" w:name="_Toc339959975"/>
      <w:bookmarkStart w:id="95" w:name="_Toc363224099"/>
      <w:bookmarkStart w:id="96" w:name="_Toc318472759"/>
      <w:bookmarkStart w:id="97" w:name="_Toc358819629"/>
      <w:bookmarkStart w:id="98" w:name="_Toc6769214"/>
      <w:bookmarkStart w:id="99" w:name="_Toc20837916"/>
      <w:bookmarkStart w:id="100" w:name="_Toc408311367"/>
      <w:r>
        <w:rPr>
          <w:rFonts w:hint="eastAsia" w:ascii="宋体" w:hAnsi="宋体" w:cs="宋体"/>
          <w:sz w:val="24"/>
          <w:szCs w:val="24"/>
          <w:highlight w:val="none"/>
        </w:rPr>
        <w:t>系统架构</w:t>
      </w:r>
      <w:bookmarkEnd w:id="92"/>
      <w:bookmarkEnd w:id="93"/>
      <w:bookmarkEnd w:id="94"/>
      <w:bookmarkEnd w:id="95"/>
      <w:bookmarkEnd w:id="96"/>
      <w:bookmarkEnd w:id="97"/>
      <w:bookmarkEnd w:id="98"/>
      <w:bookmarkEnd w:id="99"/>
      <w:bookmarkEnd w:id="100"/>
    </w:p>
    <w:p w14:paraId="69E2D049">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生态数字影像站的总体架构设计，以能力建设业务为核心，综合集成实时视频监控、地理信息展示、生态环境数据统计展示等多个模块的全方位软硬件一体化解决方案。系统在视频采集及显示方面采用国家标准的微波/4G传输架构，具有布线少、操作简单、维护方便、模块化组装、环保设计等特点。</w:t>
      </w:r>
    </w:p>
    <w:p w14:paraId="5B0EA338">
      <w:pPr>
        <w:spacing w:line="360" w:lineRule="auto"/>
        <w:jc w:val="center"/>
        <w:rPr>
          <w:rFonts w:ascii="仿宋" w:hAnsi="仿宋"/>
          <w:sz w:val="28"/>
          <w:szCs w:val="28"/>
          <w:highlight w:val="none"/>
        </w:rPr>
      </w:pPr>
      <w:r>
        <w:rPr>
          <w:rFonts w:ascii="仿宋" w:hAnsi="仿宋"/>
          <w:sz w:val="28"/>
          <w:szCs w:val="28"/>
          <w:highlight w:val="none"/>
        </w:rPr>
        <w:drawing>
          <wp:inline distT="0" distB="0" distL="114300" distR="114300">
            <wp:extent cx="5257800" cy="2276475"/>
            <wp:effectExtent l="0" t="0" r="0" b="9525"/>
            <wp:docPr id="5" name="图片 11" descr="4TYTWH3}C9KDDBP~$7PP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4TYTWH3}C9KDDBP~$7PP0$Q"/>
                    <pic:cNvPicPr>
                      <a:picLocks noChangeAspect="1"/>
                    </pic:cNvPicPr>
                  </pic:nvPicPr>
                  <pic:blipFill>
                    <a:blip r:embed="rId27" cstate="print"/>
                    <a:stretch>
                      <a:fillRect/>
                    </a:stretch>
                  </pic:blipFill>
                  <pic:spPr>
                    <a:xfrm>
                      <a:off x="0" y="0"/>
                      <a:ext cx="5257800" cy="2276475"/>
                    </a:xfrm>
                    <a:prstGeom prst="rect">
                      <a:avLst/>
                    </a:prstGeom>
                    <a:noFill/>
                    <a:ln>
                      <a:noFill/>
                    </a:ln>
                  </pic:spPr>
                </pic:pic>
              </a:graphicData>
            </a:graphic>
          </wp:inline>
        </w:drawing>
      </w:r>
    </w:p>
    <w:p w14:paraId="10A62A3E">
      <w:pPr>
        <w:adjustRightInd w:val="0"/>
        <w:snapToGrid w:val="0"/>
        <w:spacing w:line="360" w:lineRule="auto"/>
        <w:jc w:val="center"/>
        <w:textAlignment w:val="baseline"/>
        <w:rPr>
          <w:rFonts w:ascii="黑体" w:hAnsi="黑体" w:eastAsia="黑体" w:cs="仿宋"/>
          <w:b/>
          <w:kern w:val="0"/>
          <w:sz w:val="24"/>
          <w:szCs w:val="24"/>
          <w:highlight w:val="none"/>
        </w:rPr>
      </w:pPr>
      <w:r>
        <w:rPr>
          <w:rFonts w:hint="eastAsia" w:ascii="黑体" w:hAnsi="黑体" w:eastAsia="黑体" w:cs="仿宋"/>
          <w:b/>
          <w:kern w:val="0"/>
          <w:sz w:val="24"/>
          <w:szCs w:val="24"/>
          <w:highlight w:val="none"/>
        </w:rPr>
        <w:t>生态数字影像站架构示意图</w:t>
      </w:r>
    </w:p>
    <w:p w14:paraId="6B6EE9E4">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系统优势： </w:t>
      </w:r>
    </w:p>
    <w:p w14:paraId="510F1B08">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所有监测设备采集信息高度集成在后台数据处理系统中，实现了硬件控制与数据处理的完美结合； </w:t>
      </w:r>
    </w:p>
    <w:p w14:paraId="658451B4">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全套平台符合国家级海洋视频监控系统的要求，采取混合式系统架构模式，实现了原有监控和将建监控系统的完美融合； </w:t>
      </w:r>
    </w:p>
    <w:p w14:paraId="78FBC113">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IP数字信号传输，与传统的模拟信号相比，实现了流媒体数据无损失传输； </w:t>
      </w:r>
    </w:p>
    <w:p w14:paraId="5BBB81ED">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海洋专用高像素的视频采集设备，保证了图像的清晰稳定； </w:t>
      </w:r>
    </w:p>
    <w:p w14:paraId="3FE457DD">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智能太阳能风能互补型混合供电模块设计，满足了充足的电源消耗需求； </w:t>
      </w:r>
    </w:p>
    <w:p w14:paraId="2CFF7DFC">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多模式（4G、微波、光纤）传输方式，降低了重新布网带来的成本问题； </w:t>
      </w:r>
    </w:p>
    <w:p w14:paraId="4F13E75D">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高集成度的网络监控系统，避免了信息孤岛问题的产生； </w:t>
      </w:r>
    </w:p>
    <w:p w14:paraId="1940CDEE">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智能的存储阵列保证了监控数据的安全性和时效性； </w:t>
      </w:r>
    </w:p>
    <w:p w14:paraId="73F42F58">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环境数据与视频画面同步，实现了环境与现场视频同步传送到平台，并在客户端同一界面同时显示； </w:t>
      </w:r>
    </w:p>
    <w:p w14:paraId="13DA30EA">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自动恒温恒湿保护，自动故障修复、报警，大大减少人工巡检维护的成本； </w:t>
      </w:r>
    </w:p>
    <w:p w14:paraId="77C5F856">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高空气质量分辨率，PM2.5/PM10的分辨颗粒最小直径达0.3微米； </w:t>
      </w:r>
    </w:p>
    <w:p w14:paraId="1147DDB3">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10秒级数据上传频率保证了数据的高频率传输和高速响应； </w:t>
      </w:r>
    </w:p>
    <w:p w14:paraId="029E3E5F">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环境数据采集器符合 GB3095-2012《环境空气质量标准》； </w:t>
      </w:r>
    </w:p>
    <w:p w14:paraId="2EA73084">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365天24小时全天候实时在线监测； </w:t>
      </w:r>
    </w:p>
    <w:p w14:paraId="2C028553">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断电数据保护机制，实现了外部电源和通讯系统出现临时故障情况下，不影响数据采集，通讯恢复后可自动下载延误传输的数据，如永久断电不丢失已采集存储的数据功能。</w:t>
      </w:r>
    </w:p>
    <w:p w14:paraId="1CF23103">
      <w:pPr>
        <w:adjustRightInd w:val="0"/>
        <w:snapToGrid w:val="0"/>
        <w:spacing w:line="360" w:lineRule="auto"/>
        <w:jc w:val="center"/>
        <w:rPr>
          <w:rFonts w:ascii="宋体" w:hAnsi="宋体" w:cs="宋体"/>
          <w:sz w:val="24"/>
          <w:szCs w:val="24"/>
          <w:highlight w:val="none"/>
        </w:rPr>
      </w:pPr>
      <w:r>
        <w:rPr>
          <w:rFonts w:hint="eastAsia" w:ascii="宋体" w:hAnsi="宋体" w:cs="宋体"/>
          <w:sz w:val="24"/>
          <w:szCs w:val="24"/>
          <w:highlight w:val="none"/>
        </w:rPr>
        <w:drawing>
          <wp:inline distT="0" distB="0" distL="114300" distR="114300">
            <wp:extent cx="3472815" cy="4244340"/>
            <wp:effectExtent l="0" t="0" r="133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cstate="print"/>
                    <a:srcRect l="6117" t="14819" r="5231" b="9097"/>
                    <a:stretch>
                      <a:fillRect/>
                    </a:stretch>
                  </pic:blipFill>
                  <pic:spPr>
                    <a:xfrm>
                      <a:off x="0" y="0"/>
                      <a:ext cx="3472815" cy="4244340"/>
                    </a:xfrm>
                    <a:prstGeom prst="rect">
                      <a:avLst/>
                    </a:prstGeom>
                    <a:noFill/>
                    <a:ln>
                      <a:noFill/>
                    </a:ln>
                  </pic:spPr>
                </pic:pic>
              </a:graphicData>
            </a:graphic>
          </wp:inline>
        </w:drawing>
      </w:r>
    </w:p>
    <w:p w14:paraId="5278204F">
      <w:pPr>
        <w:adjustRightInd w:val="0"/>
        <w:snapToGrid w:val="0"/>
        <w:spacing w:line="360" w:lineRule="auto"/>
        <w:jc w:val="center"/>
        <w:textAlignment w:val="baseline"/>
        <w:rPr>
          <w:rFonts w:ascii="黑体" w:hAnsi="黑体" w:eastAsia="黑体" w:cs="仿宋"/>
          <w:b/>
          <w:kern w:val="0"/>
          <w:sz w:val="24"/>
          <w:szCs w:val="24"/>
          <w:highlight w:val="none"/>
        </w:rPr>
      </w:pPr>
      <w:r>
        <w:rPr>
          <w:rFonts w:hint="eastAsia" w:ascii="黑体" w:hAnsi="黑体" w:eastAsia="黑体" w:cs="仿宋"/>
          <w:b/>
          <w:kern w:val="0"/>
          <w:sz w:val="24"/>
          <w:szCs w:val="24"/>
          <w:highlight w:val="none"/>
        </w:rPr>
        <w:t>野外网路摄像站布置示意图</w:t>
      </w:r>
    </w:p>
    <w:p w14:paraId="2FEE9041">
      <w:pPr>
        <w:pStyle w:val="55"/>
        <w:adjustRightInd w:val="0"/>
        <w:snapToGrid w:val="0"/>
        <w:spacing w:beforeLines="0"/>
        <w:ind w:firstLine="0" w:firstLineChars="0"/>
        <w:jc w:val="center"/>
        <w:rPr>
          <w:rFonts w:ascii="黑体" w:hAnsi="黑体" w:eastAsia="黑体" w:cs="仿宋"/>
          <w:b/>
          <w:kern w:val="0"/>
          <w:szCs w:val="24"/>
          <w:highlight w:val="none"/>
        </w:rPr>
      </w:pPr>
    </w:p>
    <w:p w14:paraId="307FEFC5">
      <w:pPr>
        <w:pStyle w:val="55"/>
        <w:adjustRightInd w:val="0"/>
        <w:snapToGrid w:val="0"/>
        <w:spacing w:beforeLines="0"/>
        <w:ind w:firstLine="0" w:firstLineChars="0"/>
        <w:jc w:val="center"/>
        <w:rPr>
          <w:rFonts w:ascii="黑体" w:hAnsi="黑体" w:eastAsia="黑体" w:cs="仿宋"/>
          <w:b/>
          <w:kern w:val="0"/>
          <w:szCs w:val="24"/>
          <w:highlight w:val="none"/>
        </w:rPr>
      </w:pPr>
      <w:r>
        <w:rPr>
          <w:rFonts w:hint="eastAsia" w:ascii="黑体" w:hAnsi="黑体" w:eastAsia="黑体" w:cs="仿宋"/>
          <w:b/>
          <w:kern w:val="0"/>
          <w:szCs w:val="24"/>
          <w:highlight w:val="none"/>
        </w:rPr>
        <w:t>生态数字影像站详细技术参数明细表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5"/>
        <w:gridCol w:w="1038"/>
        <w:gridCol w:w="6449"/>
        <w:gridCol w:w="1518"/>
      </w:tblGrid>
      <w:tr w14:paraId="1ACC9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Align w:val="center"/>
          </w:tcPr>
          <w:p w14:paraId="07339899">
            <w:pPr>
              <w:widowControl/>
              <w:jc w:val="center"/>
              <w:textAlignment w:val="center"/>
              <w:rPr>
                <w:rFonts w:ascii="宋体" w:hAnsi="宋体" w:cs="宋体"/>
                <w:b/>
                <w:bCs/>
                <w:szCs w:val="21"/>
                <w:highlight w:val="none"/>
              </w:rPr>
            </w:pPr>
            <w:r>
              <w:rPr>
                <w:rFonts w:hint="eastAsia" w:ascii="宋体" w:hAnsi="宋体" w:cs="宋体"/>
                <w:b/>
                <w:bCs/>
                <w:szCs w:val="21"/>
                <w:highlight w:val="none"/>
              </w:rPr>
              <w:t>建设内容</w:t>
            </w:r>
          </w:p>
        </w:tc>
        <w:tc>
          <w:tcPr>
            <w:tcW w:w="527" w:type="pct"/>
            <w:vAlign w:val="center"/>
          </w:tcPr>
          <w:p w14:paraId="0DE5EC04">
            <w:pPr>
              <w:widowControl/>
              <w:jc w:val="center"/>
              <w:textAlignment w:val="center"/>
              <w:rPr>
                <w:rFonts w:ascii="宋体" w:hAnsi="宋体" w:cs="宋体"/>
                <w:b/>
                <w:bCs/>
                <w:szCs w:val="21"/>
                <w:highlight w:val="none"/>
              </w:rPr>
            </w:pPr>
            <w:r>
              <w:rPr>
                <w:rFonts w:hint="eastAsia" w:ascii="宋体" w:hAnsi="宋体" w:cs="宋体"/>
                <w:b/>
                <w:bCs/>
                <w:szCs w:val="21"/>
                <w:highlight w:val="none"/>
              </w:rPr>
              <w:t>分项明细</w:t>
            </w:r>
          </w:p>
        </w:tc>
        <w:tc>
          <w:tcPr>
            <w:tcW w:w="3273" w:type="pct"/>
            <w:vAlign w:val="center"/>
          </w:tcPr>
          <w:p w14:paraId="4645CD5A">
            <w:pPr>
              <w:widowControl/>
              <w:jc w:val="center"/>
              <w:textAlignment w:val="center"/>
              <w:rPr>
                <w:rFonts w:ascii="宋体" w:hAnsi="宋体" w:cs="宋体"/>
                <w:b/>
                <w:bCs/>
                <w:szCs w:val="21"/>
                <w:highlight w:val="none"/>
              </w:rPr>
            </w:pPr>
            <w:r>
              <w:rPr>
                <w:rFonts w:hint="eastAsia" w:ascii="宋体" w:hAnsi="宋体" w:cs="宋体"/>
                <w:b/>
                <w:bCs/>
                <w:szCs w:val="21"/>
                <w:highlight w:val="none"/>
              </w:rPr>
              <w:t>技术参数</w:t>
            </w:r>
          </w:p>
        </w:tc>
        <w:tc>
          <w:tcPr>
            <w:tcW w:w="770" w:type="pct"/>
            <w:vAlign w:val="center"/>
          </w:tcPr>
          <w:p w14:paraId="2BA03FAA">
            <w:pPr>
              <w:widowControl/>
              <w:jc w:val="center"/>
              <w:textAlignment w:val="center"/>
              <w:rPr>
                <w:rFonts w:ascii="宋体" w:hAnsi="宋体" w:cs="宋体"/>
                <w:b/>
                <w:bCs/>
                <w:szCs w:val="21"/>
                <w:highlight w:val="none"/>
              </w:rPr>
            </w:pPr>
            <w:r>
              <w:rPr>
                <w:rFonts w:hint="eastAsia" w:ascii="宋体" w:hAnsi="宋体" w:cs="宋体"/>
                <w:b/>
                <w:bCs/>
                <w:szCs w:val="21"/>
                <w:highlight w:val="none"/>
              </w:rPr>
              <w:t>数量/单位</w:t>
            </w:r>
          </w:p>
        </w:tc>
      </w:tr>
      <w:tr w14:paraId="1503C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restart"/>
            <w:vAlign w:val="center"/>
          </w:tcPr>
          <w:p w14:paraId="72456574">
            <w:pPr>
              <w:widowControl/>
              <w:textAlignment w:val="center"/>
              <w:rPr>
                <w:rFonts w:ascii="宋体" w:hAnsi="宋体" w:cs="宋体"/>
                <w:kern w:val="0"/>
                <w:szCs w:val="21"/>
                <w:highlight w:val="none"/>
              </w:rPr>
            </w:pPr>
            <w:r>
              <w:rPr>
                <w:rFonts w:hint="eastAsia" w:ascii="宋体" w:hAnsi="宋体"/>
                <w:szCs w:val="21"/>
                <w:highlight w:val="none"/>
              </w:rPr>
              <w:t>生态数字影像站</w:t>
            </w:r>
          </w:p>
        </w:tc>
        <w:tc>
          <w:tcPr>
            <w:tcW w:w="527" w:type="pct"/>
            <w:vAlign w:val="center"/>
          </w:tcPr>
          <w:p w14:paraId="7B09E39E">
            <w:pPr>
              <w:widowControl/>
              <w:rPr>
                <w:rFonts w:ascii="宋体" w:hAnsi="宋体"/>
                <w:kern w:val="0"/>
                <w:szCs w:val="21"/>
                <w:highlight w:val="none"/>
              </w:rPr>
            </w:pPr>
            <w:r>
              <w:rPr>
                <w:rFonts w:hint="eastAsia" w:ascii="宋体" w:hAnsi="宋体"/>
                <w:szCs w:val="21"/>
                <w:highlight w:val="none"/>
              </w:rPr>
              <w:t>高清数字网络摄像机</w:t>
            </w:r>
          </w:p>
        </w:tc>
        <w:tc>
          <w:tcPr>
            <w:tcW w:w="3273" w:type="pct"/>
            <w:vAlign w:val="center"/>
          </w:tcPr>
          <w:p w14:paraId="28551A98">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1）可见光：像素400万（可选200万像素） ，分辨率2560×1440；镜头焦距</w:t>
            </w:r>
            <w:r>
              <w:rPr>
                <w:rFonts w:ascii="宋体" w:hAnsi="宋体"/>
                <w:szCs w:val="21"/>
                <w:highlight w:val="none"/>
              </w:rPr>
              <w:t>6</w:t>
            </w:r>
            <w:r>
              <w:rPr>
                <w:rFonts w:hint="eastAsia" w:ascii="宋体" w:hAnsi="宋体"/>
                <w:szCs w:val="21"/>
                <w:highlight w:val="none"/>
              </w:rPr>
              <w:t>~</w:t>
            </w:r>
            <w:r>
              <w:rPr>
                <w:rFonts w:ascii="宋体" w:hAnsi="宋体"/>
                <w:szCs w:val="21"/>
                <w:highlight w:val="none"/>
              </w:rPr>
              <w:t>336</w:t>
            </w:r>
            <w:r>
              <w:rPr>
                <w:rFonts w:hint="eastAsia" w:ascii="宋体" w:hAnsi="宋体"/>
                <w:szCs w:val="21"/>
                <w:highlight w:val="none"/>
              </w:rPr>
              <w:t>mm ，变焦倍率</w:t>
            </w:r>
            <w:r>
              <w:rPr>
                <w:rFonts w:ascii="宋体" w:hAnsi="宋体"/>
                <w:szCs w:val="21"/>
                <w:highlight w:val="none"/>
              </w:rPr>
              <w:t>56</w:t>
            </w:r>
            <w:r>
              <w:rPr>
                <w:rFonts w:hint="eastAsia" w:ascii="宋体" w:hAnsi="宋体"/>
                <w:szCs w:val="21"/>
                <w:highlight w:val="none"/>
              </w:rPr>
              <w:t>倍光学变焦。</w:t>
            </w:r>
          </w:p>
          <w:p w14:paraId="3A178A5A">
            <w:pPr>
              <w:rPr>
                <w:rFonts w:ascii="宋体" w:hAnsi="宋体"/>
                <w:szCs w:val="21"/>
                <w:highlight w:val="none"/>
              </w:rPr>
            </w:pPr>
            <w:r>
              <w:rPr>
                <w:rFonts w:hint="eastAsia" w:ascii="宋体" w:hAnsi="宋体" w:cs="宋体"/>
                <w:sz w:val="24"/>
                <w:highlight w:val="none"/>
              </w:rPr>
              <w:t>●</w:t>
            </w:r>
            <w:r>
              <w:rPr>
                <w:rFonts w:ascii="宋体" w:hAnsi="宋体"/>
                <w:szCs w:val="21"/>
                <w:highlight w:val="none"/>
              </w:rPr>
              <w:t>2</w:t>
            </w:r>
            <w:r>
              <w:rPr>
                <w:rFonts w:hint="eastAsia" w:ascii="宋体" w:hAnsi="宋体"/>
                <w:szCs w:val="21"/>
                <w:highlight w:val="none"/>
              </w:rPr>
              <w:t>）激光补光有效距离800 m。</w:t>
            </w:r>
          </w:p>
          <w:p w14:paraId="401AA913">
            <w:pPr>
              <w:rPr>
                <w:rFonts w:ascii="宋体" w:hAnsi="宋体"/>
                <w:szCs w:val="21"/>
                <w:highlight w:val="none"/>
              </w:rPr>
            </w:pPr>
            <w:r>
              <w:rPr>
                <w:rFonts w:hint="eastAsia" w:ascii="宋体" w:hAnsi="宋体" w:cs="宋体"/>
                <w:sz w:val="24"/>
                <w:highlight w:val="none"/>
              </w:rPr>
              <w:t>●</w:t>
            </w:r>
            <w:r>
              <w:rPr>
                <w:rFonts w:ascii="宋体" w:hAnsi="宋体"/>
                <w:szCs w:val="21"/>
                <w:highlight w:val="none"/>
              </w:rPr>
              <w:t>3</w:t>
            </w:r>
            <w:r>
              <w:rPr>
                <w:rFonts w:hint="eastAsia" w:ascii="宋体" w:hAnsi="宋体"/>
                <w:szCs w:val="21"/>
                <w:highlight w:val="none"/>
              </w:rPr>
              <w:t>）红外热成像：分辨率640x 512 ,热感应红外镜头焦距75mm。</w:t>
            </w:r>
          </w:p>
          <w:p w14:paraId="0A8090F5">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4）噪声等效温差(NETD)在8mk及以下；</w:t>
            </w:r>
          </w:p>
          <w:p w14:paraId="3A302FF0">
            <w:pPr>
              <w:rPr>
                <w:rFonts w:ascii="宋体" w:hAnsi="宋体"/>
                <w:szCs w:val="21"/>
                <w:highlight w:val="none"/>
              </w:rPr>
            </w:pPr>
            <w:r>
              <w:rPr>
                <w:rFonts w:hint="eastAsia" w:ascii="宋体" w:hAnsi="宋体"/>
                <w:szCs w:val="21"/>
                <w:highlight w:val="none"/>
              </w:rPr>
              <w:t>5）最小可分辨温差（MRTD）≤ 150mK</w:t>
            </w:r>
          </w:p>
          <w:p w14:paraId="7127E9FE">
            <w:pPr>
              <w:rPr>
                <w:rFonts w:ascii="宋体" w:hAnsi="宋体"/>
                <w:szCs w:val="21"/>
                <w:highlight w:val="none"/>
              </w:rPr>
            </w:pPr>
            <w:r>
              <w:rPr>
                <w:rFonts w:hint="eastAsia" w:ascii="宋体" w:hAnsi="宋体"/>
                <w:szCs w:val="21"/>
                <w:highlight w:val="none"/>
              </w:rPr>
              <w:t>6）具备故障自诊断系统，可自动识别系统故障（包括视频图像异常、系统异常重启、云台异常、镜头运行状态异常、网络异常、智能分析异常、算法状态异常、电机状态异常等）并可通过OSD进行显示及后台输出</w:t>
            </w:r>
          </w:p>
          <w:p w14:paraId="6315CFF4">
            <w:pPr>
              <w:rPr>
                <w:rFonts w:ascii="宋体" w:hAnsi="宋体"/>
                <w:szCs w:val="21"/>
                <w:highlight w:val="none"/>
              </w:rPr>
            </w:pPr>
            <w:r>
              <w:rPr>
                <w:rFonts w:hint="eastAsia" w:ascii="宋体" w:hAnsi="宋体"/>
                <w:szCs w:val="21"/>
                <w:highlight w:val="none"/>
              </w:rPr>
              <w:t>7）支持目标热源细节凸显，并可对指定热源细节进行增强显示；</w:t>
            </w:r>
          </w:p>
          <w:p w14:paraId="4C3723CB">
            <w:pPr>
              <w:rPr>
                <w:highlight w:val="none"/>
              </w:rPr>
            </w:pPr>
            <w:r>
              <w:rPr>
                <w:rFonts w:hint="eastAsia" w:ascii="宋体" w:hAnsi="宋体"/>
                <w:szCs w:val="21"/>
                <w:highlight w:val="none"/>
              </w:rPr>
              <w:t>8）支持热成像镜头磁编反馈系统</w:t>
            </w:r>
          </w:p>
        </w:tc>
        <w:tc>
          <w:tcPr>
            <w:tcW w:w="770" w:type="pct"/>
            <w:vAlign w:val="center"/>
          </w:tcPr>
          <w:p w14:paraId="75241F7C">
            <w:pPr>
              <w:widowControl/>
              <w:jc w:val="center"/>
              <w:rPr>
                <w:kern w:val="0"/>
                <w:sz w:val="20"/>
                <w:highlight w:val="none"/>
              </w:rPr>
            </w:pPr>
            <w:r>
              <w:rPr>
                <w:rFonts w:hint="eastAsia"/>
                <w:sz w:val="20"/>
                <w:highlight w:val="none"/>
              </w:rPr>
              <w:t>6套</w:t>
            </w:r>
          </w:p>
        </w:tc>
      </w:tr>
      <w:tr w14:paraId="2973E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4F3A5B68">
            <w:pPr>
              <w:jc w:val="center"/>
              <w:rPr>
                <w:rFonts w:ascii="宋体" w:hAnsi="宋体" w:cs="宋体"/>
                <w:szCs w:val="21"/>
                <w:highlight w:val="none"/>
              </w:rPr>
            </w:pPr>
          </w:p>
        </w:tc>
        <w:tc>
          <w:tcPr>
            <w:tcW w:w="527" w:type="pct"/>
            <w:vAlign w:val="center"/>
          </w:tcPr>
          <w:p w14:paraId="1857A091">
            <w:pPr>
              <w:rPr>
                <w:rFonts w:ascii="宋体" w:hAnsi="宋体"/>
                <w:szCs w:val="21"/>
                <w:highlight w:val="none"/>
              </w:rPr>
            </w:pPr>
            <w:r>
              <w:rPr>
                <w:rFonts w:hint="eastAsia" w:ascii="宋体" w:hAnsi="宋体"/>
                <w:szCs w:val="21"/>
                <w:highlight w:val="none"/>
              </w:rPr>
              <w:t>一体化气象站</w:t>
            </w:r>
          </w:p>
        </w:tc>
        <w:tc>
          <w:tcPr>
            <w:tcW w:w="3273" w:type="pct"/>
            <w:vAlign w:val="center"/>
          </w:tcPr>
          <w:p w14:paraId="08DD5844">
            <w:pPr>
              <w:rPr>
                <w:rFonts w:ascii="宋体" w:hAnsi="宋体"/>
                <w:szCs w:val="21"/>
                <w:highlight w:val="none"/>
              </w:rPr>
            </w:pPr>
            <w:r>
              <w:rPr>
                <w:rFonts w:hint="eastAsia" w:ascii="宋体" w:hAnsi="宋体"/>
                <w:szCs w:val="21"/>
                <w:highlight w:val="none"/>
              </w:rPr>
              <w:t>1）风速</w:t>
            </w:r>
          </w:p>
          <w:p w14:paraId="16E2FDE4">
            <w:pPr>
              <w:rPr>
                <w:rFonts w:ascii="宋体" w:hAnsi="宋体"/>
                <w:szCs w:val="21"/>
                <w:highlight w:val="none"/>
              </w:rPr>
            </w:pPr>
            <w:r>
              <w:rPr>
                <w:rFonts w:hint="eastAsia" w:ascii="宋体" w:hAnsi="宋体"/>
                <w:szCs w:val="21"/>
                <w:highlight w:val="none"/>
              </w:rPr>
              <w:t>测量原理：超声波</w:t>
            </w:r>
          </w:p>
          <w:p w14:paraId="0F33795E">
            <w:pPr>
              <w:rPr>
                <w:rFonts w:ascii="宋体" w:hAnsi="宋体"/>
                <w:szCs w:val="21"/>
                <w:highlight w:val="none"/>
              </w:rPr>
            </w:pPr>
            <w:r>
              <w:rPr>
                <w:rFonts w:hint="eastAsia" w:ascii="宋体" w:hAnsi="宋体"/>
                <w:szCs w:val="21"/>
                <w:highlight w:val="none"/>
              </w:rPr>
              <w:t xml:space="preserve">测量范围：0~60m/s </w:t>
            </w:r>
          </w:p>
          <w:p w14:paraId="613AEC80">
            <w:pPr>
              <w:rPr>
                <w:rFonts w:ascii="宋体" w:hAnsi="宋体"/>
                <w:szCs w:val="21"/>
                <w:highlight w:val="none"/>
              </w:rPr>
            </w:pPr>
            <w:r>
              <w:rPr>
                <w:rFonts w:hint="eastAsia" w:ascii="宋体" w:hAnsi="宋体"/>
                <w:szCs w:val="21"/>
                <w:highlight w:val="none"/>
              </w:rPr>
              <w:t>精度：风速≤ 10m/s时：±0.3m/s；风速＞10m/s时：±3%</w:t>
            </w:r>
          </w:p>
          <w:p w14:paraId="152882AC">
            <w:pPr>
              <w:rPr>
                <w:rFonts w:ascii="宋体" w:hAnsi="宋体"/>
                <w:szCs w:val="21"/>
                <w:highlight w:val="none"/>
              </w:rPr>
            </w:pPr>
            <w:r>
              <w:rPr>
                <w:rFonts w:hint="eastAsia" w:ascii="宋体" w:hAnsi="宋体"/>
                <w:szCs w:val="21"/>
                <w:highlight w:val="none"/>
              </w:rPr>
              <w:t>分辨率：0.1m/s</w:t>
            </w:r>
          </w:p>
          <w:p w14:paraId="787D3D47">
            <w:pPr>
              <w:rPr>
                <w:rFonts w:ascii="宋体" w:hAnsi="宋体"/>
                <w:szCs w:val="21"/>
                <w:highlight w:val="none"/>
              </w:rPr>
            </w:pPr>
            <w:r>
              <w:rPr>
                <w:rFonts w:hint="eastAsia" w:ascii="宋体" w:hAnsi="宋体"/>
                <w:szCs w:val="21"/>
                <w:highlight w:val="none"/>
              </w:rPr>
              <w:t>2）风向</w:t>
            </w:r>
          </w:p>
          <w:p w14:paraId="698E55B4">
            <w:pPr>
              <w:rPr>
                <w:rFonts w:ascii="宋体" w:hAnsi="宋体"/>
                <w:szCs w:val="21"/>
                <w:highlight w:val="none"/>
              </w:rPr>
            </w:pPr>
            <w:r>
              <w:rPr>
                <w:rFonts w:hint="eastAsia" w:ascii="宋体" w:hAnsi="宋体"/>
                <w:szCs w:val="21"/>
                <w:highlight w:val="none"/>
              </w:rPr>
              <w:t>测量原理：超声波</w:t>
            </w:r>
          </w:p>
          <w:p w14:paraId="3EED7F3C">
            <w:pPr>
              <w:rPr>
                <w:rFonts w:ascii="宋体" w:hAnsi="宋体"/>
                <w:szCs w:val="21"/>
                <w:highlight w:val="none"/>
              </w:rPr>
            </w:pPr>
            <w:r>
              <w:rPr>
                <w:rFonts w:hint="eastAsia" w:ascii="宋体" w:hAnsi="宋体"/>
                <w:szCs w:val="21"/>
                <w:highlight w:val="none"/>
              </w:rPr>
              <w:t>测量范围：0°~ 359.9°</w:t>
            </w:r>
          </w:p>
          <w:p w14:paraId="413328D8">
            <w:pPr>
              <w:rPr>
                <w:rFonts w:ascii="宋体" w:hAnsi="宋体"/>
                <w:szCs w:val="21"/>
                <w:highlight w:val="none"/>
              </w:rPr>
            </w:pPr>
            <w:r>
              <w:rPr>
                <w:rFonts w:hint="eastAsia" w:ascii="宋体" w:hAnsi="宋体"/>
                <w:szCs w:val="21"/>
                <w:highlight w:val="none"/>
              </w:rPr>
              <w:t>精度：±3%</w:t>
            </w:r>
          </w:p>
          <w:p w14:paraId="47360B83">
            <w:pPr>
              <w:rPr>
                <w:rFonts w:ascii="宋体" w:hAnsi="宋体"/>
                <w:szCs w:val="21"/>
                <w:highlight w:val="none"/>
              </w:rPr>
            </w:pPr>
            <w:r>
              <w:rPr>
                <w:rFonts w:hint="eastAsia" w:ascii="宋体" w:hAnsi="宋体"/>
                <w:szCs w:val="21"/>
                <w:highlight w:val="none"/>
              </w:rPr>
              <w:t>3）温度</w:t>
            </w:r>
          </w:p>
          <w:p w14:paraId="72C9EA31">
            <w:pPr>
              <w:rPr>
                <w:rFonts w:ascii="宋体" w:hAnsi="宋体"/>
                <w:szCs w:val="21"/>
                <w:highlight w:val="none"/>
              </w:rPr>
            </w:pPr>
            <w:r>
              <w:rPr>
                <w:rFonts w:hint="eastAsia" w:ascii="宋体" w:hAnsi="宋体"/>
                <w:szCs w:val="21"/>
                <w:highlight w:val="none"/>
              </w:rPr>
              <w:t>温度元件：铂阻</w:t>
            </w:r>
          </w:p>
          <w:p w14:paraId="52183A0E">
            <w:pPr>
              <w:rPr>
                <w:rFonts w:ascii="宋体" w:hAnsi="宋体"/>
                <w:szCs w:val="21"/>
                <w:highlight w:val="none"/>
              </w:rPr>
            </w:pPr>
            <w:r>
              <w:rPr>
                <w:rFonts w:hint="eastAsia" w:ascii="宋体" w:hAnsi="宋体"/>
                <w:szCs w:val="21"/>
                <w:highlight w:val="none"/>
              </w:rPr>
              <w:t>测量范围：-</w:t>
            </w:r>
            <w:r>
              <w:rPr>
                <w:rFonts w:ascii="宋体" w:hAnsi="宋体"/>
                <w:szCs w:val="21"/>
                <w:highlight w:val="none"/>
              </w:rPr>
              <w:t>4</w:t>
            </w:r>
            <w:r>
              <w:rPr>
                <w:rFonts w:hint="eastAsia" w:ascii="宋体" w:hAnsi="宋体"/>
                <w:szCs w:val="21"/>
                <w:highlight w:val="none"/>
              </w:rPr>
              <w:t>0℃~+60℃</w:t>
            </w:r>
          </w:p>
          <w:p w14:paraId="521D6C67">
            <w:pPr>
              <w:rPr>
                <w:rFonts w:ascii="宋体" w:hAnsi="宋体"/>
                <w:szCs w:val="21"/>
                <w:highlight w:val="none"/>
              </w:rPr>
            </w:pPr>
            <w:r>
              <w:rPr>
                <w:rFonts w:hint="eastAsia" w:ascii="宋体" w:hAnsi="宋体"/>
                <w:szCs w:val="21"/>
                <w:highlight w:val="none"/>
              </w:rPr>
              <w:t>精度：±0.</w:t>
            </w:r>
            <w:r>
              <w:rPr>
                <w:rFonts w:ascii="宋体" w:hAnsi="宋体"/>
                <w:szCs w:val="21"/>
                <w:highlight w:val="none"/>
              </w:rPr>
              <w:t>3</w:t>
            </w:r>
            <w:r>
              <w:rPr>
                <w:rFonts w:hint="eastAsia" w:ascii="宋体" w:hAnsi="宋体"/>
                <w:szCs w:val="21"/>
                <w:highlight w:val="none"/>
              </w:rPr>
              <w:t>°C(-20°C~+50°C),</w:t>
            </w:r>
          </w:p>
          <w:p w14:paraId="22B14CBA">
            <w:pPr>
              <w:rPr>
                <w:rFonts w:ascii="宋体" w:hAnsi="宋体"/>
                <w:szCs w:val="21"/>
                <w:highlight w:val="none"/>
              </w:rPr>
            </w:pPr>
            <w:r>
              <w:rPr>
                <w:rFonts w:hint="eastAsia" w:ascii="宋体" w:hAnsi="宋体"/>
                <w:szCs w:val="21"/>
                <w:highlight w:val="none"/>
              </w:rPr>
              <w:t>4）相对湿度</w:t>
            </w:r>
          </w:p>
          <w:p w14:paraId="27406882">
            <w:pPr>
              <w:rPr>
                <w:rFonts w:ascii="宋体" w:hAnsi="宋体"/>
                <w:szCs w:val="21"/>
                <w:highlight w:val="none"/>
              </w:rPr>
            </w:pPr>
            <w:r>
              <w:rPr>
                <w:rFonts w:hint="eastAsia" w:ascii="宋体" w:hAnsi="宋体"/>
                <w:szCs w:val="21"/>
                <w:highlight w:val="none"/>
              </w:rPr>
              <w:t>湿度元件：电容</w:t>
            </w:r>
          </w:p>
          <w:p w14:paraId="4D3ECA5A">
            <w:pPr>
              <w:rPr>
                <w:rFonts w:ascii="宋体" w:hAnsi="宋体"/>
                <w:szCs w:val="21"/>
                <w:highlight w:val="none"/>
              </w:rPr>
            </w:pPr>
            <w:r>
              <w:rPr>
                <w:rFonts w:hint="eastAsia" w:ascii="宋体" w:hAnsi="宋体"/>
                <w:szCs w:val="21"/>
                <w:highlight w:val="none"/>
              </w:rPr>
              <w:t>测量范围：0~</w:t>
            </w:r>
            <w:r>
              <w:rPr>
                <w:rFonts w:ascii="宋体" w:hAnsi="宋体"/>
                <w:szCs w:val="21"/>
                <w:highlight w:val="none"/>
              </w:rPr>
              <w:t>100</w:t>
            </w:r>
            <w:r>
              <w:rPr>
                <w:rFonts w:hint="eastAsia" w:ascii="宋体" w:hAnsi="宋体"/>
                <w:szCs w:val="21"/>
                <w:highlight w:val="none"/>
              </w:rPr>
              <w:t>%RH</w:t>
            </w:r>
          </w:p>
          <w:p w14:paraId="379CB70F">
            <w:pPr>
              <w:rPr>
                <w:rFonts w:ascii="宋体" w:hAnsi="宋体"/>
                <w:szCs w:val="21"/>
                <w:highlight w:val="none"/>
              </w:rPr>
            </w:pPr>
            <w:r>
              <w:rPr>
                <w:rFonts w:hint="eastAsia" w:ascii="宋体" w:hAnsi="宋体"/>
                <w:szCs w:val="21"/>
                <w:highlight w:val="none"/>
              </w:rPr>
              <w:t>精度：±2%</w:t>
            </w:r>
          </w:p>
          <w:p w14:paraId="5A5B0936">
            <w:pPr>
              <w:rPr>
                <w:rFonts w:ascii="宋体" w:hAnsi="宋体"/>
                <w:szCs w:val="21"/>
                <w:highlight w:val="none"/>
              </w:rPr>
            </w:pPr>
            <w:r>
              <w:rPr>
                <w:rFonts w:hint="eastAsia" w:ascii="宋体" w:hAnsi="宋体"/>
                <w:szCs w:val="21"/>
                <w:highlight w:val="none"/>
              </w:rPr>
              <w:t>5）大气压</w:t>
            </w:r>
          </w:p>
          <w:p w14:paraId="0F77AEFC">
            <w:pPr>
              <w:rPr>
                <w:rFonts w:ascii="宋体" w:hAnsi="宋体"/>
                <w:szCs w:val="21"/>
                <w:highlight w:val="none"/>
              </w:rPr>
            </w:pPr>
            <w:r>
              <w:rPr>
                <w:rFonts w:hint="eastAsia" w:ascii="宋体" w:hAnsi="宋体"/>
                <w:szCs w:val="21"/>
                <w:highlight w:val="none"/>
              </w:rPr>
              <w:t>压力元件：硅压阻式</w:t>
            </w:r>
          </w:p>
          <w:p w14:paraId="2FAEAEA5">
            <w:pPr>
              <w:rPr>
                <w:rFonts w:ascii="宋体" w:hAnsi="宋体"/>
                <w:szCs w:val="21"/>
                <w:highlight w:val="none"/>
              </w:rPr>
            </w:pPr>
            <w:r>
              <w:rPr>
                <w:rFonts w:hint="eastAsia" w:ascii="宋体" w:hAnsi="宋体"/>
                <w:szCs w:val="21"/>
                <w:highlight w:val="none"/>
              </w:rPr>
              <w:t>测量范围：</w:t>
            </w:r>
            <w:r>
              <w:rPr>
                <w:rFonts w:ascii="宋体" w:hAnsi="宋体"/>
                <w:szCs w:val="21"/>
                <w:highlight w:val="none"/>
              </w:rPr>
              <w:t>1</w:t>
            </w:r>
            <w:r>
              <w:rPr>
                <w:rFonts w:hint="eastAsia" w:ascii="宋体" w:hAnsi="宋体"/>
                <w:szCs w:val="21"/>
                <w:highlight w:val="none"/>
              </w:rPr>
              <w:t>0~1</w:t>
            </w:r>
            <w:r>
              <w:rPr>
                <w:rFonts w:ascii="宋体" w:hAnsi="宋体"/>
                <w:szCs w:val="21"/>
                <w:highlight w:val="none"/>
              </w:rPr>
              <w:t>3</w:t>
            </w:r>
            <w:r>
              <w:rPr>
                <w:rFonts w:hint="eastAsia" w:ascii="宋体" w:hAnsi="宋体"/>
                <w:szCs w:val="21"/>
                <w:highlight w:val="none"/>
              </w:rPr>
              <w:t>00hpa</w:t>
            </w:r>
          </w:p>
          <w:p w14:paraId="4F34DD32">
            <w:pPr>
              <w:pStyle w:val="27"/>
              <w:rPr>
                <w:rFonts w:ascii="宋体" w:hAnsi="宋体"/>
                <w:szCs w:val="21"/>
                <w:highlight w:val="none"/>
              </w:rPr>
            </w:pPr>
            <w:r>
              <w:rPr>
                <w:rFonts w:hint="eastAsia" w:ascii="宋体" w:hAnsi="宋体"/>
                <w:kern w:val="2"/>
                <w:sz w:val="21"/>
                <w:szCs w:val="21"/>
                <w:highlight w:val="none"/>
              </w:rPr>
              <w:t>精度：±1hpa</w:t>
            </w:r>
          </w:p>
        </w:tc>
        <w:tc>
          <w:tcPr>
            <w:tcW w:w="770" w:type="pct"/>
            <w:vAlign w:val="center"/>
          </w:tcPr>
          <w:p w14:paraId="61F90BED">
            <w:pPr>
              <w:jc w:val="center"/>
              <w:rPr>
                <w:sz w:val="20"/>
                <w:highlight w:val="none"/>
              </w:rPr>
            </w:pPr>
            <w:r>
              <w:rPr>
                <w:rFonts w:hint="eastAsia"/>
                <w:sz w:val="20"/>
                <w:highlight w:val="none"/>
              </w:rPr>
              <w:t>6套</w:t>
            </w:r>
          </w:p>
        </w:tc>
      </w:tr>
      <w:tr w14:paraId="6A6B0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06F44105">
            <w:pPr>
              <w:jc w:val="center"/>
              <w:rPr>
                <w:rFonts w:ascii="宋体" w:hAnsi="宋体" w:cs="宋体"/>
                <w:szCs w:val="21"/>
                <w:highlight w:val="none"/>
              </w:rPr>
            </w:pPr>
          </w:p>
        </w:tc>
        <w:tc>
          <w:tcPr>
            <w:tcW w:w="527" w:type="pct"/>
            <w:vAlign w:val="center"/>
          </w:tcPr>
          <w:p w14:paraId="1A1E5ADB">
            <w:pPr>
              <w:rPr>
                <w:rFonts w:ascii="宋体" w:hAnsi="宋体"/>
                <w:szCs w:val="21"/>
                <w:highlight w:val="none"/>
              </w:rPr>
            </w:pPr>
            <w:r>
              <w:rPr>
                <w:rFonts w:hint="eastAsia" w:ascii="宋体" w:hAnsi="宋体"/>
                <w:szCs w:val="21"/>
                <w:highlight w:val="none"/>
              </w:rPr>
              <w:t>数据采集器</w:t>
            </w:r>
          </w:p>
        </w:tc>
        <w:tc>
          <w:tcPr>
            <w:tcW w:w="3273" w:type="pct"/>
            <w:vAlign w:val="center"/>
          </w:tcPr>
          <w:p w14:paraId="6F592F79">
            <w:pPr>
              <w:rPr>
                <w:rFonts w:ascii="宋体" w:hAnsi="宋体" w:cs="宋体"/>
                <w:kern w:val="0"/>
                <w:szCs w:val="21"/>
                <w:highlight w:val="none"/>
              </w:rPr>
            </w:pPr>
            <w:r>
              <w:rPr>
                <w:rFonts w:hint="eastAsia" w:ascii="宋体" w:hAnsi="宋体" w:cs="宋体"/>
                <w:kern w:val="0"/>
                <w:szCs w:val="21"/>
                <w:highlight w:val="none"/>
              </w:rPr>
              <w:t>1）工作温度：-2</w:t>
            </w:r>
            <w:r>
              <w:rPr>
                <w:rFonts w:ascii="宋体" w:hAnsi="宋体" w:cs="宋体"/>
                <w:kern w:val="0"/>
                <w:szCs w:val="21"/>
                <w:highlight w:val="none"/>
              </w:rPr>
              <w:t>0</w:t>
            </w:r>
            <w:r>
              <w:rPr>
                <w:rFonts w:hint="eastAsia" w:ascii="宋体" w:hAnsi="宋体" w:cs="宋体"/>
                <w:kern w:val="0"/>
                <w:szCs w:val="21"/>
                <w:highlight w:val="none"/>
              </w:rPr>
              <w:t>°C ~</w:t>
            </w:r>
            <w:r>
              <w:rPr>
                <w:rFonts w:ascii="宋体" w:hAnsi="宋体" w:cs="宋体"/>
                <w:kern w:val="0"/>
                <w:szCs w:val="21"/>
                <w:highlight w:val="none"/>
              </w:rPr>
              <w:t>65</w:t>
            </w:r>
            <w:r>
              <w:rPr>
                <w:rFonts w:hint="eastAsia" w:ascii="宋体" w:hAnsi="宋体" w:cs="宋体"/>
                <w:kern w:val="0"/>
                <w:szCs w:val="21"/>
                <w:highlight w:val="none"/>
              </w:rPr>
              <w:t>°C ；</w:t>
            </w:r>
          </w:p>
          <w:p w14:paraId="55B1C9D7">
            <w:pPr>
              <w:rPr>
                <w:rFonts w:ascii="宋体" w:hAnsi="宋体" w:cs="宋体"/>
                <w:kern w:val="0"/>
                <w:szCs w:val="21"/>
                <w:highlight w:val="none"/>
              </w:rPr>
            </w:pPr>
            <w:r>
              <w:rPr>
                <w:rFonts w:hint="eastAsia" w:ascii="宋体" w:hAnsi="宋体" w:cs="宋体"/>
                <w:kern w:val="0"/>
                <w:szCs w:val="21"/>
                <w:highlight w:val="none"/>
              </w:rPr>
              <w:t>2）通信端口：RS232、RS485、TTL、SPI、IIC等；</w:t>
            </w:r>
          </w:p>
          <w:p w14:paraId="4EF06D74">
            <w:pPr>
              <w:rPr>
                <w:rFonts w:ascii="宋体" w:hAnsi="宋体" w:cs="宋体"/>
                <w:kern w:val="0"/>
                <w:szCs w:val="21"/>
                <w:highlight w:val="none"/>
              </w:rPr>
            </w:pPr>
            <w:r>
              <w:rPr>
                <w:rFonts w:hint="eastAsia" w:ascii="宋体" w:hAnsi="宋体" w:cs="宋体"/>
                <w:kern w:val="0"/>
                <w:szCs w:val="21"/>
                <w:highlight w:val="none"/>
              </w:rPr>
              <w:t>3）存储接口：1个MSATA接口，配置不小于1</w:t>
            </w:r>
            <w:r>
              <w:rPr>
                <w:rFonts w:ascii="宋体" w:hAnsi="宋体" w:cs="宋体"/>
                <w:kern w:val="0"/>
                <w:szCs w:val="21"/>
                <w:highlight w:val="none"/>
              </w:rPr>
              <w:t xml:space="preserve"> </w:t>
            </w:r>
            <w:r>
              <w:rPr>
                <w:rFonts w:hint="eastAsia" w:ascii="宋体" w:hAnsi="宋体" w:cs="宋体"/>
                <w:kern w:val="0"/>
                <w:szCs w:val="21"/>
                <w:highlight w:val="none"/>
              </w:rPr>
              <w:t>T MSATA接口固态硬盘；</w:t>
            </w:r>
          </w:p>
          <w:p w14:paraId="0B64DF4A">
            <w:pPr>
              <w:rPr>
                <w:rFonts w:ascii="宋体" w:hAnsi="宋体" w:cs="宋体"/>
                <w:kern w:val="0"/>
                <w:szCs w:val="21"/>
                <w:highlight w:val="none"/>
              </w:rPr>
            </w:pPr>
            <w:r>
              <w:rPr>
                <w:rFonts w:hint="eastAsia" w:ascii="宋体" w:hAnsi="宋体" w:cs="宋体"/>
                <w:kern w:val="0"/>
                <w:szCs w:val="21"/>
                <w:highlight w:val="none"/>
              </w:rPr>
              <w:t>4）供电电压：</w:t>
            </w:r>
            <w:r>
              <w:rPr>
                <w:rFonts w:ascii="宋体" w:hAnsi="宋体" w:cs="宋体"/>
                <w:kern w:val="0"/>
                <w:szCs w:val="21"/>
                <w:highlight w:val="none"/>
              </w:rPr>
              <w:t>DC12V/3.3A</w:t>
            </w:r>
            <w:r>
              <w:rPr>
                <w:rFonts w:hint="eastAsia" w:ascii="宋体" w:hAnsi="宋体" w:cs="宋体"/>
                <w:kern w:val="0"/>
                <w:szCs w:val="21"/>
                <w:highlight w:val="none"/>
              </w:rPr>
              <w:t>；</w:t>
            </w:r>
          </w:p>
          <w:p w14:paraId="0C3ABA4E">
            <w:pPr>
              <w:rPr>
                <w:rFonts w:ascii="宋体" w:hAnsi="宋体" w:cs="宋体"/>
                <w:kern w:val="0"/>
                <w:szCs w:val="21"/>
                <w:highlight w:val="none"/>
              </w:rPr>
            </w:pPr>
            <w:r>
              <w:rPr>
                <w:rFonts w:hint="eastAsia" w:ascii="宋体" w:hAnsi="宋体" w:cs="宋体"/>
                <w:kern w:val="0"/>
                <w:szCs w:val="21"/>
                <w:highlight w:val="none"/>
              </w:rPr>
              <w:t>5）时钟精度：自动校正功能，准确度不大于15s/月；</w:t>
            </w:r>
          </w:p>
          <w:p w14:paraId="197B625D">
            <w:pPr>
              <w:rPr>
                <w:rFonts w:ascii="宋体" w:hAnsi="宋体" w:cs="宋体"/>
                <w:kern w:val="0"/>
                <w:szCs w:val="21"/>
                <w:highlight w:val="none"/>
              </w:rPr>
            </w:pPr>
            <w:r>
              <w:rPr>
                <w:rFonts w:hint="eastAsia" w:ascii="宋体" w:hAnsi="宋体" w:cs="宋体"/>
                <w:kern w:val="0"/>
                <w:szCs w:val="21"/>
                <w:highlight w:val="none"/>
              </w:rPr>
              <w:t>6）支持通讯协议：ModbusRTU、ModbusTCP、4G通讯等；</w:t>
            </w:r>
          </w:p>
          <w:p w14:paraId="32F4703E">
            <w:pPr>
              <w:rPr>
                <w:rFonts w:ascii="宋体" w:hAnsi="宋体" w:cs="宋体"/>
                <w:kern w:val="0"/>
                <w:szCs w:val="21"/>
                <w:highlight w:val="none"/>
              </w:rPr>
            </w:pPr>
            <w:r>
              <w:rPr>
                <w:rFonts w:hint="eastAsia" w:ascii="宋体" w:hAnsi="宋体" w:cs="宋体"/>
                <w:kern w:val="0"/>
                <w:szCs w:val="21"/>
                <w:highlight w:val="none"/>
              </w:rPr>
              <w:t>7）数据处理：传感器数据OSD ；</w:t>
            </w:r>
          </w:p>
          <w:p w14:paraId="67A22AA4">
            <w:pPr>
              <w:rPr>
                <w:rFonts w:ascii="宋体" w:hAnsi="宋体" w:cs="宋体"/>
                <w:kern w:val="0"/>
                <w:szCs w:val="21"/>
                <w:highlight w:val="none"/>
              </w:rPr>
            </w:pPr>
            <w:r>
              <w:rPr>
                <w:rFonts w:hint="eastAsia" w:ascii="宋体" w:hAnsi="宋体" w:cs="宋体"/>
                <w:kern w:val="0"/>
                <w:szCs w:val="21"/>
                <w:highlight w:val="none"/>
              </w:rPr>
              <w:t>8）整机功率：≤</w:t>
            </w:r>
            <w:r>
              <w:rPr>
                <w:rFonts w:ascii="宋体" w:hAnsi="宋体" w:cs="宋体"/>
                <w:kern w:val="0"/>
                <w:szCs w:val="21"/>
                <w:highlight w:val="none"/>
              </w:rPr>
              <w:t>6W</w:t>
            </w:r>
            <w:r>
              <w:rPr>
                <w:rFonts w:hint="eastAsia" w:ascii="宋体" w:hAnsi="宋体" w:cs="宋体"/>
                <w:kern w:val="0"/>
                <w:szCs w:val="21"/>
                <w:highlight w:val="none"/>
              </w:rPr>
              <w:t>；</w:t>
            </w:r>
          </w:p>
          <w:p w14:paraId="298325D5">
            <w:pPr>
              <w:rPr>
                <w:rFonts w:ascii="宋体" w:hAnsi="宋体" w:cs="宋体"/>
                <w:kern w:val="0"/>
                <w:szCs w:val="21"/>
                <w:highlight w:val="none"/>
              </w:rPr>
            </w:pPr>
            <w:r>
              <w:rPr>
                <w:rFonts w:hint="eastAsia" w:ascii="宋体" w:hAnsi="宋体" w:cs="宋体"/>
                <w:kern w:val="0"/>
                <w:szCs w:val="21"/>
                <w:highlight w:val="none"/>
              </w:rPr>
              <w:t>9）支持Modbus 协议（以配置文件形式）导入导出。</w:t>
            </w:r>
          </w:p>
          <w:p w14:paraId="4B32F6D9">
            <w:pPr>
              <w:rPr>
                <w:rFonts w:ascii="宋体" w:hAnsi="宋体" w:cs="宋体"/>
                <w:kern w:val="0"/>
                <w:szCs w:val="21"/>
                <w:highlight w:val="none"/>
              </w:rPr>
            </w:pPr>
            <w:r>
              <w:rPr>
                <w:rFonts w:hint="eastAsia" w:ascii="宋体" w:hAnsi="宋体" w:cs="宋体"/>
                <w:kern w:val="0"/>
                <w:szCs w:val="21"/>
                <w:highlight w:val="none"/>
              </w:rPr>
              <w:t>10）4G通讯：支持4G上传</w:t>
            </w:r>
          </w:p>
          <w:p w14:paraId="0C2AB982">
            <w:pPr>
              <w:rPr>
                <w:rFonts w:ascii="宋体" w:hAnsi="宋体" w:cs="宋体"/>
                <w:kern w:val="0"/>
                <w:szCs w:val="21"/>
                <w:highlight w:val="none"/>
              </w:rPr>
            </w:pPr>
            <w:r>
              <w:rPr>
                <w:rFonts w:hint="eastAsia" w:ascii="宋体" w:hAnsi="宋体" w:cs="宋体"/>
                <w:kern w:val="0"/>
                <w:szCs w:val="21"/>
                <w:highlight w:val="none"/>
              </w:rPr>
              <w:t>11）RS485传感器接入能力：每个接口8个传感器，整机支持16个传感器。</w:t>
            </w:r>
          </w:p>
          <w:p w14:paraId="3B7A6DD5">
            <w:pPr>
              <w:rPr>
                <w:rFonts w:ascii="宋体" w:hAnsi="宋体" w:cs="宋体"/>
                <w:kern w:val="0"/>
                <w:szCs w:val="21"/>
                <w:highlight w:val="none"/>
              </w:rPr>
            </w:pPr>
            <w:r>
              <w:rPr>
                <w:rFonts w:hint="eastAsia" w:ascii="宋体" w:hAnsi="宋体" w:cs="宋体"/>
                <w:kern w:val="0"/>
                <w:szCs w:val="21"/>
                <w:highlight w:val="none"/>
              </w:rPr>
              <w:t>12）含电源适配器；</w:t>
            </w:r>
          </w:p>
        </w:tc>
        <w:tc>
          <w:tcPr>
            <w:tcW w:w="770" w:type="pct"/>
            <w:vAlign w:val="center"/>
          </w:tcPr>
          <w:p w14:paraId="47219326">
            <w:pPr>
              <w:jc w:val="center"/>
              <w:rPr>
                <w:sz w:val="20"/>
                <w:highlight w:val="none"/>
              </w:rPr>
            </w:pPr>
            <w:r>
              <w:rPr>
                <w:rFonts w:hint="eastAsia"/>
                <w:sz w:val="20"/>
                <w:highlight w:val="none"/>
              </w:rPr>
              <w:t>6套</w:t>
            </w:r>
          </w:p>
        </w:tc>
      </w:tr>
      <w:tr w14:paraId="48808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00272CD9">
            <w:pPr>
              <w:jc w:val="center"/>
              <w:rPr>
                <w:rFonts w:ascii="宋体" w:hAnsi="宋体" w:cs="宋体"/>
                <w:szCs w:val="21"/>
                <w:highlight w:val="none"/>
              </w:rPr>
            </w:pPr>
          </w:p>
        </w:tc>
        <w:tc>
          <w:tcPr>
            <w:tcW w:w="527" w:type="pct"/>
            <w:vAlign w:val="center"/>
          </w:tcPr>
          <w:p w14:paraId="6C3C1DF0">
            <w:pPr>
              <w:rPr>
                <w:rFonts w:ascii="宋体" w:hAnsi="宋体"/>
                <w:szCs w:val="21"/>
                <w:highlight w:val="none"/>
              </w:rPr>
            </w:pPr>
            <w:r>
              <w:rPr>
                <w:rFonts w:hint="eastAsia" w:ascii="宋体" w:hAnsi="宋体"/>
                <w:szCs w:val="21"/>
                <w:highlight w:val="none"/>
              </w:rPr>
              <w:t>风光互补供电单元</w:t>
            </w:r>
          </w:p>
        </w:tc>
        <w:tc>
          <w:tcPr>
            <w:tcW w:w="3273" w:type="pct"/>
            <w:vAlign w:val="center"/>
          </w:tcPr>
          <w:p w14:paraId="522D7BEF">
            <w:pPr>
              <w:rPr>
                <w:rFonts w:ascii="宋体" w:hAnsi="宋体"/>
                <w:szCs w:val="21"/>
                <w:highlight w:val="none"/>
              </w:rPr>
            </w:pPr>
            <w:r>
              <w:rPr>
                <w:rFonts w:hint="eastAsia" w:ascii="宋体" w:hAnsi="宋体"/>
                <w:szCs w:val="21"/>
                <w:highlight w:val="none"/>
              </w:rPr>
              <w:t>1）</w:t>
            </w:r>
            <w:r>
              <w:rPr>
                <w:rFonts w:ascii="宋体" w:hAnsi="宋体"/>
                <w:szCs w:val="21"/>
                <w:highlight w:val="none"/>
              </w:rPr>
              <w:t>1</w:t>
            </w:r>
            <w:r>
              <w:rPr>
                <w:rFonts w:hint="eastAsia" w:ascii="宋体" w:hAnsi="宋体"/>
                <w:szCs w:val="21"/>
                <w:highlight w:val="none"/>
              </w:rPr>
              <w:t>000AH</w:t>
            </w:r>
            <w:r>
              <w:rPr>
                <w:rFonts w:ascii="宋体" w:hAnsi="宋体"/>
                <w:szCs w:val="21"/>
                <w:highlight w:val="none"/>
              </w:rPr>
              <w:t>12</w:t>
            </w:r>
            <w:r>
              <w:rPr>
                <w:rFonts w:hint="eastAsia" w:ascii="宋体" w:hAnsi="宋体"/>
                <w:szCs w:val="21"/>
                <w:highlight w:val="none"/>
              </w:rPr>
              <w:t>00W胶体太阳能供电系统，保证无光下</w:t>
            </w:r>
            <w:r>
              <w:rPr>
                <w:rFonts w:ascii="宋体" w:hAnsi="宋体"/>
                <w:szCs w:val="21"/>
                <w:highlight w:val="none"/>
              </w:rPr>
              <w:t>3</w:t>
            </w:r>
            <w:r>
              <w:rPr>
                <w:rFonts w:hint="eastAsia" w:ascii="宋体" w:hAnsi="宋体"/>
                <w:szCs w:val="21"/>
                <w:highlight w:val="none"/>
              </w:rPr>
              <w:t>天的供电时间。</w:t>
            </w:r>
          </w:p>
          <w:p w14:paraId="51498A36">
            <w:pPr>
              <w:ind w:left="420"/>
              <w:rPr>
                <w:rFonts w:ascii="宋体" w:hAnsi="宋体"/>
                <w:szCs w:val="21"/>
                <w:highlight w:val="none"/>
              </w:rPr>
            </w:pPr>
            <w:r>
              <w:rPr>
                <w:rFonts w:hint="eastAsia" w:ascii="宋体" w:hAnsi="宋体"/>
                <w:szCs w:val="21"/>
                <w:highlight w:val="none"/>
              </w:rPr>
              <w:t>2）太阳能板技术参数：</w:t>
            </w:r>
            <w:r>
              <w:rPr>
                <w:rFonts w:hint="eastAsia" w:ascii="宋体" w:hAnsi="宋体"/>
                <w:szCs w:val="21"/>
                <w:highlight w:val="none"/>
              </w:rPr>
              <w:br w:type="textWrapping"/>
            </w:r>
            <w:r>
              <w:rPr>
                <w:rFonts w:hint="eastAsia" w:ascii="宋体" w:hAnsi="宋体"/>
                <w:szCs w:val="21"/>
                <w:highlight w:val="none"/>
              </w:rPr>
              <w:t>太阳能组件类型：单晶硅</w:t>
            </w:r>
          </w:p>
          <w:p w14:paraId="692926D6">
            <w:pPr>
              <w:ind w:left="420"/>
              <w:rPr>
                <w:rFonts w:ascii="宋体" w:hAnsi="宋体"/>
                <w:szCs w:val="21"/>
                <w:highlight w:val="none"/>
              </w:rPr>
            </w:pPr>
            <w:r>
              <w:rPr>
                <w:rFonts w:hint="eastAsia" w:ascii="宋体" w:hAnsi="宋体"/>
                <w:szCs w:val="21"/>
                <w:highlight w:val="none"/>
              </w:rPr>
              <w:t>太阳能组件转换效率：22%以上</w:t>
            </w:r>
          </w:p>
          <w:p w14:paraId="040B610F">
            <w:pPr>
              <w:ind w:left="420"/>
              <w:rPr>
                <w:rFonts w:ascii="宋体" w:hAnsi="宋体"/>
                <w:szCs w:val="21"/>
                <w:highlight w:val="none"/>
              </w:rPr>
            </w:pPr>
            <w:r>
              <w:rPr>
                <w:rFonts w:hint="eastAsia" w:ascii="宋体" w:hAnsi="宋体"/>
                <w:szCs w:val="21"/>
                <w:highlight w:val="none"/>
              </w:rPr>
              <w:t>太阳能组件功耗/电压/电流：300Wp/32.96V/9.11A</w:t>
            </w:r>
          </w:p>
          <w:p w14:paraId="195C2DAA">
            <w:pPr>
              <w:ind w:left="420"/>
              <w:rPr>
                <w:rFonts w:ascii="宋体" w:hAnsi="宋体"/>
                <w:szCs w:val="21"/>
                <w:highlight w:val="none"/>
              </w:rPr>
            </w:pPr>
            <w:r>
              <w:rPr>
                <w:rFonts w:hint="eastAsia" w:ascii="宋体" w:hAnsi="宋体"/>
                <w:szCs w:val="21"/>
                <w:highlight w:val="none"/>
              </w:rPr>
              <w:t>太阳能板尺寸/重量：系统配置</w:t>
            </w:r>
            <w:r>
              <w:rPr>
                <w:rFonts w:ascii="宋体" w:hAnsi="宋体"/>
                <w:szCs w:val="21"/>
                <w:highlight w:val="none"/>
              </w:rPr>
              <w:t>4</w:t>
            </w:r>
            <w:r>
              <w:rPr>
                <w:rFonts w:hint="eastAsia" w:ascii="宋体" w:hAnsi="宋体"/>
                <w:szCs w:val="21"/>
                <w:highlight w:val="none"/>
              </w:rPr>
              <w:t>块。</w:t>
            </w:r>
          </w:p>
          <w:p w14:paraId="54FCE833">
            <w:pPr>
              <w:rPr>
                <w:rFonts w:ascii="宋体" w:hAnsi="宋体"/>
                <w:szCs w:val="21"/>
                <w:highlight w:val="none"/>
              </w:rPr>
            </w:pPr>
            <w:r>
              <w:rPr>
                <w:rFonts w:ascii="宋体" w:hAnsi="宋体"/>
                <w:szCs w:val="21"/>
                <w:highlight w:val="none"/>
              </w:rPr>
              <w:t>3</w:t>
            </w:r>
            <w:r>
              <w:rPr>
                <w:rFonts w:hint="eastAsia" w:ascii="宋体" w:hAnsi="宋体"/>
                <w:szCs w:val="21"/>
                <w:highlight w:val="none"/>
              </w:rPr>
              <w:t>）蓄电池技术参数：</w:t>
            </w:r>
            <w:r>
              <w:rPr>
                <w:rFonts w:hint="eastAsia" w:ascii="宋体" w:hAnsi="宋体"/>
                <w:szCs w:val="21"/>
                <w:highlight w:val="none"/>
              </w:rPr>
              <w:br w:type="textWrapping"/>
            </w:r>
            <w:r>
              <w:rPr>
                <w:rFonts w:hint="eastAsia" w:ascii="宋体" w:hAnsi="宋体"/>
                <w:szCs w:val="21"/>
                <w:highlight w:val="none"/>
              </w:rPr>
              <w:t>电池类型：胶体蓄电池</w:t>
            </w:r>
          </w:p>
          <w:p w14:paraId="612770F2">
            <w:pPr>
              <w:rPr>
                <w:rFonts w:ascii="宋体" w:hAnsi="宋体"/>
                <w:szCs w:val="21"/>
                <w:highlight w:val="none"/>
              </w:rPr>
            </w:pPr>
            <w:r>
              <w:rPr>
                <w:rFonts w:hint="eastAsia" w:ascii="宋体" w:hAnsi="宋体"/>
                <w:szCs w:val="21"/>
                <w:highlight w:val="none"/>
              </w:rPr>
              <w:t>电池电芯数量/容量：12V 250Ah*4块，总容量大于12000Wh</w:t>
            </w:r>
            <w:r>
              <w:rPr>
                <w:rFonts w:hint="eastAsia" w:ascii="宋体" w:hAnsi="宋体"/>
                <w:szCs w:val="21"/>
                <w:highlight w:val="none"/>
              </w:rPr>
              <w:br w:type="textWrapping"/>
            </w:r>
            <w:r>
              <w:rPr>
                <w:rFonts w:hint="eastAsia" w:ascii="宋体" w:hAnsi="宋体"/>
                <w:szCs w:val="21"/>
                <w:highlight w:val="none"/>
              </w:rPr>
              <w:t>电池额定电压：24V DC</w:t>
            </w:r>
            <w:r>
              <w:rPr>
                <w:rFonts w:hint="eastAsia" w:ascii="宋体" w:hAnsi="宋体"/>
                <w:szCs w:val="21"/>
                <w:highlight w:val="none"/>
              </w:rPr>
              <w:br w:type="textWrapping"/>
            </w:r>
            <w:r>
              <w:rPr>
                <w:rFonts w:hint="eastAsia" w:ascii="宋体" w:hAnsi="宋体"/>
                <w:szCs w:val="21"/>
                <w:highlight w:val="none"/>
              </w:rPr>
              <w:t>工作电压范围：AC220V（MAX400W）</w:t>
            </w:r>
            <w:r>
              <w:rPr>
                <w:rFonts w:hint="eastAsia" w:ascii="宋体" w:hAnsi="宋体"/>
                <w:szCs w:val="21"/>
                <w:highlight w:val="none"/>
              </w:rPr>
              <w:br w:type="textWrapping"/>
            </w:r>
            <w:r>
              <w:rPr>
                <w:rFonts w:hint="eastAsia" w:ascii="宋体" w:hAnsi="宋体"/>
                <w:szCs w:val="21"/>
                <w:highlight w:val="none"/>
              </w:rPr>
              <w:t>电池最大持续工作电流：50A</w:t>
            </w:r>
            <w:r>
              <w:rPr>
                <w:rFonts w:hint="eastAsia" w:ascii="宋体" w:hAnsi="宋体"/>
                <w:szCs w:val="21"/>
                <w:highlight w:val="none"/>
              </w:rPr>
              <w:br w:type="textWrapping"/>
            </w:r>
            <w:r>
              <w:rPr>
                <w:rFonts w:hint="eastAsia" w:ascii="宋体" w:hAnsi="宋体"/>
                <w:szCs w:val="21"/>
                <w:highlight w:val="none"/>
              </w:rPr>
              <w:t>电池循环使用次数：＞400</w:t>
            </w:r>
            <w:r>
              <w:rPr>
                <w:rFonts w:hint="eastAsia" w:ascii="宋体" w:hAnsi="宋体"/>
                <w:szCs w:val="21"/>
                <w:highlight w:val="none"/>
              </w:rPr>
              <w:br w:type="textWrapping"/>
            </w:r>
            <w:r>
              <w:rPr>
                <w:rFonts w:hint="eastAsia" w:ascii="宋体" w:hAnsi="宋体"/>
                <w:szCs w:val="21"/>
                <w:highlight w:val="none"/>
              </w:rPr>
              <w:t>电池保护功能：过充、过放、过流、短路、过载、防反接等完善的系统保护功能</w:t>
            </w:r>
            <w:r>
              <w:rPr>
                <w:rFonts w:hint="eastAsia" w:ascii="宋体" w:hAnsi="宋体"/>
                <w:szCs w:val="21"/>
                <w:highlight w:val="none"/>
              </w:rPr>
              <w:br w:type="textWrapping"/>
            </w:r>
            <w:r>
              <w:rPr>
                <w:rFonts w:hint="eastAsia" w:ascii="宋体" w:hAnsi="宋体"/>
                <w:szCs w:val="21"/>
                <w:highlight w:val="none"/>
              </w:rPr>
              <w:t>电池充电温度：-10℃~50℃</w:t>
            </w:r>
            <w:r>
              <w:rPr>
                <w:rFonts w:hint="eastAsia" w:ascii="宋体" w:hAnsi="宋体"/>
                <w:szCs w:val="21"/>
                <w:highlight w:val="none"/>
              </w:rPr>
              <w:br w:type="textWrapping"/>
            </w:r>
            <w:r>
              <w:rPr>
                <w:rFonts w:hint="eastAsia" w:ascii="宋体" w:hAnsi="宋体"/>
                <w:szCs w:val="21"/>
                <w:highlight w:val="none"/>
              </w:rPr>
              <w:t>电池放电温度：-15℃~50℃</w:t>
            </w:r>
            <w:r>
              <w:rPr>
                <w:rFonts w:hint="eastAsia" w:ascii="宋体" w:hAnsi="宋体"/>
                <w:szCs w:val="21"/>
                <w:highlight w:val="none"/>
              </w:rPr>
              <w:br w:type="textWrapping"/>
            </w:r>
            <w:r>
              <w:rPr>
                <w:rFonts w:hint="eastAsia" w:ascii="宋体" w:hAnsi="宋体"/>
                <w:szCs w:val="21"/>
                <w:highlight w:val="none"/>
              </w:rPr>
              <w:t>电池额定容量：12V 250Ah*4块</w:t>
            </w:r>
          </w:p>
        </w:tc>
        <w:tc>
          <w:tcPr>
            <w:tcW w:w="770" w:type="pct"/>
            <w:vAlign w:val="center"/>
          </w:tcPr>
          <w:p w14:paraId="66A1C0B8">
            <w:pPr>
              <w:jc w:val="center"/>
              <w:rPr>
                <w:sz w:val="20"/>
                <w:highlight w:val="none"/>
              </w:rPr>
            </w:pPr>
            <w:r>
              <w:rPr>
                <w:rFonts w:hint="eastAsia"/>
                <w:sz w:val="20"/>
                <w:highlight w:val="none"/>
              </w:rPr>
              <w:t>6套</w:t>
            </w:r>
          </w:p>
        </w:tc>
      </w:tr>
      <w:tr w14:paraId="75A9C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1F64E9A2">
            <w:pPr>
              <w:jc w:val="center"/>
              <w:rPr>
                <w:rFonts w:ascii="宋体" w:hAnsi="宋体" w:cs="宋体"/>
                <w:szCs w:val="21"/>
                <w:highlight w:val="none"/>
              </w:rPr>
            </w:pPr>
          </w:p>
        </w:tc>
        <w:tc>
          <w:tcPr>
            <w:tcW w:w="527" w:type="pct"/>
            <w:vAlign w:val="center"/>
          </w:tcPr>
          <w:p w14:paraId="653ED1D4">
            <w:pPr>
              <w:rPr>
                <w:rFonts w:ascii="宋体" w:hAnsi="宋体"/>
                <w:szCs w:val="21"/>
                <w:highlight w:val="none"/>
              </w:rPr>
            </w:pPr>
            <w:r>
              <w:rPr>
                <w:rFonts w:hint="eastAsia" w:ascii="宋体" w:hAnsi="宋体"/>
                <w:szCs w:val="21"/>
                <w:highlight w:val="none"/>
              </w:rPr>
              <w:t>无线信号传输单元</w:t>
            </w:r>
          </w:p>
        </w:tc>
        <w:tc>
          <w:tcPr>
            <w:tcW w:w="3273" w:type="pct"/>
            <w:vAlign w:val="center"/>
          </w:tcPr>
          <w:p w14:paraId="7A44B7C8">
            <w:pPr>
              <w:rPr>
                <w:rFonts w:ascii="宋体" w:hAnsi="宋体"/>
                <w:szCs w:val="21"/>
                <w:highlight w:val="none"/>
              </w:rPr>
            </w:pPr>
            <w:r>
              <w:rPr>
                <w:rFonts w:hint="eastAsia" w:ascii="宋体" w:hAnsi="宋体"/>
                <w:szCs w:val="21"/>
                <w:highlight w:val="none"/>
              </w:rPr>
              <w:t>1）网络制式：支持2G/3G/4G主流网络制式</w:t>
            </w:r>
          </w:p>
          <w:p w14:paraId="65B66EC5">
            <w:pPr>
              <w:rPr>
                <w:rFonts w:ascii="宋体" w:hAnsi="宋体"/>
                <w:szCs w:val="21"/>
                <w:highlight w:val="none"/>
              </w:rPr>
            </w:pPr>
            <w:r>
              <w:rPr>
                <w:rFonts w:hint="eastAsia" w:ascii="宋体" w:hAnsi="宋体"/>
                <w:szCs w:val="21"/>
                <w:highlight w:val="none"/>
              </w:rPr>
              <w:t>2）天线接口：</w:t>
            </w:r>
          </w:p>
          <w:p w14:paraId="11C740AC">
            <w:pPr>
              <w:rPr>
                <w:rFonts w:ascii="宋体" w:hAnsi="宋体"/>
                <w:szCs w:val="21"/>
                <w:highlight w:val="none"/>
              </w:rPr>
            </w:pPr>
            <w:r>
              <w:rPr>
                <w:rFonts w:hint="eastAsia" w:ascii="宋体" w:hAnsi="宋体"/>
                <w:szCs w:val="21"/>
                <w:highlight w:val="none"/>
              </w:rPr>
              <w:t>4G天线：1*SMA-K母头</w:t>
            </w:r>
          </w:p>
          <w:p w14:paraId="20CB15DA">
            <w:pPr>
              <w:rPr>
                <w:rFonts w:ascii="宋体" w:hAnsi="宋体"/>
                <w:szCs w:val="21"/>
                <w:highlight w:val="none"/>
              </w:rPr>
            </w:pPr>
            <w:r>
              <w:rPr>
                <w:rFonts w:hint="eastAsia" w:ascii="宋体" w:hAnsi="宋体"/>
                <w:szCs w:val="21"/>
                <w:highlight w:val="none"/>
              </w:rPr>
              <w:t>WiFi天线：SMA-K母头</w:t>
            </w:r>
          </w:p>
          <w:p w14:paraId="5CEBCD08">
            <w:pPr>
              <w:rPr>
                <w:rFonts w:ascii="宋体" w:hAnsi="宋体"/>
                <w:szCs w:val="21"/>
                <w:highlight w:val="none"/>
              </w:rPr>
            </w:pPr>
            <w:r>
              <w:rPr>
                <w:rFonts w:hint="eastAsia" w:ascii="宋体" w:hAnsi="宋体"/>
                <w:szCs w:val="21"/>
                <w:highlight w:val="none"/>
              </w:rPr>
              <w:t>3）SIM卡：</w:t>
            </w:r>
          </w:p>
          <w:p w14:paraId="3C36EE59">
            <w:pPr>
              <w:rPr>
                <w:rFonts w:ascii="宋体" w:hAnsi="宋体"/>
                <w:szCs w:val="21"/>
                <w:highlight w:val="none"/>
              </w:rPr>
            </w:pPr>
            <w:r>
              <w:rPr>
                <w:rFonts w:hint="eastAsia" w:ascii="宋体" w:hAnsi="宋体"/>
                <w:szCs w:val="21"/>
                <w:highlight w:val="none"/>
              </w:rPr>
              <w:t>SIM卡1：1.8V/3.0V，抽屉式</w:t>
            </w:r>
          </w:p>
          <w:p w14:paraId="234EBD2F">
            <w:pPr>
              <w:rPr>
                <w:rFonts w:ascii="宋体" w:hAnsi="宋体"/>
                <w:szCs w:val="21"/>
                <w:highlight w:val="none"/>
              </w:rPr>
            </w:pPr>
            <w:r>
              <w:rPr>
                <w:rFonts w:hint="eastAsia" w:ascii="宋体" w:hAnsi="宋体"/>
                <w:szCs w:val="21"/>
                <w:highlight w:val="none"/>
              </w:rPr>
              <w:t>SIM卡2：1.8V/3.0V，抽屉式</w:t>
            </w:r>
          </w:p>
          <w:p w14:paraId="052F09E5">
            <w:pPr>
              <w:rPr>
                <w:rFonts w:ascii="宋体" w:hAnsi="宋体"/>
                <w:szCs w:val="21"/>
                <w:highlight w:val="none"/>
              </w:rPr>
            </w:pPr>
            <w:r>
              <w:rPr>
                <w:rFonts w:hint="eastAsia" w:ascii="宋体" w:hAnsi="宋体"/>
                <w:szCs w:val="21"/>
                <w:highlight w:val="none"/>
              </w:rPr>
              <w:t>4）按键：支持RESET按键</w:t>
            </w:r>
          </w:p>
          <w:p w14:paraId="440FE806">
            <w:pPr>
              <w:rPr>
                <w:rFonts w:ascii="宋体" w:hAnsi="宋体"/>
                <w:szCs w:val="21"/>
                <w:highlight w:val="none"/>
              </w:rPr>
            </w:pPr>
            <w:r>
              <w:rPr>
                <w:rFonts w:hint="eastAsia" w:ascii="宋体" w:hAnsi="宋体"/>
                <w:szCs w:val="21"/>
                <w:highlight w:val="none"/>
              </w:rPr>
              <w:t>5）网口：</w:t>
            </w:r>
          </w:p>
          <w:p w14:paraId="33459265">
            <w:pPr>
              <w:rPr>
                <w:rFonts w:ascii="宋体" w:hAnsi="宋体"/>
                <w:szCs w:val="21"/>
                <w:highlight w:val="none"/>
              </w:rPr>
            </w:pPr>
            <w:r>
              <w:rPr>
                <w:rFonts w:hint="eastAsia" w:ascii="宋体" w:hAnsi="宋体"/>
                <w:szCs w:val="21"/>
                <w:highlight w:val="none"/>
              </w:rPr>
              <w:t>网口1：WAN口（10/100Mbps自适应）</w:t>
            </w:r>
          </w:p>
          <w:p w14:paraId="519DF237">
            <w:pPr>
              <w:rPr>
                <w:rFonts w:ascii="宋体" w:hAnsi="宋体"/>
                <w:szCs w:val="21"/>
                <w:highlight w:val="none"/>
              </w:rPr>
            </w:pPr>
            <w:r>
              <w:rPr>
                <w:rFonts w:hint="eastAsia" w:ascii="宋体" w:hAnsi="宋体"/>
                <w:szCs w:val="21"/>
                <w:highlight w:val="none"/>
              </w:rPr>
              <w:t>网口2~5：LAN口（10/100Mbps自适应）</w:t>
            </w:r>
          </w:p>
          <w:p w14:paraId="18762073">
            <w:pPr>
              <w:rPr>
                <w:rFonts w:ascii="宋体" w:hAnsi="宋体"/>
                <w:szCs w:val="21"/>
                <w:highlight w:val="none"/>
              </w:rPr>
            </w:pPr>
            <w:r>
              <w:rPr>
                <w:rFonts w:hint="eastAsia" w:ascii="宋体" w:hAnsi="宋体"/>
                <w:szCs w:val="21"/>
                <w:highlight w:val="none"/>
              </w:rPr>
              <w:t>6）工作电压：+5V～+36V DC</w:t>
            </w:r>
          </w:p>
        </w:tc>
        <w:tc>
          <w:tcPr>
            <w:tcW w:w="770" w:type="pct"/>
            <w:vAlign w:val="center"/>
          </w:tcPr>
          <w:p w14:paraId="7E8AAF2C">
            <w:pPr>
              <w:jc w:val="center"/>
              <w:rPr>
                <w:sz w:val="20"/>
                <w:highlight w:val="none"/>
              </w:rPr>
            </w:pPr>
            <w:r>
              <w:rPr>
                <w:rFonts w:hint="eastAsia"/>
                <w:sz w:val="20"/>
                <w:highlight w:val="none"/>
              </w:rPr>
              <w:t>6套</w:t>
            </w:r>
          </w:p>
        </w:tc>
      </w:tr>
      <w:tr w14:paraId="39DA8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1745F68E">
            <w:pPr>
              <w:jc w:val="center"/>
              <w:rPr>
                <w:rFonts w:ascii="宋体" w:hAnsi="宋体" w:cs="宋体"/>
                <w:szCs w:val="21"/>
                <w:highlight w:val="none"/>
              </w:rPr>
            </w:pPr>
          </w:p>
        </w:tc>
        <w:tc>
          <w:tcPr>
            <w:tcW w:w="527" w:type="pct"/>
            <w:vAlign w:val="center"/>
          </w:tcPr>
          <w:p w14:paraId="0AF62C6F">
            <w:pPr>
              <w:rPr>
                <w:rFonts w:ascii="宋体" w:hAnsi="宋体"/>
                <w:szCs w:val="21"/>
                <w:highlight w:val="none"/>
              </w:rPr>
            </w:pPr>
            <w:r>
              <w:rPr>
                <w:rFonts w:hint="eastAsia" w:ascii="宋体" w:hAnsi="宋体"/>
                <w:szCs w:val="21"/>
                <w:highlight w:val="none"/>
              </w:rPr>
              <w:t>立杆及支架</w:t>
            </w:r>
          </w:p>
        </w:tc>
        <w:tc>
          <w:tcPr>
            <w:tcW w:w="3273" w:type="pct"/>
            <w:vAlign w:val="center"/>
          </w:tcPr>
          <w:p w14:paraId="28CFEADA">
            <w:pPr>
              <w:rPr>
                <w:rFonts w:ascii="宋体" w:hAnsi="宋体"/>
                <w:szCs w:val="21"/>
                <w:highlight w:val="none"/>
              </w:rPr>
            </w:pPr>
            <w:r>
              <w:rPr>
                <w:rFonts w:hint="eastAsia" w:ascii="宋体" w:hAnsi="宋体"/>
                <w:szCs w:val="21"/>
                <w:highlight w:val="none"/>
              </w:rPr>
              <w:t>1）采用钢制镀锌立杆进行安装，根据现场情况确认高度，要求立杆高度≥</w:t>
            </w:r>
            <w:r>
              <w:rPr>
                <w:rFonts w:ascii="宋体" w:hAnsi="宋体"/>
                <w:szCs w:val="21"/>
                <w:highlight w:val="none"/>
              </w:rPr>
              <w:t>6000</w:t>
            </w:r>
            <w:r>
              <w:rPr>
                <w:rFonts w:hint="eastAsia" w:ascii="宋体" w:hAnsi="宋体"/>
                <w:szCs w:val="21"/>
                <w:highlight w:val="none"/>
              </w:rPr>
              <w:t>mmm，直径≥</w:t>
            </w:r>
            <w:r>
              <w:rPr>
                <w:rFonts w:ascii="宋体" w:hAnsi="宋体"/>
                <w:szCs w:val="21"/>
                <w:highlight w:val="none"/>
              </w:rPr>
              <w:t>200</w:t>
            </w:r>
            <w:r>
              <w:rPr>
                <w:rFonts w:hint="eastAsia" w:ascii="宋体" w:hAnsi="宋体"/>
                <w:szCs w:val="21"/>
                <w:highlight w:val="none"/>
              </w:rPr>
              <w:t>mm；</w:t>
            </w:r>
          </w:p>
          <w:p w14:paraId="7F523AE3">
            <w:pPr>
              <w:rPr>
                <w:rFonts w:ascii="宋体" w:hAnsi="宋体"/>
                <w:szCs w:val="21"/>
                <w:highlight w:val="none"/>
              </w:rPr>
            </w:pPr>
            <w:r>
              <w:rPr>
                <w:rFonts w:hint="eastAsia" w:ascii="宋体" w:hAnsi="宋体"/>
                <w:szCs w:val="21"/>
                <w:highlight w:val="none"/>
              </w:rPr>
              <w:t>2）挑臂长度≥5</w:t>
            </w:r>
            <w:r>
              <w:rPr>
                <w:rFonts w:ascii="宋体" w:hAnsi="宋体"/>
                <w:szCs w:val="21"/>
                <w:highlight w:val="none"/>
              </w:rPr>
              <w:t>00</w:t>
            </w:r>
            <w:r>
              <w:rPr>
                <w:rFonts w:hint="eastAsia" w:ascii="宋体" w:hAnsi="宋体"/>
                <w:szCs w:val="21"/>
                <w:highlight w:val="none"/>
              </w:rPr>
              <w:t>mm，直径≥</w:t>
            </w:r>
            <w:r>
              <w:rPr>
                <w:rFonts w:ascii="宋体" w:hAnsi="宋体"/>
                <w:szCs w:val="21"/>
                <w:highlight w:val="none"/>
              </w:rPr>
              <w:t>100</w:t>
            </w:r>
            <w:r>
              <w:rPr>
                <w:rFonts w:hint="eastAsia" w:ascii="宋体" w:hAnsi="宋体"/>
                <w:szCs w:val="21"/>
                <w:highlight w:val="none"/>
              </w:rPr>
              <w:t>mm；</w:t>
            </w:r>
          </w:p>
          <w:p w14:paraId="6E71C623">
            <w:pPr>
              <w:rPr>
                <w:rFonts w:ascii="宋体" w:hAnsi="宋体"/>
                <w:szCs w:val="21"/>
                <w:highlight w:val="none"/>
              </w:rPr>
            </w:pPr>
            <w:r>
              <w:rPr>
                <w:rFonts w:hint="eastAsia" w:ascii="宋体" w:hAnsi="宋体"/>
                <w:szCs w:val="21"/>
                <w:highlight w:val="none"/>
              </w:rPr>
              <w:t>3）基础采用不低于四脚螺栓以上固定，且标号不低于C</w:t>
            </w:r>
            <w:r>
              <w:rPr>
                <w:rFonts w:ascii="宋体" w:hAnsi="宋体"/>
                <w:szCs w:val="21"/>
                <w:highlight w:val="none"/>
              </w:rPr>
              <w:t>25</w:t>
            </w:r>
          </w:p>
        </w:tc>
        <w:tc>
          <w:tcPr>
            <w:tcW w:w="770" w:type="pct"/>
            <w:vAlign w:val="center"/>
          </w:tcPr>
          <w:p w14:paraId="4BCBFCA5">
            <w:pPr>
              <w:jc w:val="center"/>
              <w:rPr>
                <w:sz w:val="20"/>
                <w:highlight w:val="none"/>
              </w:rPr>
            </w:pPr>
            <w:r>
              <w:rPr>
                <w:rFonts w:hint="eastAsia"/>
                <w:sz w:val="20"/>
                <w:highlight w:val="none"/>
              </w:rPr>
              <w:t>6套</w:t>
            </w:r>
          </w:p>
        </w:tc>
      </w:tr>
      <w:tr w14:paraId="16539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323C1688">
            <w:pPr>
              <w:jc w:val="center"/>
              <w:rPr>
                <w:rFonts w:ascii="宋体" w:hAnsi="宋体" w:cs="宋体"/>
                <w:szCs w:val="21"/>
                <w:highlight w:val="none"/>
              </w:rPr>
            </w:pPr>
          </w:p>
        </w:tc>
        <w:tc>
          <w:tcPr>
            <w:tcW w:w="527" w:type="pct"/>
            <w:vAlign w:val="center"/>
          </w:tcPr>
          <w:p w14:paraId="74C6FBF1">
            <w:pPr>
              <w:rPr>
                <w:rFonts w:ascii="宋体" w:hAnsi="宋体"/>
                <w:szCs w:val="21"/>
                <w:highlight w:val="none"/>
              </w:rPr>
            </w:pPr>
            <w:r>
              <w:rPr>
                <w:rFonts w:hint="eastAsia" w:ascii="宋体" w:hAnsi="宋体" w:cs="宋体"/>
                <w:kern w:val="0"/>
                <w:sz w:val="24"/>
                <w:highlight w:val="none"/>
              </w:rPr>
              <w:t>★</w:t>
            </w:r>
            <w:r>
              <w:rPr>
                <w:rFonts w:hint="eastAsia" w:ascii="宋体" w:hAnsi="宋体"/>
                <w:szCs w:val="21"/>
                <w:highlight w:val="none"/>
              </w:rPr>
              <w:t>安装维护</w:t>
            </w:r>
          </w:p>
        </w:tc>
        <w:tc>
          <w:tcPr>
            <w:tcW w:w="3273" w:type="pct"/>
            <w:vAlign w:val="center"/>
          </w:tcPr>
          <w:p w14:paraId="1A8FEB78">
            <w:pPr>
              <w:rPr>
                <w:rFonts w:ascii="宋体" w:hAnsi="宋体"/>
                <w:szCs w:val="21"/>
                <w:highlight w:val="none"/>
              </w:rPr>
            </w:pPr>
            <w:r>
              <w:rPr>
                <w:rFonts w:hint="eastAsia" w:ascii="宋体" w:hAnsi="宋体"/>
                <w:szCs w:val="21"/>
                <w:highlight w:val="none"/>
              </w:rPr>
              <w:t>1）日常设备清理维护；</w:t>
            </w:r>
          </w:p>
          <w:p w14:paraId="1D3CC854">
            <w:pPr>
              <w:rPr>
                <w:rFonts w:ascii="宋体" w:hAnsi="宋体"/>
                <w:szCs w:val="21"/>
                <w:highlight w:val="none"/>
              </w:rPr>
            </w:pPr>
            <w:r>
              <w:rPr>
                <w:rFonts w:hint="eastAsia" w:ascii="宋体" w:hAnsi="宋体"/>
                <w:szCs w:val="21"/>
                <w:highlight w:val="none"/>
              </w:rPr>
              <w:t>2）气象传感器的校准；</w:t>
            </w:r>
          </w:p>
          <w:p w14:paraId="53BAE730">
            <w:pPr>
              <w:rPr>
                <w:rFonts w:ascii="宋体" w:hAnsi="宋体"/>
                <w:szCs w:val="21"/>
                <w:highlight w:val="none"/>
              </w:rPr>
            </w:pPr>
            <w:r>
              <w:rPr>
                <w:rFonts w:hint="eastAsia" w:ascii="宋体" w:hAnsi="宋体"/>
                <w:szCs w:val="21"/>
                <w:highlight w:val="none"/>
              </w:rPr>
              <w:t>3）网络的日常维护；</w:t>
            </w:r>
          </w:p>
          <w:p w14:paraId="3CE6E65A">
            <w:pPr>
              <w:rPr>
                <w:rFonts w:ascii="宋体" w:hAnsi="宋体"/>
                <w:szCs w:val="21"/>
                <w:highlight w:val="none"/>
              </w:rPr>
            </w:pPr>
            <w:r>
              <w:rPr>
                <w:rFonts w:hint="eastAsia" w:ascii="宋体" w:hAnsi="宋体"/>
                <w:szCs w:val="21"/>
                <w:highlight w:val="none"/>
              </w:rPr>
              <w:t>4）设备的现场组装及调试。</w:t>
            </w:r>
          </w:p>
        </w:tc>
        <w:tc>
          <w:tcPr>
            <w:tcW w:w="770" w:type="pct"/>
            <w:vAlign w:val="center"/>
          </w:tcPr>
          <w:p w14:paraId="0BFB57A0">
            <w:pPr>
              <w:jc w:val="center"/>
              <w:rPr>
                <w:sz w:val="20"/>
                <w:highlight w:val="none"/>
              </w:rPr>
            </w:pPr>
            <w:r>
              <w:rPr>
                <w:rFonts w:hint="eastAsia"/>
                <w:sz w:val="20"/>
                <w:highlight w:val="none"/>
              </w:rPr>
              <w:t>5年</w:t>
            </w:r>
          </w:p>
        </w:tc>
      </w:tr>
    </w:tbl>
    <w:p w14:paraId="66E8AE24">
      <w:pPr>
        <w:snapToGrid w:val="0"/>
        <w:spacing w:line="360" w:lineRule="auto"/>
        <w:rPr>
          <w:bCs/>
          <w:sz w:val="28"/>
          <w:szCs w:val="28"/>
          <w:highlight w:val="none"/>
        </w:rPr>
      </w:pPr>
      <w:r>
        <w:rPr>
          <w:rFonts w:hint="eastAsia" w:ascii="宋体" w:hAnsi="宋体"/>
          <w:color w:val="000000"/>
          <w:sz w:val="24"/>
          <w:highlight w:val="none"/>
        </w:rPr>
        <w:t>注：括号内数据为团山数据。</w:t>
      </w:r>
    </w:p>
    <w:p w14:paraId="1BC72820">
      <w:pPr>
        <w:pStyle w:val="4"/>
        <w:keepNext w:val="0"/>
        <w:keepLines w:val="0"/>
        <w:adjustRightInd w:val="0"/>
        <w:snapToGrid w:val="0"/>
        <w:textAlignment w:val="baseline"/>
        <w:rPr>
          <w:rFonts w:ascii="Times New Roman"/>
          <w:bCs w:val="0"/>
          <w:sz w:val="28"/>
          <w:szCs w:val="28"/>
          <w:highlight w:val="none"/>
        </w:rPr>
      </w:pPr>
      <w:bookmarkStart w:id="101" w:name="_Toc20086"/>
      <w:bookmarkStart w:id="102" w:name="_Toc2016"/>
      <w:r>
        <w:rPr>
          <w:rFonts w:hint="eastAsia" w:ascii="Times New Roman"/>
          <w:bCs w:val="0"/>
          <w:sz w:val="28"/>
          <w:szCs w:val="28"/>
          <w:highlight w:val="none"/>
        </w:rPr>
        <w:t>2.民兴河口长效能力建设</w:t>
      </w:r>
      <w:bookmarkEnd w:id="101"/>
      <w:bookmarkEnd w:id="102"/>
    </w:p>
    <w:tbl>
      <w:tblPr>
        <w:tblStyle w:val="52"/>
        <w:tblW w:w="8998" w:type="dxa"/>
        <w:tblInd w:w="6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41"/>
        <w:gridCol w:w="4668"/>
        <w:gridCol w:w="1520"/>
        <w:gridCol w:w="1669"/>
      </w:tblGrid>
      <w:tr w14:paraId="42EEB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1" w:hRule="atLeast"/>
        </w:trPr>
        <w:tc>
          <w:tcPr>
            <w:tcW w:w="1141" w:type="dxa"/>
            <w:vAlign w:val="center"/>
          </w:tcPr>
          <w:p w14:paraId="2F7738C0">
            <w:pPr>
              <w:pStyle w:val="53"/>
              <w:spacing w:before="61" w:line="231" w:lineRule="auto"/>
              <w:jc w:val="center"/>
              <w:rPr>
                <w:sz w:val="24"/>
                <w:szCs w:val="24"/>
                <w:highlight w:val="none"/>
              </w:rPr>
            </w:pPr>
            <w:r>
              <w:rPr>
                <w:b/>
                <w:bCs/>
                <w:spacing w:val="5"/>
                <w:sz w:val="24"/>
                <w:szCs w:val="24"/>
                <w:highlight w:val="none"/>
              </w:rPr>
              <w:t>序号</w:t>
            </w:r>
          </w:p>
        </w:tc>
        <w:tc>
          <w:tcPr>
            <w:tcW w:w="4668" w:type="dxa"/>
            <w:vAlign w:val="center"/>
          </w:tcPr>
          <w:p w14:paraId="287DA052">
            <w:pPr>
              <w:pStyle w:val="53"/>
              <w:spacing w:before="62" w:line="231" w:lineRule="auto"/>
              <w:jc w:val="center"/>
              <w:rPr>
                <w:sz w:val="24"/>
                <w:szCs w:val="24"/>
                <w:highlight w:val="none"/>
              </w:rPr>
            </w:pPr>
            <w:r>
              <w:rPr>
                <w:rFonts w:hint="eastAsia"/>
                <w:b/>
                <w:bCs/>
                <w:spacing w:val="6"/>
                <w:sz w:val="24"/>
                <w:szCs w:val="24"/>
                <w:highlight w:val="none"/>
                <w:lang w:eastAsia="zh-CN"/>
              </w:rPr>
              <w:t>货物名称</w:t>
            </w:r>
          </w:p>
        </w:tc>
        <w:tc>
          <w:tcPr>
            <w:tcW w:w="1520" w:type="dxa"/>
            <w:vAlign w:val="center"/>
          </w:tcPr>
          <w:p w14:paraId="356A0B0F">
            <w:pPr>
              <w:pStyle w:val="53"/>
              <w:spacing w:before="62" w:line="231" w:lineRule="auto"/>
              <w:jc w:val="center"/>
              <w:rPr>
                <w:sz w:val="24"/>
                <w:szCs w:val="24"/>
                <w:highlight w:val="none"/>
              </w:rPr>
            </w:pPr>
            <w:r>
              <w:rPr>
                <w:b/>
                <w:bCs/>
                <w:spacing w:val="4"/>
                <w:sz w:val="24"/>
                <w:szCs w:val="24"/>
                <w:highlight w:val="none"/>
              </w:rPr>
              <w:t>单位</w:t>
            </w:r>
          </w:p>
        </w:tc>
        <w:tc>
          <w:tcPr>
            <w:tcW w:w="1669" w:type="dxa"/>
            <w:vAlign w:val="center"/>
          </w:tcPr>
          <w:p w14:paraId="07D44324">
            <w:pPr>
              <w:pStyle w:val="53"/>
              <w:spacing w:before="62" w:line="231" w:lineRule="auto"/>
              <w:jc w:val="center"/>
              <w:rPr>
                <w:sz w:val="24"/>
                <w:szCs w:val="24"/>
                <w:highlight w:val="none"/>
              </w:rPr>
            </w:pPr>
            <w:r>
              <w:rPr>
                <w:rFonts w:hint="eastAsia"/>
                <w:b/>
                <w:bCs/>
                <w:spacing w:val="6"/>
                <w:sz w:val="24"/>
                <w:szCs w:val="24"/>
                <w:highlight w:val="none"/>
                <w:lang w:eastAsia="zh-CN"/>
              </w:rPr>
              <w:t>数</w:t>
            </w:r>
            <w:r>
              <w:rPr>
                <w:b/>
                <w:bCs/>
                <w:spacing w:val="6"/>
                <w:sz w:val="24"/>
                <w:szCs w:val="24"/>
                <w:highlight w:val="none"/>
              </w:rPr>
              <w:t>量</w:t>
            </w:r>
          </w:p>
        </w:tc>
      </w:tr>
      <w:tr w14:paraId="245A6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4" w:hRule="atLeast"/>
        </w:trPr>
        <w:tc>
          <w:tcPr>
            <w:tcW w:w="1141" w:type="dxa"/>
            <w:vAlign w:val="center"/>
          </w:tcPr>
          <w:p w14:paraId="6F414CA1">
            <w:pPr>
              <w:pStyle w:val="53"/>
              <w:spacing w:before="160" w:line="188" w:lineRule="auto"/>
              <w:jc w:val="center"/>
              <w:rPr>
                <w:sz w:val="24"/>
                <w:szCs w:val="24"/>
                <w:highlight w:val="none"/>
                <w:lang w:eastAsia="zh-CN"/>
              </w:rPr>
            </w:pPr>
            <w:r>
              <w:rPr>
                <w:rFonts w:hint="eastAsia"/>
                <w:sz w:val="24"/>
                <w:szCs w:val="24"/>
                <w:highlight w:val="none"/>
                <w:lang w:eastAsia="zh-CN"/>
              </w:rPr>
              <w:t>1</w:t>
            </w:r>
          </w:p>
        </w:tc>
        <w:tc>
          <w:tcPr>
            <w:tcW w:w="4668" w:type="dxa"/>
            <w:vAlign w:val="center"/>
          </w:tcPr>
          <w:p w14:paraId="7C4D2BFF">
            <w:pPr>
              <w:pStyle w:val="53"/>
              <w:spacing w:before="127" w:line="230" w:lineRule="auto"/>
              <w:jc w:val="center"/>
              <w:rPr>
                <w:sz w:val="24"/>
                <w:szCs w:val="24"/>
                <w:highlight w:val="none"/>
              </w:rPr>
            </w:pPr>
            <w:r>
              <w:rPr>
                <w:spacing w:val="9"/>
                <w:sz w:val="24"/>
                <w:szCs w:val="24"/>
                <w:highlight w:val="none"/>
              </w:rPr>
              <w:t>岸基水动力监测系统</w:t>
            </w:r>
          </w:p>
        </w:tc>
        <w:tc>
          <w:tcPr>
            <w:tcW w:w="1520" w:type="dxa"/>
            <w:vAlign w:val="center"/>
          </w:tcPr>
          <w:p w14:paraId="7B85F6E2">
            <w:pPr>
              <w:pStyle w:val="53"/>
              <w:spacing w:before="127" w:line="231" w:lineRule="auto"/>
              <w:jc w:val="center"/>
              <w:rPr>
                <w:sz w:val="24"/>
                <w:szCs w:val="24"/>
                <w:highlight w:val="none"/>
              </w:rPr>
            </w:pPr>
            <w:r>
              <w:rPr>
                <w:spacing w:val="1"/>
                <w:sz w:val="24"/>
                <w:szCs w:val="24"/>
                <w:highlight w:val="none"/>
              </w:rPr>
              <w:t>套</w:t>
            </w:r>
          </w:p>
        </w:tc>
        <w:tc>
          <w:tcPr>
            <w:tcW w:w="1669" w:type="dxa"/>
            <w:vAlign w:val="center"/>
          </w:tcPr>
          <w:p w14:paraId="7E21DE2D">
            <w:pPr>
              <w:pStyle w:val="53"/>
              <w:spacing w:before="158" w:line="190" w:lineRule="auto"/>
              <w:jc w:val="center"/>
              <w:rPr>
                <w:sz w:val="24"/>
                <w:szCs w:val="24"/>
                <w:highlight w:val="none"/>
              </w:rPr>
            </w:pPr>
            <w:r>
              <w:rPr>
                <w:sz w:val="24"/>
                <w:szCs w:val="24"/>
                <w:highlight w:val="none"/>
              </w:rPr>
              <w:t>1</w:t>
            </w:r>
          </w:p>
        </w:tc>
      </w:tr>
    </w:tbl>
    <w:p w14:paraId="6C88760B">
      <w:pPr>
        <w:snapToGrid w:val="0"/>
        <w:spacing w:line="360" w:lineRule="auto"/>
        <w:ind w:left="735" w:leftChars="350" w:firstLine="504" w:firstLineChars="200"/>
        <w:rPr>
          <w:rFonts w:ascii="宋体" w:hAnsi="宋体"/>
          <w:snapToGrid w:val="0"/>
          <w:spacing w:val="6"/>
          <w:kern w:val="0"/>
          <w:sz w:val="24"/>
          <w:szCs w:val="24"/>
          <w:highlight w:val="none"/>
        </w:rPr>
      </w:pPr>
    </w:p>
    <w:p w14:paraId="04EE4DB7">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民兴河口的生态修复工程主要涉及清淤疏浚，以改善河口的水动力条件，且清淤区域主要位于现有的入海河道深槽内，受护岸及浅滩限制，未改变原有的深槽形态。因此，修复后主要关注深槽内的水体流动情况，布置岸基水动力监测系统，获得修复后的连续河流水文数据，分析修复效果的长效性。</w:t>
      </w:r>
    </w:p>
    <w:p w14:paraId="0BDC0937">
      <w:pPr>
        <w:adjustRightInd w:val="0"/>
        <w:snapToGrid w:val="0"/>
        <w:spacing w:line="360" w:lineRule="auto"/>
        <w:ind w:left="723" w:hanging="723" w:hangingChars="300"/>
        <w:outlineLvl w:val="2"/>
        <w:rPr>
          <w:rFonts w:ascii="宋体" w:hAnsi="宋体"/>
          <w:b/>
          <w:bCs/>
          <w:sz w:val="24"/>
          <w:szCs w:val="24"/>
          <w:highlight w:val="none"/>
        </w:rPr>
      </w:pPr>
      <w:bookmarkStart w:id="103" w:name="_Toc27648"/>
      <w:bookmarkStart w:id="104" w:name="_Toc10868"/>
      <w:r>
        <w:rPr>
          <w:rFonts w:hint="eastAsia" w:ascii="宋体" w:hAnsi="宋体"/>
          <w:b/>
          <w:bCs/>
          <w:sz w:val="24"/>
          <w:szCs w:val="24"/>
          <w:highlight w:val="none"/>
        </w:rPr>
        <w:t>（一）</w:t>
      </w:r>
      <w:r>
        <w:rPr>
          <w:rFonts w:hint="eastAsia" w:ascii="宋体" w:hAnsi="宋体"/>
          <w:b/>
          <w:bCs/>
          <w:sz w:val="24"/>
          <w:highlight w:val="none"/>
        </w:rPr>
        <w:t>岸基水动力监测系统</w:t>
      </w:r>
      <w:bookmarkEnd w:id="103"/>
      <w:bookmarkEnd w:id="104"/>
    </w:p>
    <w:p w14:paraId="58CDDD9F">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针对民兴河口的入海深槽，拟在清淤区域中部河口浅滩附近布置一套岸基水动力监测系统，采用非接触式的雷达观测，获得表面流速及水位过程，进而统计河口流量等数据。岸基水动力监测系统为连续、在线监测，并通过网络传输至预测预警平台，通过长期的观测数据，分析河口水动力恢复的长期性。</w:t>
      </w:r>
    </w:p>
    <w:p w14:paraId="04BD0E32">
      <w:pPr>
        <w:pStyle w:val="4"/>
        <w:keepNext w:val="0"/>
        <w:keepLines w:val="0"/>
        <w:adjustRightInd w:val="0"/>
        <w:snapToGrid w:val="0"/>
        <w:textAlignment w:val="baseline"/>
        <w:rPr>
          <w:rFonts w:ascii="Times New Roman"/>
          <w:bCs w:val="0"/>
          <w:sz w:val="28"/>
          <w:szCs w:val="28"/>
          <w:highlight w:val="none"/>
        </w:rPr>
      </w:pPr>
      <w:bookmarkStart w:id="105" w:name="_Toc29125"/>
      <w:bookmarkStart w:id="106" w:name="_Toc29802"/>
      <w:r>
        <w:rPr>
          <w:rFonts w:hint="eastAsia" w:ascii="Times New Roman"/>
          <w:bCs w:val="0"/>
          <w:sz w:val="28"/>
          <w:szCs w:val="28"/>
          <w:highlight w:val="none"/>
        </w:rPr>
        <w:t>3.团山长效能力建设</w:t>
      </w:r>
      <w:bookmarkEnd w:id="105"/>
      <w:bookmarkEnd w:id="106"/>
    </w:p>
    <w:tbl>
      <w:tblPr>
        <w:tblStyle w:val="52"/>
        <w:tblW w:w="8698" w:type="dxa"/>
        <w:tblInd w:w="6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4512"/>
        <w:gridCol w:w="1470"/>
        <w:gridCol w:w="1613"/>
      </w:tblGrid>
      <w:tr w14:paraId="1053C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103" w:type="dxa"/>
            <w:vAlign w:val="center"/>
          </w:tcPr>
          <w:p w14:paraId="588A0B8C">
            <w:pPr>
              <w:pStyle w:val="53"/>
              <w:spacing w:before="61" w:line="231" w:lineRule="auto"/>
              <w:jc w:val="center"/>
              <w:rPr>
                <w:sz w:val="24"/>
                <w:szCs w:val="24"/>
                <w:highlight w:val="none"/>
              </w:rPr>
            </w:pPr>
            <w:r>
              <w:rPr>
                <w:b/>
                <w:bCs/>
                <w:spacing w:val="5"/>
                <w:sz w:val="24"/>
                <w:szCs w:val="24"/>
                <w:highlight w:val="none"/>
              </w:rPr>
              <w:t>序号</w:t>
            </w:r>
          </w:p>
        </w:tc>
        <w:tc>
          <w:tcPr>
            <w:tcW w:w="4512" w:type="dxa"/>
            <w:vAlign w:val="center"/>
          </w:tcPr>
          <w:p w14:paraId="093B43A5">
            <w:pPr>
              <w:pStyle w:val="53"/>
              <w:spacing w:before="62" w:line="231" w:lineRule="auto"/>
              <w:jc w:val="center"/>
              <w:rPr>
                <w:sz w:val="24"/>
                <w:szCs w:val="24"/>
                <w:highlight w:val="none"/>
              </w:rPr>
            </w:pPr>
            <w:r>
              <w:rPr>
                <w:rFonts w:hint="eastAsia"/>
                <w:b/>
                <w:bCs/>
                <w:sz w:val="24"/>
                <w:szCs w:val="24"/>
                <w:highlight w:val="none"/>
              </w:rPr>
              <w:t>货物名称</w:t>
            </w:r>
          </w:p>
        </w:tc>
        <w:tc>
          <w:tcPr>
            <w:tcW w:w="1470" w:type="dxa"/>
            <w:vAlign w:val="center"/>
          </w:tcPr>
          <w:p w14:paraId="2D9CEE0B">
            <w:pPr>
              <w:pStyle w:val="53"/>
              <w:spacing w:before="62" w:line="231" w:lineRule="auto"/>
              <w:jc w:val="center"/>
              <w:rPr>
                <w:sz w:val="24"/>
                <w:szCs w:val="24"/>
                <w:highlight w:val="none"/>
              </w:rPr>
            </w:pPr>
            <w:r>
              <w:rPr>
                <w:b/>
                <w:bCs/>
                <w:spacing w:val="4"/>
                <w:sz w:val="24"/>
                <w:szCs w:val="24"/>
                <w:highlight w:val="none"/>
              </w:rPr>
              <w:t>单位</w:t>
            </w:r>
          </w:p>
        </w:tc>
        <w:tc>
          <w:tcPr>
            <w:tcW w:w="1613" w:type="dxa"/>
            <w:vAlign w:val="center"/>
          </w:tcPr>
          <w:p w14:paraId="619ED502">
            <w:pPr>
              <w:pStyle w:val="53"/>
              <w:spacing w:before="62" w:line="231" w:lineRule="auto"/>
              <w:jc w:val="center"/>
              <w:rPr>
                <w:sz w:val="24"/>
                <w:szCs w:val="24"/>
                <w:highlight w:val="none"/>
                <w:lang w:eastAsia="zh-CN"/>
              </w:rPr>
            </w:pPr>
            <w:r>
              <w:rPr>
                <w:rFonts w:hint="eastAsia"/>
                <w:b/>
                <w:bCs/>
                <w:spacing w:val="6"/>
                <w:sz w:val="24"/>
                <w:szCs w:val="24"/>
                <w:highlight w:val="none"/>
                <w:lang w:eastAsia="zh-CN"/>
              </w:rPr>
              <w:t>数量</w:t>
            </w:r>
          </w:p>
        </w:tc>
      </w:tr>
      <w:tr w14:paraId="6F170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1" w:hRule="atLeast"/>
        </w:trPr>
        <w:tc>
          <w:tcPr>
            <w:tcW w:w="1103" w:type="dxa"/>
            <w:vAlign w:val="center"/>
          </w:tcPr>
          <w:p w14:paraId="35CC505E">
            <w:pPr>
              <w:pStyle w:val="53"/>
              <w:spacing w:before="167" w:line="190" w:lineRule="auto"/>
              <w:jc w:val="center"/>
              <w:rPr>
                <w:sz w:val="24"/>
                <w:szCs w:val="24"/>
                <w:highlight w:val="none"/>
                <w:lang w:eastAsia="zh-CN"/>
              </w:rPr>
            </w:pPr>
            <w:r>
              <w:rPr>
                <w:rFonts w:hint="eastAsia"/>
                <w:sz w:val="24"/>
                <w:szCs w:val="24"/>
                <w:highlight w:val="none"/>
                <w:lang w:eastAsia="zh-CN"/>
              </w:rPr>
              <w:t>1</w:t>
            </w:r>
          </w:p>
        </w:tc>
        <w:tc>
          <w:tcPr>
            <w:tcW w:w="4512" w:type="dxa"/>
            <w:vAlign w:val="center"/>
          </w:tcPr>
          <w:p w14:paraId="01E888CE">
            <w:pPr>
              <w:pStyle w:val="53"/>
              <w:spacing w:before="135" w:line="230" w:lineRule="auto"/>
              <w:jc w:val="center"/>
              <w:rPr>
                <w:sz w:val="24"/>
                <w:szCs w:val="24"/>
                <w:highlight w:val="none"/>
              </w:rPr>
            </w:pPr>
            <w:r>
              <w:rPr>
                <w:spacing w:val="9"/>
                <w:sz w:val="24"/>
                <w:szCs w:val="24"/>
                <w:highlight w:val="none"/>
              </w:rPr>
              <w:t>海基水动力监测系统</w:t>
            </w:r>
          </w:p>
        </w:tc>
        <w:tc>
          <w:tcPr>
            <w:tcW w:w="1470" w:type="dxa"/>
            <w:vAlign w:val="center"/>
          </w:tcPr>
          <w:p w14:paraId="1D106971">
            <w:pPr>
              <w:pStyle w:val="53"/>
              <w:spacing w:before="135" w:line="231" w:lineRule="auto"/>
              <w:jc w:val="center"/>
              <w:rPr>
                <w:sz w:val="24"/>
                <w:szCs w:val="24"/>
                <w:highlight w:val="none"/>
              </w:rPr>
            </w:pPr>
            <w:r>
              <w:rPr>
                <w:spacing w:val="1"/>
                <w:sz w:val="24"/>
                <w:szCs w:val="24"/>
                <w:highlight w:val="none"/>
              </w:rPr>
              <w:t>套</w:t>
            </w:r>
          </w:p>
        </w:tc>
        <w:tc>
          <w:tcPr>
            <w:tcW w:w="1613" w:type="dxa"/>
            <w:vAlign w:val="center"/>
          </w:tcPr>
          <w:p w14:paraId="6B8F0099">
            <w:pPr>
              <w:pStyle w:val="53"/>
              <w:spacing w:before="166" w:line="190" w:lineRule="auto"/>
              <w:jc w:val="center"/>
              <w:rPr>
                <w:sz w:val="24"/>
                <w:szCs w:val="24"/>
                <w:highlight w:val="none"/>
              </w:rPr>
            </w:pPr>
            <w:r>
              <w:rPr>
                <w:sz w:val="24"/>
                <w:szCs w:val="24"/>
                <w:highlight w:val="none"/>
              </w:rPr>
              <w:t>1</w:t>
            </w:r>
          </w:p>
        </w:tc>
      </w:tr>
      <w:tr w14:paraId="48194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1103" w:type="dxa"/>
            <w:vAlign w:val="center"/>
          </w:tcPr>
          <w:p w14:paraId="7F028C8E">
            <w:pPr>
              <w:pStyle w:val="53"/>
              <w:spacing w:before="162" w:line="188" w:lineRule="auto"/>
              <w:jc w:val="center"/>
              <w:rPr>
                <w:sz w:val="24"/>
                <w:szCs w:val="24"/>
                <w:highlight w:val="none"/>
                <w:lang w:eastAsia="zh-CN"/>
              </w:rPr>
            </w:pPr>
            <w:r>
              <w:rPr>
                <w:rFonts w:hint="eastAsia"/>
                <w:sz w:val="24"/>
                <w:szCs w:val="24"/>
                <w:highlight w:val="none"/>
                <w:lang w:eastAsia="zh-CN"/>
              </w:rPr>
              <w:t>2</w:t>
            </w:r>
          </w:p>
        </w:tc>
        <w:tc>
          <w:tcPr>
            <w:tcW w:w="4512" w:type="dxa"/>
            <w:vAlign w:val="center"/>
          </w:tcPr>
          <w:p w14:paraId="3041C25E">
            <w:pPr>
              <w:pStyle w:val="53"/>
              <w:spacing w:before="128" w:line="231" w:lineRule="auto"/>
              <w:jc w:val="center"/>
              <w:rPr>
                <w:sz w:val="24"/>
                <w:szCs w:val="24"/>
                <w:highlight w:val="none"/>
              </w:rPr>
            </w:pPr>
            <w:r>
              <w:rPr>
                <w:spacing w:val="8"/>
                <w:sz w:val="24"/>
                <w:szCs w:val="24"/>
                <w:highlight w:val="none"/>
              </w:rPr>
              <w:t>沙滩视频观测系统</w:t>
            </w:r>
          </w:p>
        </w:tc>
        <w:tc>
          <w:tcPr>
            <w:tcW w:w="1470" w:type="dxa"/>
            <w:vAlign w:val="center"/>
          </w:tcPr>
          <w:p w14:paraId="23D5A8AE">
            <w:pPr>
              <w:pStyle w:val="53"/>
              <w:spacing w:before="128" w:line="231" w:lineRule="auto"/>
              <w:jc w:val="center"/>
              <w:rPr>
                <w:sz w:val="24"/>
                <w:szCs w:val="24"/>
                <w:highlight w:val="none"/>
              </w:rPr>
            </w:pPr>
            <w:r>
              <w:rPr>
                <w:spacing w:val="1"/>
                <w:sz w:val="24"/>
                <w:szCs w:val="24"/>
                <w:highlight w:val="none"/>
              </w:rPr>
              <w:t>套</w:t>
            </w:r>
          </w:p>
        </w:tc>
        <w:tc>
          <w:tcPr>
            <w:tcW w:w="1613" w:type="dxa"/>
            <w:vAlign w:val="center"/>
          </w:tcPr>
          <w:p w14:paraId="3571D0EB">
            <w:pPr>
              <w:pStyle w:val="53"/>
              <w:spacing w:before="160" w:line="190" w:lineRule="auto"/>
              <w:jc w:val="center"/>
              <w:rPr>
                <w:sz w:val="24"/>
                <w:szCs w:val="24"/>
                <w:highlight w:val="none"/>
              </w:rPr>
            </w:pPr>
            <w:r>
              <w:rPr>
                <w:sz w:val="24"/>
                <w:szCs w:val="24"/>
                <w:highlight w:val="none"/>
              </w:rPr>
              <w:t>1</w:t>
            </w:r>
          </w:p>
        </w:tc>
      </w:tr>
      <w:tr w14:paraId="730B3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103" w:type="dxa"/>
            <w:vAlign w:val="center"/>
          </w:tcPr>
          <w:p w14:paraId="390221D7">
            <w:pPr>
              <w:pStyle w:val="53"/>
              <w:spacing w:before="161" w:line="190" w:lineRule="auto"/>
              <w:jc w:val="center"/>
              <w:rPr>
                <w:sz w:val="24"/>
                <w:szCs w:val="24"/>
                <w:highlight w:val="none"/>
                <w:lang w:eastAsia="zh-CN"/>
              </w:rPr>
            </w:pPr>
            <w:r>
              <w:rPr>
                <w:rFonts w:hint="eastAsia"/>
                <w:sz w:val="24"/>
                <w:szCs w:val="24"/>
                <w:highlight w:val="none"/>
                <w:lang w:eastAsia="zh-CN"/>
              </w:rPr>
              <w:t>3</w:t>
            </w:r>
          </w:p>
        </w:tc>
        <w:tc>
          <w:tcPr>
            <w:tcW w:w="4512" w:type="dxa"/>
            <w:vAlign w:val="center"/>
          </w:tcPr>
          <w:p w14:paraId="79248B18">
            <w:pPr>
              <w:pStyle w:val="53"/>
              <w:spacing w:before="130" w:line="230" w:lineRule="auto"/>
              <w:jc w:val="center"/>
              <w:rPr>
                <w:sz w:val="24"/>
                <w:szCs w:val="24"/>
                <w:highlight w:val="none"/>
              </w:rPr>
            </w:pPr>
            <w:r>
              <w:rPr>
                <w:spacing w:val="8"/>
                <w:sz w:val="24"/>
                <w:szCs w:val="24"/>
                <w:highlight w:val="none"/>
              </w:rPr>
              <w:t>生态数字影像站</w:t>
            </w:r>
          </w:p>
        </w:tc>
        <w:tc>
          <w:tcPr>
            <w:tcW w:w="1470" w:type="dxa"/>
            <w:vAlign w:val="center"/>
          </w:tcPr>
          <w:p w14:paraId="657F336F">
            <w:pPr>
              <w:pStyle w:val="53"/>
              <w:spacing w:before="129" w:line="231" w:lineRule="auto"/>
              <w:jc w:val="center"/>
              <w:rPr>
                <w:sz w:val="24"/>
                <w:szCs w:val="24"/>
                <w:highlight w:val="none"/>
              </w:rPr>
            </w:pPr>
            <w:r>
              <w:rPr>
                <w:spacing w:val="1"/>
                <w:sz w:val="24"/>
                <w:szCs w:val="24"/>
                <w:highlight w:val="none"/>
              </w:rPr>
              <w:t>套</w:t>
            </w:r>
          </w:p>
        </w:tc>
        <w:tc>
          <w:tcPr>
            <w:tcW w:w="1613" w:type="dxa"/>
            <w:vAlign w:val="center"/>
          </w:tcPr>
          <w:p w14:paraId="20C8D4D1">
            <w:pPr>
              <w:pStyle w:val="53"/>
              <w:spacing w:before="161" w:line="190" w:lineRule="auto"/>
              <w:jc w:val="center"/>
              <w:rPr>
                <w:sz w:val="24"/>
                <w:szCs w:val="24"/>
                <w:highlight w:val="none"/>
              </w:rPr>
            </w:pPr>
            <w:r>
              <w:rPr>
                <w:sz w:val="24"/>
                <w:szCs w:val="24"/>
                <w:highlight w:val="none"/>
              </w:rPr>
              <w:t>2</w:t>
            </w:r>
          </w:p>
        </w:tc>
      </w:tr>
    </w:tbl>
    <w:p w14:paraId="11717279">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团山生态修复主要采用人工补沙措施，拓宽了现有沙滩的宽度，提高了沙滩亲海空间，同时开展了沙生植被及防护林的建设，为评估团山沙滩生态修复的长效性，拟开展水动力监测、沙滩地形地貌监测及植被生长监测工作，其中水动力监测主要搭建海基水动力监测系统，开展针对性的水文要素监测；沙滩地形地貌监测拟搭建基于视频图像的海岸带信息的提取与分析系统（Argus系统），获得连续的滩面地形及岸线变化；植被监测则主要布置高清视频监测站，获取植被生长状况，开展实时视频监控，并对人工活动、异常事件等进行识别。</w:t>
      </w:r>
    </w:p>
    <w:p w14:paraId="382A4E03">
      <w:pPr>
        <w:adjustRightInd w:val="0"/>
        <w:snapToGrid w:val="0"/>
        <w:spacing w:line="360" w:lineRule="auto"/>
        <w:ind w:left="723" w:hanging="723" w:hangingChars="300"/>
        <w:outlineLvl w:val="2"/>
        <w:rPr>
          <w:rFonts w:ascii="宋体" w:hAnsi="宋体"/>
          <w:b/>
          <w:bCs/>
          <w:sz w:val="24"/>
          <w:szCs w:val="24"/>
          <w:highlight w:val="none"/>
        </w:rPr>
      </w:pPr>
      <w:bookmarkStart w:id="107" w:name="_Toc11703"/>
      <w:bookmarkStart w:id="108" w:name="_Toc3553"/>
      <w:r>
        <w:rPr>
          <w:rFonts w:hint="eastAsia" w:ascii="宋体" w:hAnsi="宋体"/>
          <w:b/>
          <w:bCs/>
          <w:sz w:val="24"/>
          <w:szCs w:val="24"/>
          <w:highlight w:val="none"/>
        </w:rPr>
        <w:t>（一）</w:t>
      </w:r>
      <w:r>
        <w:rPr>
          <w:rFonts w:hint="eastAsia" w:ascii="宋体" w:hAnsi="宋体"/>
          <w:b/>
          <w:bCs/>
          <w:sz w:val="24"/>
          <w:highlight w:val="none"/>
        </w:rPr>
        <w:t>海基水动力监测系统</w:t>
      </w:r>
      <w:bookmarkEnd w:id="107"/>
      <w:bookmarkEnd w:id="108"/>
    </w:p>
    <w:p w14:paraId="44FB60A3">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海基水动力监测系统主要采用离岸式的海床基，由于波浪是沙滩形态塑造最为显著的动力因素，因此团山外海的海基监测系统主要搭配波浪观测仪器，获取团山海域典型时间段内的水文特征，拟于工程区域波浪较大的夏季及秋季开展海基水动力观测，每次观测在沙滩外布置连续3个月左右时间，计划于项目实施后的管护期内布置，连续布置时间为5年，以保证生态修复效果。</w:t>
      </w:r>
    </w:p>
    <w:p w14:paraId="70641122">
      <w:pPr>
        <w:adjustRightInd w:val="0"/>
        <w:snapToGrid w:val="0"/>
        <w:spacing w:line="360" w:lineRule="auto"/>
        <w:ind w:left="723" w:hanging="723" w:hangingChars="300"/>
        <w:outlineLvl w:val="2"/>
        <w:rPr>
          <w:rFonts w:ascii="宋体" w:hAnsi="宋体"/>
          <w:b/>
          <w:bCs/>
          <w:sz w:val="24"/>
          <w:szCs w:val="24"/>
          <w:highlight w:val="none"/>
        </w:rPr>
      </w:pPr>
      <w:bookmarkStart w:id="109" w:name="_Toc10001"/>
      <w:bookmarkStart w:id="110" w:name="_Toc26596"/>
      <w:r>
        <w:rPr>
          <w:rFonts w:hint="eastAsia" w:ascii="宋体" w:hAnsi="宋体"/>
          <w:b/>
          <w:bCs/>
          <w:sz w:val="24"/>
          <w:szCs w:val="24"/>
          <w:highlight w:val="none"/>
        </w:rPr>
        <w:t>（二）</w:t>
      </w:r>
      <w:r>
        <w:rPr>
          <w:rFonts w:hint="eastAsia" w:ascii="宋体" w:hAnsi="宋体"/>
          <w:b/>
          <w:bCs/>
          <w:sz w:val="24"/>
          <w:highlight w:val="none"/>
        </w:rPr>
        <w:t>沙滩视频观测系统</w:t>
      </w:r>
      <w:bookmarkEnd w:id="109"/>
      <w:bookmarkEnd w:id="110"/>
    </w:p>
    <w:p w14:paraId="3441D7F7">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沙滩地形地貌监测则主要在沙滩区域布置近岸实时实地沙滩视频观测系统（Argus），沙滩观测视频系统是一个基于视频图像的海岸带信息的提取与分析系统，利用设立在岸边一定高度建筑物或支架上高分辨率的数码摄像探头来获取海滩及近海海域的图像，通过对图像进行处理获取海滩与近海海域的定量数据，从而实现对海滩与近海海域的实时在线以及高精度的监测。该系统在海岸管理和工程建设方面获得了较成功的应用，主要功能包括：</w:t>
      </w:r>
    </w:p>
    <w:p w14:paraId="15077963">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（1）定量岸线和海滩宽度的演变，评估潜在的娱乐价值或者风暴作用对地形地貌的影响；</w:t>
      </w:r>
    </w:p>
    <w:p w14:paraId="27C59EE1">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（2）定量滩面沉积物的侵淤量，如评价海岸工程建筑物对地形的影响，调查海滩动力和海滩养护的季节性变化；研究海滩地貌特征的演化；</w:t>
      </w:r>
    </w:p>
    <w:p w14:paraId="14665CB5">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（3）定量内滨水深，评估其安生性；评估海滩养护后的演化效果，甚至应用于军事活动；</w:t>
      </w:r>
    </w:p>
    <w:p w14:paraId="67F4C2B0">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（4）定量波浪上爬高度，以评估海岸建筑物如海堤、护岸、海港防波堤等的稳定性。</w:t>
      </w:r>
    </w:p>
    <w:p w14:paraId="03A198A0">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（5）耦合不同计算模型，利用Argus调查和高分辨率（时间上）信息，定量表达海岸的状态。</w:t>
      </w:r>
    </w:p>
    <w:p w14:paraId="4FF11278">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沙滩观测视频系统主要由图像采集系统和数据存储/传输系统组成。图像采集系统常由4拼接镜头组成，覆盖180°视野范围，根据摄像机安置高度和相机镜头焦距，观测区域的空间范围可以达到 3-6km，同时给出一个平面上的各物理量信息（区别于传统的单点测量手法）；在时间尺度上，Argus系统可以实施从不到一秒到连续数年的观测，甚至更长（区别于只能在指定时间段内进行测量的传统方法）。数据采集的过程是自动化的，其边缘成本几乎为零。</w:t>
      </w:r>
    </w:p>
    <w:p w14:paraId="535B753C">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本工程拟整治沙滩岸线长约1.3km，沙滩形态平直，故在沙滩中部布置沙滩观测视频系统，该系统包括1台全景拼接摄像机，可囊括整体沙滩修复区域。</w:t>
      </w:r>
    </w:p>
    <w:p w14:paraId="3BB1861F">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沙滩观测视频系统主要由以下几部分组成：</w:t>
      </w:r>
    </w:p>
    <w:p w14:paraId="0D06B3CB">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（1）现场视频测站</w:t>
      </w:r>
    </w:p>
    <w:p w14:paraId="24F46DB3">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现场视频测站包括摄像头、视频采集器和现场计算机。根据所观测区域的实际情况，安排所需要的摄像头数量，本工程安装6个摄像头。视频采集器将采集的实时视频信号以JPEG、MPEG的格式压缩保存在现场计算机中。现场计算机布置于拟建监控与监测综合服务站内。</w:t>
      </w:r>
    </w:p>
    <w:p w14:paraId="0FC67E62">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（2）公共或者专用通讯网</w:t>
      </w:r>
    </w:p>
    <w:p w14:paraId="6554EB06">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采集压缩的数据通过有线或者无线网络进行传输，保证稳定持续地发送到中心服务器。本工程拟对其进行通信光缆和视频光缆配套建设，以保证数据及时、快捷传输。</w:t>
      </w:r>
    </w:p>
    <w:p w14:paraId="2F39C413">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本工程通信线缆主要采用排管经通信井埋地方式敷设，局部穿管埋地敷设。埋深不小于0.8m。排管采用混凝土包封玻璃钢管，内含通信子管。局部穿管管材选用热镀锌厚壁钢管，通信子管采用PE碳素波纹管。</w:t>
      </w:r>
    </w:p>
    <w:p w14:paraId="0E6CC7ED">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（3）云中心服务器系统</w:t>
      </w:r>
    </w:p>
    <w:p w14:paraId="4CBD2560">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云中心服务系统负责接收从观测站传送过来的数据，并对数据进行显示、存储、检索、回放、备份、恢复等管理，对数据进一步分析处理，还能远程遥控摄像头进行调节。同时中心服务器还负责用户登录管理，使得用户能在权限范围内操作，共享数据。</w:t>
      </w:r>
    </w:p>
    <w:p w14:paraId="054FFCAE">
      <w:pPr>
        <w:adjustRightInd w:val="0"/>
        <w:snapToGrid w:val="0"/>
        <w:spacing w:line="360" w:lineRule="auto"/>
        <w:jc w:val="center"/>
        <w:rPr>
          <w:highlight w:val="none"/>
        </w:rPr>
      </w:pPr>
      <w:r>
        <w:rPr>
          <w:highlight w:val="none"/>
        </w:rPr>
        <w:drawing>
          <wp:inline distT="0" distB="0" distL="114300" distR="114300">
            <wp:extent cx="2889250" cy="3244215"/>
            <wp:effectExtent l="0" t="0" r="6350" b="1333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9" cstate="print"/>
                    <a:stretch>
                      <a:fillRect/>
                    </a:stretch>
                  </pic:blipFill>
                  <pic:spPr>
                    <a:xfrm>
                      <a:off x="0" y="0"/>
                      <a:ext cx="2889250" cy="3244215"/>
                    </a:xfrm>
                    <a:prstGeom prst="rect">
                      <a:avLst/>
                    </a:prstGeom>
                    <a:noFill/>
                    <a:ln>
                      <a:noFill/>
                    </a:ln>
                  </pic:spPr>
                </pic:pic>
              </a:graphicData>
            </a:graphic>
          </wp:inline>
        </w:drawing>
      </w:r>
    </w:p>
    <w:p w14:paraId="23DFD80C">
      <w:pPr>
        <w:pStyle w:val="55"/>
        <w:spacing w:before="120"/>
        <w:ind w:firstLine="0" w:firstLineChars="0"/>
        <w:jc w:val="center"/>
        <w:rPr>
          <w:rFonts w:ascii="Times New Roman" w:hAnsi="Times New Roman" w:eastAsia="仿宋"/>
          <w:kern w:val="0"/>
          <w:highlight w:val="none"/>
        </w:rPr>
      </w:pPr>
    </w:p>
    <w:p w14:paraId="1CF09B62">
      <w:pPr>
        <w:adjustRightInd w:val="0"/>
        <w:snapToGrid w:val="0"/>
        <w:spacing w:line="360" w:lineRule="auto"/>
        <w:jc w:val="center"/>
        <w:textAlignment w:val="baseline"/>
        <w:rPr>
          <w:rFonts w:ascii="黑体" w:hAnsi="黑体" w:eastAsia="黑体" w:cs="仿宋"/>
          <w:b/>
          <w:kern w:val="0"/>
          <w:sz w:val="24"/>
          <w:szCs w:val="24"/>
          <w:highlight w:val="none"/>
        </w:rPr>
      </w:pPr>
      <w:r>
        <w:rPr>
          <w:rFonts w:hint="eastAsia" w:ascii="黑体" w:hAnsi="黑体" w:eastAsia="黑体" w:cs="仿宋"/>
          <w:b/>
          <w:kern w:val="0"/>
          <w:sz w:val="24"/>
          <w:szCs w:val="24"/>
          <w:highlight w:val="none"/>
        </w:rPr>
        <w:t>沙滩视频观测系统结构图</w:t>
      </w:r>
    </w:p>
    <w:p w14:paraId="433EF060">
      <w:pPr>
        <w:widowControl/>
        <w:jc w:val="center"/>
        <w:rPr>
          <w:rFonts w:ascii="黑体" w:hAnsi="黑体" w:eastAsia="黑体" w:cs="黑体"/>
          <w:b/>
          <w:kern w:val="0"/>
          <w:szCs w:val="24"/>
          <w:highlight w:val="none"/>
        </w:rPr>
      </w:pPr>
      <w:r>
        <w:rPr>
          <w:rFonts w:ascii="黑体" w:hAnsi="黑体" w:eastAsia="黑体" w:cs="仿宋"/>
          <w:b/>
          <w:kern w:val="0"/>
          <w:szCs w:val="24"/>
          <w:highlight w:val="none"/>
        </w:rPr>
        <w:br w:type="page"/>
      </w:r>
      <w:r>
        <w:rPr>
          <w:rFonts w:hint="eastAsia" w:ascii="黑体" w:hAnsi="黑体" w:eastAsia="黑体" w:cs="仿宋"/>
          <w:b/>
          <w:kern w:val="0"/>
          <w:sz w:val="24"/>
          <w:szCs w:val="24"/>
          <w:highlight w:val="none"/>
        </w:rPr>
        <w:t>沙滩视频观测系统详细技术参数明细表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9"/>
        <w:gridCol w:w="1037"/>
        <w:gridCol w:w="6445"/>
        <w:gridCol w:w="1529"/>
      </w:tblGrid>
      <w:tr w14:paraId="1DED5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Align w:val="center"/>
          </w:tcPr>
          <w:p w14:paraId="343BA154">
            <w:pPr>
              <w:widowControl/>
              <w:jc w:val="center"/>
              <w:textAlignment w:val="center"/>
              <w:rPr>
                <w:rFonts w:ascii="宋体" w:hAnsi="宋体" w:cs="宋体"/>
                <w:b/>
                <w:bCs/>
                <w:szCs w:val="21"/>
                <w:highlight w:val="none"/>
              </w:rPr>
            </w:pPr>
            <w:r>
              <w:rPr>
                <w:rFonts w:hint="eastAsia" w:ascii="宋体" w:hAnsi="宋体" w:cs="宋体"/>
                <w:b/>
                <w:bCs/>
                <w:szCs w:val="21"/>
                <w:highlight w:val="none"/>
              </w:rPr>
              <w:t>建设内容</w:t>
            </w:r>
          </w:p>
        </w:tc>
        <w:tc>
          <w:tcPr>
            <w:tcW w:w="526" w:type="pct"/>
            <w:vAlign w:val="center"/>
          </w:tcPr>
          <w:p w14:paraId="0653C9E7">
            <w:pPr>
              <w:widowControl/>
              <w:jc w:val="center"/>
              <w:textAlignment w:val="center"/>
              <w:rPr>
                <w:rFonts w:ascii="宋体" w:hAnsi="宋体" w:cs="宋体"/>
                <w:b/>
                <w:bCs/>
                <w:szCs w:val="21"/>
                <w:highlight w:val="none"/>
              </w:rPr>
            </w:pPr>
            <w:r>
              <w:rPr>
                <w:rFonts w:hint="eastAsia" w:ascii="宋体" w:hAnsi="宋体" w:cs="宋体"/>
                <w:b/>
                <w:bCs/>
                <w:szCs w:val="21"/>
                <w:highlight w:val="none"/>
              </w:rPr>
              <w:t>分项明细</w:t>
            </w:r>
          </w:p>
        </w:tc>
        <w:tc>
          <w:tcPr>
            <w:tcW w:w="3270" w:type="pct"/>
            <w:vAlign w:val="center"/>
          </w:tcPr>
          <w:p w14:paraId="1D80BA5D">
            <w:pPr>
              <w:widowControl/>
              <w:jc w:val="center"/>
              <w:textAlignment w:val="center"/>
              <w:rPr>
                <w:rFonts w:ascii="宋体" w:hAnsi="宋体" w:cs="宋体"/>
                <w:b/>
                <w:bCs/>
                <w:szCs w:val="21"/>
                <w:highlight w:val="none"/>
              </w:rPr>
            </w:pPr>
            <w:r>
              <w:rPr>
                <w:rFonts w:hint="eastAsia" w:ascii="宋体" w:hAnsi="宋体" w:cs="宋体"/>
                <w:b/>
                <w:bCs/>
                <w:szCs w:val="21"/>
                <w:highlight w:val="none"/>
              </w:rPr>
              <w:t>技术参数</w:t>
            </w:r>
          </w:p>
        </w:tc>
        <w:tc>
          <w:tcPr>
            <w:tcW w:w="776" w:type="pct"/>
            <w:vAlign w:val="center"/>
          </w:tcPr>
          <w:p w14:paraId="1DB37B0B">
            <w:pPr>
              <w:widowControl/>
              <w:jc w:val="center"/>
              <w:textAlignment w:val="center"/>
              <w:rPr>
                <w:rFonts w:ascii="宋体" w:hAnsi="宋体" w:cs="宋体"/>
                <w:b/>
                <w:bCs/>
                <w:szCs w:val="21"/>
                <w:highlight w:val="none"/>
              </w:rPr>
            </w:pPr>
            <w:r>
              <w:rPr>
                <w:rFonts w:hint="eastAsia" w:ascii="宋体" w:hAnsi="宋体" w:cs="宋体"/>
                <w:b/>
                <w:bCs/>
                <w:szCs w:val="21"/>
                <w:highlight w:val="none"/>
              </w:rPr>
              <w:t>数量/单位</w:t>
            </w:r>
          </w:p>
        </w:tc>
      </w:tr>
      <w:tr w14:paraId="41E10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restart"/>
            <w:vAlign w:val="center"/>
          </w:tcPr>
          <w:p w14:paraId="1F01338D">
            <w:pPr>
              <w:widowControl/>
              <w:textAlignment w:val="center"/>
              <w:rPr>
                <w:rFonts w:ascii="宋体" w:hAnsi="宋体" w:cs="宋体"/>
                <w:kern w:val="0"/>
                <w:szCs w:val="21"/>
                <w:highlight w:val="none"/>
              </w:rPr>
            </w:pPr>
            <w:r>
              <w:rPr>
                <w:rFonts w:hint="eastAsia" w:ascii="宋体" w:hAnsi="宋体"/>
                <w:szCs w:val="21"/>
                <w:highlight w:val="none"/>
              </w:rPr>
              <w:t>沙滩视频观测系 统</w:t>
            </w:r>
          </w:p>
        </w:tc>
        <w:tc>
          <w:tcPr>
            <w:tcW w:w="526" w:type="pct"/>
            <w:vAlign w:val="center"/>
          </w:tcPr>
          <w:p w14:paraId="5481F2E9">
            <w:pPr>
              <w:widowControl/>
              <w:rPr>
                <w:rFonts w:ascii="宋体" w:hAnsi="宋体"/>
                <w:kern w:val="0"/>
                <w:szCs w:val="21"/>
                <w:highlight w:val="none"/>
              </w:rPr>
            </w:pPr>
            <w:r>
              <w:rPr>
                <w:rFonts w:hint="eastAsia" w:ascii="宋体" w:hAnsi="宋体"/>
                <w:szCs w:val="21"/>
                <w:highlight w:val="none"/>
              </w:rPr>
              <w:t>高清数字网络摄像机</w:t>
            </w:r>
          </w:p>
        </w:tc>
        <w:tc>
          <w:tcPr>
            <w:tcW w:w="3270" w:type="pct"/>
            <w:vAlign w:val="center"/>
          </w:tcPr>
          <w:p w14:paraId="2C6A6911">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像素：</w:t>
            </w:r>
            <w:r>
              <w:rPr>
                <w:rFonts w:ascii="宋体" w:hAnsi="宋体"/>
                <w:szCs w:val="21"/>
                <w:highlight w:val="none"/>
              </w:rPr>
              <w:t>3200</w:t>
            </w:r>
            <w:r>
              <w:rPr>
                <w:rFonts w:hint="eastAsia" w:ascii="宋体" w:hAnsi="宋体"/>
                <w:szCs w:val="21"/>
                <w:highlight w:val="none"/>
              </w:rPr>
              <w:t>万高清，焦距：【全景】2mm；【细节】7.1~320 mm</w:t>
            </w:r>
          </w:p>
          <w:p w14:paraId="002CFBB4">
            <w:pPr>
              <w:rPr>
                <w:rFonts w:ascii="宋体" w:hAnsi="宋体"/>
                <w:szCs w:val="21"/>
                <w:highlight w:val="none"/>
              </w:rPr>
            </w:pPr>
            <w:r>
              <w:rPr>
                <w:rFonts w:hint="eastAsia" w:ascii="宋体" w:hAnsi="宋体"/>
                <w:szCs w:val="21"/>
                <w:highlight w:val="none"/>
              </w:rPr>
              <w:t>供电：DC36V； 整机平均功耗75w左右,最大功耗90w左右</w:t>
            </w:r>
          </w:p>
          <w:p w14:paraId="03BB9643">
            <w:pPr>
              <w:rPr>
                <w:rFonts w:ascii="宋体" w:hAnsi="宋体"/>
                <w:szCs w:val="21"/>
                <w:highlight w:val="none"/>
              </w:rPr>
            </w:pPr>
            <w:r>
              <w:rPr>
                <w:rFonts w:hint="eastAsia" w:ascii="宋体" w:hAnsi="宋体"/>
                <w:szCs w:val="21"/>
                <w:highlight w:val="none"/>
              </w:rPr>
              <w:t>• 传感器类型：【全景】1/1.8＂ progressive scan CMOS,【细节】1/1.2＂ progressive scan CMOS；</w:t>
            </w:r>
          </w:p>
          <w:p w14:paraId="2E2B4D7A">
            <w:pPr>
              <w:rPr>
                <w:rFonts w:ascii="宋体" w:hAnsi="宋体"/>
                <w:szCs w:val="21"/>
                <w:highlight w:val="none"/>
              </w:rPr>
            </w:pPr>
            <w:r>
              <w:rPr>
                <w:rFonts w:hint="eastAsia" w:ascii="宋体" w:hAnsi="宋体"/>
                <w:szCs w:val="21"/>
                <w:highlight w:val="none"/>
              </w:rPr>
              <w:t>• 全景摄像机：4个1/1.8＂ 8MP Progressive Scan CMOS，最高分辨率及帧率可达 8584*3728@30fps；</w:t>
            </w:r>
          </w:p>
          <w:p w14:paraId="02A4AF91">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 超低照度，自动彩转黑，自动感红外，全天候日夜监控；</w:t>
            </w:r>
          </w:p>
          <w:p w14:paraId="449AFAA5">
            <w:pPr>
              <w:rPr>
                <w:rFonts w:ascii="宋体" w:hAnsi="宋体"/>
                <w:szCs w:val="21"/>
                <w:highlight w:val="none"/>
              </w:rPr>
            </w:pPr>
            <w:r>
              <w:rPr>
                <w:rFonts w:hint="eastAsia" w:ascii="宋体" w:hAnsi="宋体"/>
                <w:szCs w:val="21"/>
                <w:highlight w:val="none"/>
              </w:rPr>
              <w:t>• 支持自动白平衡、背光补偿，实现更有效监控；</w:t>
            </w:r>
          </w:p>
          <w:p w14:paraId="2D59A93D">
            <w:pPr>
              <w:rPr>
                <w:rFonts w:ascii="宋体" w:hAnsi="宋体"/>
                <w:szCs w:val="21"/>
                <w:highlight w:val="none"/>
              </w:rPr>
            </w:pPr>
            <w:r>
              <w:rPr>
                <w:rFonts w:hint="eastAsia" w:ascii="宋体" w:hAnsi="宋体"/>
                <w:szCs w:val="21"/>
                <w:highlight w:val="none"/>
              </w:rPr>
              <w:t>• 采用H.264视频压缩格式，压缩比高，性能可靠稳定；</w:t>
            </w:r>
          </w:p>
          <w:p w14:paraId="10A8A4EC">
            <w:pPr>
              <w:rPr>
                <w:rFonts w:ascii="宋体" w:hAnsi="宋体"/>
                <w:szCs w:val="21"/>
                <w:highlight w:val="none"/>
              </w:rPr>
            </w:pPr>
            <w:r>
              <w:rPr>
                <w:rFonts w:hint="eastAsia" w:ascii="宋体" w:hAnsi="宋体"/>
                <w:szCs w:val="21"/>
                <w:highlight w:val="none"/>
              </w:rPr>
              <w:t>•，支持IE浏览，实现远程监看；</w:t>
            </w:r>
          </w:p>
          <w:p w14:paraId="2AEF6BF2">
            <w:pPr>
              <w:rPr>
                <w:rFonts w:ascii="宋体" w:hAnsi="宋体"/>
                <w:szCs w:val="21"/>
                <w:highlight w:val="none"/>
              </w:rPr>
            </w:pPr>
            <w:r>
              <w:rPr>
                <w:rFonts w:hint="eastAsia" w:ascii="宋体" w:hAnsi="宋体"/>
                <w:szCs w:val="21"/>
                <w:highlight w:val="none"/>
              </w:rPr>
              <w:t>• 可实现双码流传输，网络带宽在64Kbps-12Mbps可调，灵活适用于不同的网络环境；</w:t>
            </w:r>
          </w:p>
          <w:p w14:paraId="476029EA">
            <w:pPr>
              <w:rPr>
                <w:rFonts w:ascii="宋体" w:hAnsi="宋体"/>
                <w:szCs w:val="21"/>
                <w:highlight w:val="none"/>
              </w:rPr>
            </w:pPr>
            <w:r>
              <w:rPr>
                <w:rFonts w:hint="eastAsia" w:ascii="宋体" w:hAnsi="宋体"/>
                <w:szCs w:val="21"/>
                <w:highlight w:val="none"/>
              </w:rPr>
              <w:t>•支持区域入侵侦测、越界侦测、进入区域、离开区域事件侦测功能；</w:t>
            </w:r>
          </w:p>
          <w:p w14:paraId="5DE8662C">
            <w:pPr>
              <w:rPr>
                <w:rFonts w:ascii="宋体" w:hAnsi="宋体"/>
                <w:szCs w:val="21"/>
                <w:highlight w:val="none"/>
              </w:rPr>
            </w:pPr>
            <w:r>
              <w:rPr>
                <w:rFonts w:hint="eastAsia" w:ascii="宋体" w:hAnsi="宋体"/>
                <w:szCs w:val="21"/>
                <w:highlight w:val="none"/>
              </w:rPr>
              <w:t>• 支持持目标自动跟踪功能，通过设置智能事件规则，对设定区域内触发事件的运动目标在设定的跟踪时间内进行持续稳定跟踪。并可在跟踪过程中手动切换跟踪目标。</w:t>
            </w:r>
          </w:p>
          <w:p w14:paraId="023DC4C7">
            <w:pPr>
              <w:rPr>
                <w:rFonts w:ascii="宋体" w:hAnsi="宋体"/>
                <w:szCs w:val="21"/>
                <w:highlight w:val="none"/>
              </w:rPr>
            </w:pPr>
            <w:r>
              <w:rPr>
                <w:rFonts w:hint="eastAsia" w:ascii="宋体" w:hAnsi="宋体"/>
                <w:szCs w:val="21"/>
                <w:highlight w:val="none"/>
              </w:rPr>
              <w:t>支持智能行为分析功能，智能分析行为类型为区域入侵、越界入侵、进入区域、离开区域等，支持行为分析触发后联动聚焦、联动目标跟踪、报警上传等多种报警触发方式。</w:t>
            </w:r>
          </w:p>
          <w:p w14:paraId="5B69C4C0">
            <w:pPr>
              <w:rPr>
                <w:rFonts w:ascii="宋体" w:hAnsi="宋体"/>
                <w:szCs w:val="21"/>
                <w:highlight w:val="none"/>
              </w:rPr>
            </w:pPr>
            <w:r>
              <w:rPr>
                <w:rFonts w:hint="eastAsia" w:ascii="宋体" w:hAnsi="宋体"/>
                <w:szCs w:val="21"/>
                <w:highlight w:val="none"/>
              </w:rPr>
              <w:t>具有光学防抖功能，将镜头倍率设置为最大，快门设置为1/25s，在振动台振幅不大于0.3°，振动频率不大于10Hz情况下，设备视场角应无明显变化，视频图像在振动过程中应保持稳定清晰。支持画中画功能，可通过IE浏览器在细节图像中叠加全景视频图像进行预览。</w:t>
            </w:r>
            <w:r>
              <w:rPr>
                <w:rFonts w:hint="eastAsia" w:ascii="宋体" w:hAnsi="宋体" w:cs="宋体"/>
                <w:sz w:val="24"/>
                <w:highlight w:val="none"/>
              </w:rPr>
              <w:t>●</w:t>
            </w:r>
            <w:r>
              <w:rPr>
                <w:rFonts w:hint="eastAsia" w:ascii="宋体" w:hAnsi="宋体"/>
                <w:szCs w:val="21"/>
                <w:highlight w:val="none"/>
              </w:rPr>
              <w:t>防护等级不低于IP67。</w:t>
            </w:r>
          </w:p>
        </w:tc>
        <w:tc>
          <w:tcPr>
            <w:tcW w:w="776" w:type="pct"/>
            <w:vAlign w:val="center"/>
          </w:tcPr>
          <w:p w14:paraId="3FD0ECEF">
            <w:pPr>
              <w:widowControl/>
              <w:jc w:val="center"/>
              <w:rPr>
                <w:rFonts w:ascii="宋体" w:hAnsi="宋体"/>
                <w:kern w:val="0"/>
                <w:szCs w:val="21"/>
                <w:highlight w:val="none"/>
              </w:rPr>
            </w:pPr>
            <w:r>
              <w:rPr>
                <w:rFonts w:hint="eastAsia" w:ascii="宋体" w:hAnsi="宋体"/>
                <w:szCs w:val="21"/>
                <w:highlight w:val="none"/>
              </w:rPr>
              <w:t>1套</w:t>
            </w:r>
          </w:p>
        </w:tc>
      </w:tr>
      <w:tr w14:paraId="11DA5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70F5619D">
            <w:pPr>
              <w:jc w:val="center"/>
              <w:rPr>
                <w:rFonts w:ascii="宋体" w:hAnsi="宋体" w:cs="宋体"/>
                <w:szCs w:val="21"/>
                <w:highlight w:val="none"/>
              </w:rPr>
            </w:pPr>
          </w:p>
        </w:tc>
        <w:tc>
          <w:tcPr>
            <w:tcW w:w="526" w:type="pct"/>
            <w:vAlign w:val="center"/>
          </w:tcPr>
          <w:p w14:paraId="731B83A7">
            <w:pPr>
              <w:rPr>
                <w:rFonts w:ascii="宋体" w:hAnsi="宋体"/>
                <w:szCs w:val="21"/>
                <w:highlight w:val="none"/>
              </w:rPr>
            </w:pPr>
            <w:r>
              <w:rPr>
                <w:rFonts w:hint="eastAsia" w:ascii="宋体" w:hAnsi="宋体"/>
                <w:szCs w:val="21"/>
                <w:highlight w:val="none"/>
              </w:rPr>
              <w:t>影像数据采集器</w:t>
            </w:r>
          </w:p>
        </w:tc>
        <w:tc>
          <w:tcPr>
            <w:tcW w:w="3270" w:type="pct"/>
            <w:vAlign w:val="center"/>
          </w:tcPr>
          <w:p w14:paraId="2E577401">
            <w:pPr>
              <w:rPr>
                <w:rFonts w:ascii="宋体" w:hAnsi="宋体"/>
                <w:szCs w:val="21"/>
                <w:highlight w:val="none"/>
              </w:rPr>
            </w:pPr>
            <w:r>
              <w:rPr>
                <w:rFonts w:hint="eastAsia" w:ascii="宋体" w:hAnsi="宋体"/>
                <w:szCs w:val="21"/>
                <w:highlight w:val="none"/>
              </w:rPr>
              <w:t>采集快照、采集定时曝光数据、采集变化的图像、采集时堆栈的图像（如：在预定义的时间像素下像素强度的时间序列）、将数据传输到网络存储服务器</w:t>
            </w:r>
          </w:p>
        </w:tc>
        <w:tc>
          <w:tcPr>
            <w:tcW w:w="776" w:type="pct"/>
            <w:vAlign w:val="center"/>
          </w:tcPr>
          <w:p w14:paraId="55BBD28E">
            <w:pPr>
              <w:jc w:val="center"/>
              <w:rPr>
                <w:rFonts w:ascii="宋体" w:hAnsi="宋体"/>
                <w:szCs w:val="21"/>
                <w:highlight w:val="none"/>
              </w:rPr>
            </w:pPr>
            <w:r>
              <w:rPr>
                <w:rFonts w:hint="eastAsia" w:ascii="宋体" w:hAnsi="宋体"/>
                <w:szCs w:val="21"/>
                <w:highlight w:val="none"/>
              </w:rPr>
              <w:t>1套</w:t>
            </w:r>
          </w:p>
        </w:tc>
      </w:tr>
      <w:tr w14:paraId="31DC1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2068B9C1">
            <w:pPr>
              <w:jc w:val="center"/>
              <w:rPr>
                <w:rFonts w:ascii="宋体" w:hAnsi="宋体" w:cs="宋体"/>
                <w:szCs w:val="21"/>
                <w:highlight w:val="none"/>
              </w:rPr>
            </w:pPr>
          </w:p>
        </w:tc>
        <w:tc>
          <w:tcPr>
            <w:tcW w:w="526" w:type="pct"/>
            <w:vAlign w:val="center"/>
          </w:tcPr>
          <w:p w14:paraId="3CEE387D">
            <w:pPr>
              <w:rPr>
                <w:rFonts w:ascii="宋体" w:hAnsi="宋体"/>
                <w:szCs w:val="21"/>
                <w:highlight w:val="none"/>
              </w:rPr>
            </w:pPr>
            <w:r>
              <w:rPr>
                <w:rFonts w:hint="eastAsia" w:ascii="宋体" w:hAnsi="宋体"/>
                <w:szCs w:val="21"/>
                <w:highlight w:val="none"/>
              </w:rPr>
              <w:t>影像数据存储处理服务器</w:t>
            </w:r>
          </w:p>
        </w:tc>
        <w:tc>
          <w:tcPr>
            <w:tcW w:w="3270" w:type="pct"/>
            <w:vAlign w:val="center"/>
          </w:tcPr>
          <w:p w14:paraId="33B40C75">
            <w:pPr>
              <w:pStyle w:val="27"/>
              <w:ind w:left="0" w:firstLine="0"/>
              <w:rPr>
                <w:rFonts w:ascii="宋体" w:hAnsi="宋体"/>
                <w:kern w:val="2"/>
                <w:sz w:val="21"/>
                <w:szCs w:val="21"/>
                <w:highlight w:val="none"/>
              </w:rPr>
            </w:pPr>
            <w:r>
              <w:rPr>
                <w:rFonts w:hint="eastAsia" w:ascii="宋体" w:hAnsi="宋体"/>
                <w:kern w:val="2"/>
                <w:sz w:val="21"/>
                <w:szCs w:val="21"/>
                <w:highlight w:val="none"/>
              </w:rPr>
              <w:t>支持独立组网（SA）和非独立组网（NSA）模式；</w:t>
            </w:r>
          </w:p>
          <w:p w14:paraId="42EC2735">
            <w:pPr>
              <w:pStyle w:val="27"/>
              <w:rPr>
                <w:rFonts w:ascii="宋体" w:hAnsi="宋体"/>
                <w:kern w:val="2"/>
                <w:sz w:val="21"/>
                <w:szCs w:val="21"/>
                <w:highlight w:val="none"/>
              </w:rPr>
            </w:pPr>
            <w:r>
              <w:rPr>
                <w:rFonts w:hint="eastAsia" w:ascii="宋体" w:hAnsi="宋体"/>
                <w:kern w:val="2"/>
                <w:sz w:val="21"/>
                <w:szCs w:val="21"/>
                <w:highlight w:val="none"/>
              </w:rPr>
              <w:t>支持多种网络制式的全面覆盖，向下兼容4G网络；</w:t>
            </w:r>
          </w:p>
          <w:p w14:paraId="52896EBF">
            <w:pPr>
              <w:pStyle w:val="27"/>
              <w:rPr>
                <w:rFonts w:ascii="宋体" w:hAnsi="宋体"/>
                <w:kern w:val="2"/>
                <w:sz w:val="21"/>
                <w:szCs w:val="21"/>
                <w:highlight w:val="none"/>
              </w:rPr>
            </w:pPr>
            <w:r>
              <w:rPr>
                <w:rFonts w:hint="eastAsia" w:ascii="宋体" w:hAnsi="宋体"/>
                <w:kern w:val="2"/>
                <w:sz w:val="21"/>
                <w:szCs w:val="21"/>
                <w:highlight w:val="none"/>
              </w:rPr>
              <w:t>主机和天线通过特制防水线缆+超五类网线延展连接，50米线长信号无明显衰减；</w:t>
            </w:r>
          </w:p>
          <w:p w14:paraId="61CC887F">
            <w:pPr>
              <w:pStyle w:val="27"/>
              <w:rPr>
                <w:rFonts w:ascii="宋体" w:hAnsi="宋体"/>
                <w:kern w:val="2"/>
                <w:sz w:val="21"/>
                <w:szCs w:val="21"/>
                <w:highlight w:val="none"/>
              </w:rPr>
            </w:pPr>
            <w:r>
              <w:rPr>
                <w:rFonts w:hint="eastAsia" w:ascii="宋体" w:hAnsi="宋体"/>
                <w:kern w:val="2"/>
                <w:sz w:val="21"/>
                <w:szCs w:val="21"/>
                <w:highlight w:val="none"/>
              </w:rPr>
              <w:t>支持5G/4G无线数据通讯；</w:t>
            </w:r>
          </w:p>
          <w:p w14:paraId="1B80B468">
            <w:pPr>
              <w:pStyle w:val="27"/>
              <w:rPr>
                <w:rFonts w:ascii="宋体" w:hAnsi="宋体"/>
                <w:kern w:val="2"/>
                <w:sz w:val="21"/>
                <w:szCs w:val="21"/>
                <w:highlight w:val="none"/>
              </w:rPr>
            </w:pPr>
            <w:r>
              <w:rPr>
                <w:rFonts w:hint="eastAsia" w:ascii="宋体" w:hAnsi="宋体"/>
                <w:kern w:val="2"/>
                <w:sz w:val="21"/>
                <w:szCs w:val="21"/>
                <w:highlight w:val="none"/>
              </w:rPr>
              <w:t>支持拨号与流量管理，拨号计划、短信推送、流量监控、自动断网等功能；</w:t>
            </w:r>
          </w:p>
          <w:p w14:paraId="58AA9EF0">
            <w:pPr>
              <w:pStyle w:val="27"/>
              <w:rPr>
                <w:rFonts w:ascii="宋体" w:hAnsi="宋体"/>
                <w:kern w:val="2"/>
                <w:sz w:val="21"/>
                <w:szCs w:val="21"/>
                <w:highlight w:val="none"/>
              </w:rPr>
            </w:pPr>
            <w:r>
              <w:rPr>
                <w:rFonts w:hint="eastAsia" w:ascii="宋体" w:hAnsi="宋体"/>
                <w:kern w:val="2"/>
                <w:sz w:val="21"/>
                <w:szCs w:val="21"/>
                <w:highlight w:val="none"/>
              </w:rPr>
              <w:t>支持路由功能，局域网内其他设备可通过5G NVR无线拨号访问外网；</w:t>
            </w:r>
          </w:p>
          <w:p w14:paraId="421CBB56">
            <w:pPr>
              <w:pStyle w:val="27"/>
              <w:rPr>
                <w:rFonts w:ascii="宋体" w:hAnsi="宋体"/>
                <w:kern w:val="2"/>
                <w:sz w:val="21"/>
                <w:szCs w:val="21"/>
                <w:highlight w:val="none"/>
              </w:rPr>
            </w:pPr>
            <w:r>
              <w:rPr>
                <w:rFonts w:hint="eastAsia" w:ascii="宋体" w:hAnsi="宋体"/>
                <w:kern w:val="2"/>
                <w:sz w:val="21"/>
                <w:szCs w:val="21"/>
                <w:highlight w:val="none"/>
              </w:rPr>
              <w:t>支持热成像、人脸抓拍机、警戒等相机的接入与联动；</w:t>
            </w:r>
          </w:p>
          <w:p w14:paraId="731AF6F4">
            <w:pPr>
              <w:pStyle w:val="27"/>
              <w:rPr>
                <w:rFonts w:ascii="宋体" w:hAnsi="宋体"/>
                <w:kern w:val="2"/>
                <w:sz w:val="21"/>
                <w:szCs w:val="21"/>
                <w:highlight w:val="none"/>
              </w:rPr>
            </w:pPr>
            <w:r>
              <w:rPr>
                <w:rFonts w:hint="eastAsia" w:ascii="宋体" w:hAnsi="宋体"/>
                <w:kern w:val="2"/>
                <w:sz w:val="21"/>
                <w:szCs w:val="21"/>
                <w:highlight w:val="none"/>
              </w:rPr>
              <w:t>【频段信息-三网通】</w:t>
            </w:r>
          </w:p>
          <w:p w14:paraId="1FF3AA99">
            <w:pPr>
              <w:pStyle w:val="27"/>
              <w:rPr>
                <w:rFonts w:ascii="宋体" w:hAnsi="宋体"/>
                <w:kern w:val="2"/>
                <w:sz w:val="21"/>
                <w:szCs w:val="21"/>
                <w:highlight w:val="none"/>
              </w:rPr>
            </w:pPr>
            <w:r>
              <w:rPr>
                <w:rFonts w:hint="eastAsia" w:ascii="宋体" w:hAnsi="宋体"/>
                <w:kern w:val="2"/>
                <w:sz w:val="21"/>
                <w:szCs w:val="21"/>
                <w:highlight w:val="none"/>
              </w:rPr>
              <w:t>电信：5G (N78) 4G(FDD- LTE B1/B3 ， TD-LTE B41)</w:t>
            </w:r>
          </w:p>
          <w:p w14:paraId="3AA1D207">
            <w:pPr>
              <w:pStyle w:val="27"/>
              <w:rPr>
                <w:rFonts w:ascii="宋体" w:hAnsi="宋体"/>
                <w:kern w:val="2"/>
                <w:sz w:val="21"/>
                <w:szCs w:val="21"/>
                <w:highlight w:val="none"/>
              </w:rPr>
            </w:pPr>
            <w:r>
              <w:rPr>
                <w:rFonts w:hint="eastAsia" w:ascii="宋体" w:hAnsi="宋体"/>
                <w:kern w:val="2"/>
                <w:sz w:val="21"/>
                <w:szCs w:val="21"/>
                <w:highlight w:val="none"/>
              </w:rPr>
              <w:t>联通：5G (N78) 4G( FDD-LTE B1/B3 ， TD-LTE B41）</w:t>
            </w:r>
          </w:p>
          <w:p w14:paraId="7E0C8CC2">
            <w:pPr>
              <w:pStyle w:val="27"/>
              <w:rPr>
                <w:rFonts w:ascii="宋体" w:hAnsi="宋体"/>
                <w:kern w:val="2"/>
                <w:sz w:val="21"/>
                <w:szCs w:val="21"/>
                <w:highlight w:val="none"/>
              </w:rPr>
            </w:pPr>
            <w:r>
              <w:rPr>
                <w:rFonts w:hint="eastAsia" w:ascii="宋体" w:hAnsi="宋体"/>
                <w:kern w:val="2"/>
                <w:sz w:val="21"/>
                <w:szCs w:val="21"/>
                <w:highlight w:val="none"/>
              </w:rPr>
              <w:t>移动：5G (N41、N79) 4G(TD-LTE B38/B39/B40/B41）</w:t>
            </w:r>
          </w:p>
          <w:p w14:paraId="1C71C51D">
            <w:pPr>
              <w:pStyle w:val="27"/>
              <w:rPr>
                <w:rFonts w:ascii="宋体" w:hAnsi="宋体"/>
                <w:kern w:val="2"/>
                <w:sz w:val="21"/>
                <w:szCs w:val="21"/>
                <w:highlight w:val="none"/>
              </w:rPr>
            </w:pPr>
            <w:r>
              <w:rPr>
                <w:rFonts w:hint="eastAsia" w:ascii="宋体" w:hAnsi="宋体"/>
                <w:kern w:val="2"/>
                <w:sz w:val="21"/>
                <w:szCs w:val="21"/>
                <w:highlight w:val="none"/>
              </w:rPr>
              <w:t>【硬件规格】</w:t>
            </w:r>
          </w:p>
          <w:p w14:paraId="38C1BCED">
            <w:pPr>
              <w:pStyle w:val="27"/>
              <w:rPr>
                <w:rFonts w:ascii="宋体" w:hAnsi="宋体"/>
                <w:kern w:val="2"/>
                <w:sz w:val="21"/>
                <w:szCs w:val="21"/>
                <w:highlight w:val="none"/>
              </w:rPr>
            </w:pPr>
            <w:r>
              <w:rPr>
                <w:rFonts w:hint="eastAsia" w:ascii="宋体" w:hAnsi="宋体"/>
                <w:kern w:val="2"/>
                <w:sz w:val="21"/>
                <w:szCs w:val="21"/>
                <w:highlight w:val="none"/>
              </w:rPr>
              <w:t>存储接口：3个SATA接口，配置一块8T专用监控级硬盘</w:t>
            </w:r>
          </w:p>
          <w:p w14:paraId="336D6FB9">
            <w:pPr>
              <w:pStyle w:val="27"/>
              <w:rPr>
                <w:rFonts w:ascii="宋体" w:hAnsi="宋体"/>
                <w:kern w:val="2"/>
                <w:sz w:val="21"/>
                <w:szCs w:val="21"/>
                <w:highlight w:val="none"/>
              </w:rPr>
            </w:pPr>
            <w:r>
              <w:rPr>
                <w:rFonts w:hint="eastAsia" w:ascii="宋体" w:hAnsi="宋体"/>
                <w:kern w:val="2"/>
                <w:sz w:val="21"/>
                <w:szCs w:val="21"/>
                <w:highlight w:val="none"/>
              </w:rPr>
              <w:t>视频接口：≥1×HDMI，≥1×VGA</w:t>
            </w:r>
          </w:p>
          <w:p w14:paraId="2A784B3A">
            <w:pPr>
              <w:pStyle w:val="27"/>
              <w:rPr>
                <w:rFonts w:ascii="宋体" w:hAnsi="宋体"/>
                <w:kern w:val="2"/>
                <w:sz w:val="21"/>
                <w:szCs w:val="21"/>
                <w:highlight w:val="none"/>
              </w:rPr>
            </w:pPr>
            <w:r>
              <w:rPr>
                <w:rFonts w:hint="eastAsia" w:ascii="宋体" w:hAnsi="宋体"/>
                <w:kern w:val="2"/>
                <w:sz w:val="21"/>
                <w:szCs w:val="21"/>
                <w:highlight w:val="none"/>
              </w:rPr>
              <w:t>网络接口：≥2×RJ45 10/100/1000Mbps自适应以太网口</w:t>
            </w:r>
          </w:p>
          <w:p w14:paraId="7C059EB5">
            <w:pPr>
              <w:pStyle w:val="27"/>
              <w:rPr>
                <w:rFonts w:ascii="宋体" w:hAnsi="宋体"/>
                <w:kern w:val="2"/>
                <w:sz w:val="21"/>
                <w:szCs w:val="21"/>
                <w:highlight w:val="none"/>
              </w:rPr>
            </w:pPr>
            <w:r>
              <w:rPr>
                <w:rFonts w:hint="eastAsia" w:ascii="宋体" w:hAnsi="宋体"/>
                <w:kern w:val="2"/>
                <w:sz w:val="21"/>
                <w:szCs w:val="21"/>
                <w:highlight w:val="none"/>
              </w:rPr>
              <w:t>报警接口：≥4路报警输入，≥1路报警输出</w:t>
            </w:r>
          </w:p>
          <w:p w14:paraId="602604C0">
            <w:pPr>
              <w:pStyle w:val="27"/>
              <w:rPr>
                <w:rFonts w:ascii="宋体" w:hAnsi="宋体"/>
                <w:kern w:val="2"/>
                <w:sz w:val="21"/>
                <w:szCs w:val="21"/>
                <w:highlight w:val="none"/>
              </w:rPr>
            </w:pPr>
            <w:r>
              <w:rPr>
                <w:rFonts w:hint="eastAsia" w:ascii="宋体" w:hAnsi="宋体"/>
                <w:kern w:val="2"/>
                <w:sz w:val="21"/>
                <w:szCs w:val="21"/>
                <w:highlight w:val="none"/>
              </w:rPr>
              <w:t>USB接口：≥1×USB 2.0，≥1×USB 3.0</w:t>
            </w:r>
          </w:p>
          <w:p w14:paraId="6C906E7B">
            <w:pPr>
              <w:pStyle w:val="27"/>
              <w:rPr>
                <w:rFonts w:ascii="宋体" w:hAnsi="宋体"/>
                <w:kern w:val="2"/>
                <w:sz w:val="21"/>
                <w:szCs w:val="21"/>
                <w:highlight w:val="none"/>
              </w:rPr>
            </w:pPr>
            <w:r>
              <w:rPr>
                <w:rFonts w:hint="eastAsia" w:ascii="宋体" w:hAnsi="宋体"/>
                <w:kern w:val="2"/>
                <w:sz w:val="21"/>
                <w:szCs w:val="21"/>
                <w:highlight w:val="none"/>
              </w:rPr>
              <w:t>【产品性能】</w:t>
            </w:r>
          </w:p>
          <w:p w14:paraId="7EF60FC3">
            <w:pPr>
              <w:pStyle w:val="27"/>
              <w:rPr>
                <w:rFonts w:ascii="宋体" w:hAnsi="宋体"/>
                <w:kern w:val="2"/>
                <w:sz w:val="21"/>
                <w:szCs w:val="21"/>
                <w:highlight w:val="none"/>
              </w:rPr>
            </w:pPr>
            <w:r>
              <w:rPr>
                <w:rFonts w:hint="eastAsia" w:ascii="宋体" w:hAnsi="宋体"/>
                <w:kern w:val="2"/>
                <w:sz w:val="21"/>
                <w:szCs w:val="21"/>
                <w:highlight w:val="none"/>
              </w:rPr>
              <w:t>输入带宽：≥128Mbps</w:t>
            </w:r>
          </w:p>
          <w:p w14:paraId="70645773">
            <w:pPr>
              <w:pStyle w:val="27"/>
              <w:rPr>
                <w:rFonts w:ascii="宋体" w:hAnsi="宋体"/>
                <w:kern w:val="2"/>
                <w:sz w:val="21"/>
                <w:szCs w:val="21"/>
                <w:highlight w:val="none"/>
              </w:rPr>
            </w:pPr>
            <w:r>
              <w:rPr>
                <w:rFonts w:hint="eastAsia" w:ascii="宋体" w:hAnsi="宋体"/>
                <w:kern w:val="2"/>
                <w:sz w:val="21"/>
                <w:szCs w:val="21"/>
                <w:highlight w:val="none"/>
              </w:rPr>
              <w:t>输出带宽：≥256Mbps</w:t>
            </w:r>
          </w:p>
          <w:p w14:paraId="7068315B">
            <w:pPr>
              <w:pStyle w:val="27"/>
              <w:rPr>
                <w:rFonts w:ascii="宋体" w:hAnsi="宋体"/>
                <w:kern w:val="2"/>
                <w:sz w:val="21"/>
                <w:szCs w:val="21"/>
                <w:highlight w:val="none"/>
              </w:rPr>
            </w:pPr>
            <w:r>
              <w:rPr>
                <w:rFonts w:hint="eastAsia" w:ascii="宋体" w:hAnsi="宋体"/>
                <w:kern w:val="2"/>
                <w:sz w:val="21"/>
                <w:szCs w:val="21"/>
                <w:highlight w:val="none"/>
              </w:rPr>
              <w:t>接入能力：≥8路H.264、H.265格式高清码流接入</w:t>
            </w:r>
          </w:p>
          <w:p w14:paraId="04E697C4">
            <w:pPr>
              <w:pStyle w:val="27"/>
              <w:rPr>
                <w:rFonts w:ascii="宋体" w:hAnsi="宋体"/>
                <w:kern w:val="2"/>
                <w:sz w:val="21"/>
                <w:szCs w:val="21"/>
                <w:highlight w:val="none"/>
              </w:rPr>
            </w:pPr>
            <w:r>
              <w:rPr>
                <w:rFonts w:hint="eastAsia" w:ascii="宋体" w:hAnsi="宋体"/>
                <w:kern w:val="2"/>
                <w:sz w:val="21"/>
                <w:szCs w:val="21"/>
                <w:highlight w:val="none"/>
              </w:rPr>
              <w:t>解码能力：最大支持32×1080P</w:t>
            </w:r>
          </w:p>
          <w:p w14:paraId="16E882C6">
            <w:pPr>
              <w:pStyle w:val="27"/>
              <w:rPr>
                <w:rFonts w:ascii="宋体" w:hAnsi="宋体"/>
                <w:szCs w:val="21"/>
                <w:highlight w:val="none"/>
              </w:rPr>
            </w:pPr>
            <w:r>
              <w:rPr>
                <w:rFonts w:hint="eastAsia" w:ascii="宋体" w:hAnsi="宋体"/>
                <w:kern w:val="2"/>
                <w:sz w:val="21"/>
                <w:szCs w:val="21"/>
                <w:highlight w:val="none"/>
              </w:rPr>
              <w:t>显示能力：最大支持8K+1080P异源输出</w:t>
            </w:r>
          </w:p>
        </w:tc>
        <w:tc>
          <w:tcPr>
            <w:tcW w:w="776" w:type="pct"/>
            <w:vAlign w:val="center"/>
          </w:tcPr>
          <w:p w14:paraId="6D5BD5FD">
            <w:pPr>
              <w:jc w:val="center"/>
              <w:rPr>
                <w:rFonts w:ascii="宋体" w:hAnsi="宋体"/>
                <w:szCs w:val="21"/>
                <w:highlight w:val="none"/>
              </w:rPr>
            </w:pPr>
            <w:r>
              <w:rPr>
                <w:rFonts w:hint="eastAsia" w:ascii="宋体" w:hAnsi="宋体"/>
                <w:szCs w:val="21"/>
                <w:highlight w:val="none"/>
              </w:rPr>
              <w:t>1套</w:t>
            </w:r>
          </w:p>
        </w:tc>
      </w:tr>
      <w:tr w14:paraId="00B71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7892D154">
            <w:pPr>
              <w:jc w:val="center"/>
              <w:rPr>
                <w:rFonts w:ascii="宋体" w:hAnsi="宋体" w:cs="宋体"/>
                <w:szCs w:val="21"/>
                <w:highlight w:val="none"/>
              </w:rPr>
            </w:pPr>
          </w:p>
        </w:tc>
        <w:tc>
          <w:tcPr>
            <w:tcW w:w="526" w:type="pct"/>
            <w:vAlign w:val="center"/>
          </w:tcPr>
          <w:p w14:paraId="4B1C98AA">
            <w:pPr>
              <w:rPr>
                <w:rFonts w:ascii="宋体" w:hAnsi="宋体"/>
                <w:szCs w:val="21"/>
                <w:highlight w:val="none"/>
              </w:rPr>
            </w:pPr>
            <w:r>
              <w:rPr>
                <w:rFonts w:hint="eastAsia" w:ascii="宋体" w:hAnsi="宋体"/>
                <w:szCs w:val="21"/>
                <w:highlight w:val="none"/>
              </w:rPr>
              <w:t>数据处理系统</w:t>
            </w:r>
          </w:p>
        </w:tc>
        <w:tc>
          <w:tcPr>
            <w:tcW w:w="3270" w:type="pct"/>
            <w:vAlign w:val="center"/>
          </w:tcPr>
          <w:p w14:paraId="1D371E7E">
            <w:pPr>
              <w:pStyle w:val="27"/>
              <w:rPr>
                <w:rFonts w:ascii="宋体" w:hAnsi="宋体"/>
                <w:kern w:val="2"/>
                <w:sz w:val="21"/>
                <w:szCs w:val="21"/>
                <w:highlight w:val="none"/>
              </w:rPr>
            </w:pPr>
            <w:r>
              <w:rPr>
                <w:rFonts w:hint="eastAsia" w:ascii="宋体" w:hAnsi="宋体" w:cs="宋体"/>
                <w:highlight w:val="none"/>
              </w:rPr>
              <w:t>●</w:t>
            </w:r>
            <w:r>
              <w:rPr>
                <w:rFonts w:hint="eastAsia" w:ascii="宋体" w:hAnsi="宋体"/>
                <w:kern w:val="2"/>
                <w:sz w:val="21"/>
                <w:szCs w:val="21"/>
                <w:highlight w:val="none"/>
              </w:rPr>
              <w:t>1、提供云平台账号，并提供及平台基础能力，包括视频监控、权限分配、用户管理、设备管理、角色管理、配置管理等运营管理及运营维护功能</w:t>
            </w:r>
          </w:p>
          <w:p w14:paraId="4D66CE44">
            <w:pPr>
              <w:pStyle w:val="27"/>
              <w:rPr>
                <w:rFonts w:ascii="宋体" w:hAnsi="宋体"/>
                <w:kern w:val="2"/>
                <w:sz w:val="21"/>
                <w:szCs w:val="21"/>
                <w:highlight w:val="none"/>
              </w:rPr>
            </w:pPr>
            <w:r>
              <w:rPr>
                <w:rFonts w:hint="eastAsia" w:ascii="宋体" w:hAnsi="宋体" w:cs="宋体"/>
                <w:highlight w:val="none"/>
              </w:rPr>
              <w:t>●</w:t>
            </w:r>
            <w:r>
              <w:rPr>
                <w:rFonts w:hint="eastAsia" w:ascii="宋体" w:hAnsi="宋体"/>
                <w:kern w:val="2"/>
                <w:sz w:val="21"/>
                <w:szCs w:val="21"/>
                <w:highlight w:val="none"/>
              </w:rPr>
              <w:t>2、提供手机APP应用，可在手机APP上完成预警接收、告警事件查看、设备配置等功能</w:t>
            </w:r>
          </w:p>
          <w:p w14:paraId="22CB5482">
            <w:pPr>
              <w:pStyle w:val="27"/>
              <w:rPr>
                <w:rFonts w:ascii="宋体" w:hAnsi="宋体"/>
                <w:kern w:val="2"/>
                <w:sz w:val="21"/>
                <w:szCs w:val="21"/>
                <w:highlight w:val="none"/>
              </w:rPr>
            </w:pPr>
            <w:r>
              <w:rPr>
                <w:rFonts w:hint="eastAsia" w:ascii="宋体" w:hAnsi="宋体" w:cs="宋体"/>
                <w:highlight w:val="none"/>
              </w:rPr>
              <w:t>●</w:t>
            </w:r>
            <w:r>
              <w:rPr>
                <w:rFonts w:hint="eastAsia" w:ascii="宋体" w:hAnsi="宋体"/>
                <w:kern w:val="2"/>
                <w:sz w:val="21"/>
                <w:szCs w:val="21"/>
                <w:highlight w:val="none"/>
              </w:rPr>
              <w:t>3、提供微信公众号及小程序应用，可以在微信端完成预警接收、流量充值等功能</w:t>
            </w:r>
          </w:p>
          <w:p w14:paraId="107B4069">
            <w:pPr>
              <w:pStyle w:val="27"/>
              <w:rPr>
                <w:rFonts w:ascii="宋体" w:hAnsi="宋体"/>
                <w:kern w:val="2"/>
                <w:sz w:val="21"/>
                <w:szCs w:val="21"/>
                <w:highlight w:val="none"/>
              </w:rPr>
            </w:pPr>
            <w:r>
              <w:rPr>
                <w:rFonts w:hint="eastAsia" w:ascii="宋体" w:hAnsi="宋体"/>
                <w:kern w:val="2"/>
                <w:sz w:val="21"/>
                <w:szCs w:val="21"/>
                <w:highlight w:val="none"/>
              </w:rPr>
              <w:t>提供不少于21路接入IPC/NVR等纯视频设备授权，并支持视频预览、录像回放、语音对讲、云台控制等功能</w:t>
            </w:r>
          </w:p>
          <w:p w14:paraId="7FB23053">
            <w:pPr>
              <w:pStyle w:val="27"/>
              <w:rPr>
                <w:rFonts w:ascii="宋体" w:hAnsi="宋体"/>
                <w:kern w:val="2"/>
                <w:sz w:val="21"/>
                <w:szCs w:val="21"/>
                <w:highlight w:val="none"/>
              </w:rPr>
            </w:pPr>
            <w:r>
              <w:rPr>
                <w:rFonts w:hint="eastAsia" w:ascii="宋体" w:hAnsi="宋体"/>
                <w:kern w:val="2"/>
                <w:sz w:val="21"/>
                <w:szCs w:val="21"/>
                <w:highlight w:val="none"/>
              </w:rPr>
              <w:t>支持接入气象要素采集装置，支持监测数据的趋势展示和统计分析，并支持设置4级预警模型进行预警</w:t>
            </w:r>
          </w:p>
          <w:p w14:paraId="1C89C767">
            <w:pPr>
              <w:pStyle w:val="27"/>
              <w:rPr>
                <w:rFonts w:ascii="宋体" w:hAnsi="宋体"/>
                <w:szCs w:val="21"/>
                <w:highlight w:val="none"/>
              </w:rPr>
            </w:pPr>
            <w:r>
              <w:rPr>
                <w:rFonts w:hint="eastAsia" w:ascii="宋体" w:hAnsi="宋体" w:cs="宋体"/>
                <w:highlight w:val="none"/>
              </w:rPr>
              <w:t>●</w:t>
            </w:r>
            <w:r>
              <w:rPr>
                <w:rFonts w:hint="eastAsia" w:ascii="宋体" w:hAnsi="宋体"/>
                <w:kern w:val="2"/>
                <w:sz w:val="21"/>
                <w:szCs w:val="21"/>
                <w:highlight w:val="none"/>
              </w:rPr>
              <w:t>提供不少于2年账号服务功能</w:t>
            </w:r>
          </w:p>
        </w:tc>
        <w:tc>
          <w:tcPr>
            <w:tcW w:w="776" w:type="pct"/>
            <w:vAlign w:val="center"/>
          </w:tcPr>
          <w:p w14:paraId="134C0EAE">
            <w:pPr>
              <w:jc w:val="center"/>
              <w:rPr>
                <w:rFonts w:ascii="宋体" w:hAnsi="宋体"/>
                <w:szCs w:val="21"/>
                <w:highlight w:val="none"/>
              </w:rPr>
            </w:pPr>
            <w:r>
              <w:rPr>
                <w:rFonts w:hint="eastAsia" w:ascii="宋体" w:hAnsi="宋体"/>
                <w:szCs w:val="21"/>
                <w:highlight w:val="none"/>
              </w:rPr>
              <w:t>1套</w:t>
            </w:r>
          </w:p>
        </w:tc>
      </w:tr>
      <w:tr w14:paraId="2FE71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345EB648">
            <w:pPr>
              <w:jc w:val="center"/>
              <w:rPr>
                <w:rFonts w:ascii="宋体" w:hAnsi="宋体" w:cs="宋体"/>
                <w:szCs w:val="21"/>
                <w:highlight w:val="none"/>
              </w:rPr>
            </w:pPr>
          </w:p>
        </w:tc>
        <w:tc>
          <w:tcPr>
            <w:tcW w:w="526" w:type="pct"/>
            <w:vAlign w:val="center"/>
          </w:tcPr>
          <w:p w14:paraId="0B7EEA8D">
            <w:pPr>
              <w:rPr>
                <w:rFonts w:ascii="宋体" w:hAnsi="宋体"/>
                <w:szCs w:val="21"/>
                <w:highlight w:val="none"/>
              </w:rPr>
            </w:pPr>
            <w:r>
              <w:rPr>
                <w:rFonts w:hint="eastAsia" w:ascii="宋体" w:hAnsi="宋体"/>
                <w:szCs w:val="21"/>
                <w:highlight w:val="none"/>
              </w:rPr>
              <w:t>交换器</w:t>
            </w:r>
          </w:p>
        </w:tc>
        <w:tc>
          <w:tcPr>
            <w:tcW w:w="3270" w:type="pct"/>
            <w:vAlign w:val="center"/>
          </w:tcPr>
          <w:p w14:paraId="63246BBB">
            <w:pPr>
              <w:rPr>
                <w:rFonts w:ascii="宋体" w:hAnsi="宋体"/>
                <w:szCs w:val="21"/>
                <w:highlight w:val="none"/>
              </w:rPr>
            </w:pPr>
            <w:r>
              <w:rPr>
                <w:rFonts w:hint="eastAsia" w:ascii="宋体" w:hAnsi="宋体"/>
                <w:szCs w:val="21"/>
                <w:highlight w:val="none"/>
              </w:rPr>
              <w:t>千兆网络交换机，8口POE供电</w:t>
            </w:r>
          </w:p>
        </w:tc>
        <w:tc>
          <w:tcPr>
            <w:tcW w:w="776" w:type="pct"/>
            <w:vAlign w:val="center"/>
          </w:tcPr>
          <w:p w14:paraId="5AD2E49C">
            <w:pPr>
              <w:jc w:val="center"/>
              <w:rPr>
                <w:rFonts w:ascii="宋体" w:hAnsi="宋体"/>
                <w:szCs w:val="21"/>
                <w:highlight w:val="none"/>
              </w:rPr>
            </w:pPr>
            <w:r>
              <w:rPr>
                <w:rFonts w:hint="eastAsia" w:ascii="宋体" w:hAnsi="宋体"/>
                <w:szCs w:val="21"/>
                <w:highlight w:val="none"/>
              </w:rPr>
              <w:t>1套</w:t>
            </w:r>
          </w:p>
        </w:tc>
      </w:tr>
      <w:tr w14:paraId="395E4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0B0BAC0B">
            <w:pPr>
              <w:jc w:val="center"/>
              <w:rPr>
                <w:rFonts w:ascii="宋体" w:hAnsi="宋体" w:cs="宋体"/>
                <w:szCs w:val="21"/>
                <w:highlight w:val="none"/>
              </w:rPr>
            </w:pPr>
          </w:p>
        </w:tc>
        <w:tc>
          <w:tcPr>
            <w:tcW w:w="526" w:type="pct"/>
            <w:vAlign w:val="center"/>
          </w:tcPr>
          <w:p w14:paraId="475BAB8D">
            <w:pPr>
              <w:rPr>
                <w:rFonts w:ascii="宋体" w:hAnsi="宋体"/>
                <w:szCs w:val="21"/>
                <w:highlight w:val="none"/>
              </w:rPr>
            </w:pPr>
            <w:r>
              <w:rPr>
                <w:rFonts w:hint="eastAsia" w:ascii="宋体" w:hAnsi="宋体"/>
                <w:szCs w:val="21"/>
                <w:highlight w:val="none"/>
              </w:rPr>
              <w:t>路由器</w:t>
            </w:r>
          </w:p>
        </w:tc>
        <w:tc>
          <w:tcPr>
            <w:tcW w:w="3270" w:type="pct"/>
            <w:vAlign w:val="center"/>
          </w:tcPr>
          <w:p w14:paraId="1857BCAF">
            <w:pPr>
              <w:rPr>
                <w:rFonts w:ascii="宋体" w:hAnsi="宋体"/>
                <w:szCs w:val="21"/>
                <w:highlight w:val="none"/>
              </w:rPr>
            </w:pPr>
            <w:r>
              <w:rPr>
                <w:rFonts w:ascii="宋体" w:hAnsi="宋体"/>
                <w:szCs w:val="21"/>
                <w:highlight w:val="none"/>
              </w:rPr>
              <w:t>VPN：支持企业VPN</w:t>
            </w:r>
          </w:p>
          <w:p w14:paraId="221E1291">
            <w:pPr>
              <w:rPr>
                <w:rFonts w:ascii="宋体" w:hAnsi="宋体"/>
                <w:szCs w:val="21"/>
                <w:highlight w:val="none"/>
              </w:rPr>
            </w:pPr>
            <w:r>
              <w:rPr>
                <w:rFonts w:ascii="宋体" w:hAnsi="宋体"/>
                <w:szCs w:val="21"/>
                <w:highlight w:val="none"/>
              </w:rPr>
              <w:t>LAN输出口：千兆网口</w:t>
            </w:r>
          </w:p>
          <w:p w14:paraId="4283DD54">
            <w:pPr>
              <w:rPr>
                <w:rFonts w:ascii="宋体" w:hAnsi="宋体"/>
                <w:szCs w:val="21"/>
                <w:highlight w:val="none"/>
              </w:rPr>
            </w:pPr>
            <w:r>
              <w:rPr>
                <w:rFonts w:ascii="宋体" w:hAnsi="宋体"/>
                <w:szCs w:val="21"/>
                <w:highlight w:val="none"/>
              </w:rPr>
              <w:t>机身材质：金属</w:t>
            </w:r>
          </w:p>
          <w:p w14:paraId="44A9B8ED">
            <w:pPr>
              <w:rPr>
                <w:rFonts w:ascii="宋体" w:hAnsi="宋体"/>
                <w:szCs w:val="21"/>
                <w:highlight w:val="none"/>
              </w:rPr>
            </w:pPr>
            <w:r>
              <w:rPr>
                <w:rFonts w:ascii="宋体" w:hAnsi="宋体"/>
                <w:szCs w:val="21"/>
                <w:highlight w:val="none"/>
              </w:rPr>
              <w:t>其他管理方式：APP管理，云端管理，远程管理，WEB页面</w:t>
            </w:r>
          </w:p>
          <w:p w14:paraId="01F4A41E">
            <w:pPr>
              <w:rPr>
                <w:rFonts w:ascii="宋体" w:hAnsi="宋体"/>
                <w:szCs w:val="21"/>
                <w:highlight w:val="none"/>
              </w:rPr>
            </w:pPr>
            <w:r>
              <w:rPr>
                <w:rFonts w:ascii="宋体" w:hAnsi="宋体"/>
                <w:szCs w:val="21"/>
                <w:highlight w:val="none"/>
              </w:rPr>
              <w:t>防火墙：支持防火墙</w:t>
            </w:r>
          </w:p>
          <w:p w14:paraId="48DE0586">
            <w:pPr>
              <w:rPr>
                <w:rFonts w:ascii="宋体" w:hAnsi="宋体"/>
                <w:szCs w:val="21"/>
                <w:highlight w:val="none"/>
              </w:rPr>
            </w:pPr>
            <w:r>
              <w:rPr>
                <w:rFonts w:ascii="宋体" w:hAnsi="宋体"/>
                <w:szCs w:val="21"/>
                <w:highlight w:val="none"/>
              </w:rPr>
              <w:t>WAN口类型：电口</w:t>
            </w:r>
          </w:p>
          <w:p w14:paraId="5D0B086B">
            <w:pPr>
              <w:rPr>
                <w:rFonts w:ascii="宋体" w:hAnsi="宋体"/>
                <w:szCs w:val="21"/>
                <w:highlight w:val="none"/>
              </w:rPr>
            </w:pPr>
            <w:r>
              <w:rPr>
                <w:rFonts w:ascii="宋体" w:hAnsi="宋体"/>
                <w:szCs w:val="21"/>
                <w:highlight w:val="none"/>
              </w:rPr>
              <w:t>LAN口类型：电口</w:t>
            </w:r>
          </w:p>
          <w:p w14:paraId="605E4493">
            <w:pPr>
              <w:rPr>
                <w:rFonts w:ascii="宋体" w:hAnsi="宋体"/>
                <w:szCs w:val="21"/>
                <w:highlight w:val="none"/>
              </w:rPr>
            </w:pPr>
            <w:r>
              <w:rPr>
                <w:rFonts w:ascii="宋体" w:hAnsi="宋体"/>
                <w:szCs w:val="21"/>
                <w:highlight w:val="none"/>
              </w:rPr>
              <w:t>总带机量：81-100</w:t>
            </w:r>
          </w:p>
          <w:p w14:paraId="770BD10F">
            <w:pPr>
              <w:rPr>
                <w:rFonts w:ascii="宋体" w:hAnsi="宋体"/>
                <w:szCs w:val="21"/>
                <w:highlight w:val="none"/>
              </w:rPr>
            </w:pPr>
            <w:r>
              <w:rPr>
                <w:rFonts w:ascii="宋体" w:hAnsi="宋体"/>
                <w:szCs w:val="21"/>
                <w:highlight w:val="none"/>
              </w:rPr>
              <w:t>AP管理：支持AP管理</w:t>
            </w:r>
          </w:p>
          <w:p w14:paraId="0A21677E">
            <w:pPr>
              <w:rPr>
                <w:rFonts w:ascii="宋体" w:hAnsi="宋体"/>
                <w:szCs w:val="21"/>
                <w:highlight w:val="none"/>
              </w:rPr>
            </w:pPr>
            <w:r>
              <w:rPr>
                <w:rFonts w:ascii="宋体" w:hAnsi="宋体"/>
                <w:szCs w:val="21"/>
                <w:highlight w:val="none"/>
              </w:rPr>
              <w:t>上网行为管理：支持上网行为管理</w:t>
            </w:r>
          </w:p>
          <w:p w14:paraId="26B66401">
            <w:pPr>
              <w:rPr>
                <w:rFonts w:ascii="宋体" w:hAnsi="宋体"/>
                <w:szCs w:val="21"/>
                <w:highlight w:val="none"/>
              </w:rPr>
            </w:pPr>
            <w:r>
              <w:rPr>
                <w:rFonts w:ascii="宋体" w:hAnsi="宋体"/>
                <w:szCs w:val="21"/>
                <w:highlight w:val="none"/>
              </w:rPr>
              <w:t>接入口：千兆网口</w:t>
            </w:r>
          </w:p>
          <w:p w14:paraId="27F35379">
            <w:pPr>
              <w:rPr>
                <w:rFonts w:ascii="宋体" w:hAnsi="宋体"/>
                <w:szCs w:val="21"/>
                <w:highlight w:val="none"/>
              </w:rPr>
            </w:pPr>
            <w:r>
              <w:rPr>
                <w:rFonts w:ascii="宋体" w:hAnsi="宋体"/>
                <w:szCs w:val="21"/>
                <w:highlight w:val="none"/>
              </w:rPr>
              <w:t>VPN类型：IPSec VPN，L2tp VPN</w:t>
            </w:r>
          </w:p>
        </w:tc>
        <w:tc>
          <w:tcPr>
            <w:tcW w:w="776" w:type="pct"/>
            <w:vAlign w:val="center"/>
          </w:tcPr>
          <w:p w14:paraId="544E2823">
            <w:pPr>
              <w:jc w:val="center"/>
              <w:rPr>
                <w:rFonts w:ascii="宋体" w:hAnsi="宋体"/>
                <w:szCs w:val="21"/>
                <w:highlight w:val="none"/>
              </w:rPr>
            </w:pPr>
            <w:r>
              <w:rPr>
                <w:rFonts w:hint="eastAsia" w:ascii="宋体" w:hAnsi="宋体"/>
                <w:szCs w:val="21"/>
                <w:highlight w:val="none"/>
              </w:rPr>
              <w:t>1套</w:t>
            </w:r>
          </w:p>
        </w:tc>
      </w:tr>
      <w:tr w14:paraId="63B58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4FF62E3E">
            <w:pPr>
              <w:jc w:val="center"/>
              <w:rPr>
                <w:rFonts w:ascii="宋体" w:hAnsi="宋体" w:cs="宋体"/>
                <w:szCs w:val="21"/>
                <w:highlight w:val="none"/>
              </w:rPr>
            </w:pPr>
          </w:p>
        </w:tc>
        <w:tc>
          <w:tcPr>
            <w:tcW w:w="526" w:type="pct"/>
            <w:vAlign w:val="center"/>
          </w:tcPr>
          <w:p w14:paraId="33773C10">
            <w:pPr>
              <w:rPr>
                <w:rFonts w:ascii="宋体" w:hAnsi="宋体"/>
                <w:szCs w:val="21"/>
                <w:highlight w:val="none"/>
              </w:rPr>
            </w:pPr>
            <w:r>
              <w:rPr>
                <w:rFonts w:hint="eastAsia" w:ascii="宋体" w:hAnsi="宋体"/>
                <w:szCs w:val="21"/>
                <w:highlight w:val="none"/>
              </w:rPr>
              <w:t>供电单元（含UPS）</w:t>
            </w:r>
          </w:p>
        </w:tc>
        <w:tc>
          <w:tcPr>
            <w:tcW w:w="3270" w:type="pct"/>
            <w:vAlign w:val="center"/>
          </w:tcPr>
          <w:p w14:paraId="1FC87B3E">
            <w:pPr>
              <w:rPr>
                <w:rFonts w:ascii="宋体" w:hAnsi="宋体"/>
                <w:szCs w:val="21"/>
                <w:highlight w:val="none"/>
              </w:rPr>
            </w:pPr>
            <w:r>
              <w:rPr>
                <w:rFonts w:hint="eastAsia" w:ascii="宋体" w:hAnsi="宋体"/>
                <w:szCs w:val="21"/>
                <w:highlight w:val="none"/>
              </w:rPr>
              <w:t>根据情况优先采用市电接驳</w:t>
            </w:r>
          </w:p>
          <w:p w14:paraId="6E415BD9">
            <w:pPr>
              <w:rPr>
                <w:rFonts w:ascii="宋体" w:hAnsi="宋体"/>
                <w:szCs w:val="21"/>
                <w:highlight w:val="none"/>
              </w:rPr>
            </w:pPr>
            <w:r>
              <w:rPr>
                <w:rFonts w:hint="eastAsia" w:ascii="宋体" w:hAnsi="宋体"/>
                <w:szCs w:val="21"/>
                <w:highlight w:val="none"/>
              </w:rPr>
              <w:t>1）</w:t>
            </w:r>
            <w:r>
              <w:rPr>
                <w:rFonts w:ascii="宋体" w:hAnsi="宋体"/>
                <w:szCs w:val="21"/>
                <w:highlight w:val="none"/>
              </w:rPr>
              <w:t>1</w:t>
            </w:r>
            <w:r>
              <w:rPr>
                <w:rFonts w:hint="eastAsia" w:ascii="宋体" w:hAnsi="宋体"/>
                <w:szCs w:val="21"/>
                <w:highlight w:val="none"/>
              </w:rPr>
              <w:t>000AH</w:t>
            </w:r>
            <w:r>
              <w:rPr>
                <w:rFonts w:ascii="宋体" w:hAnsi="宋体"/>
                <w:szCs w:val="21"/>
                <w:highlight w:val="none"/>
              </w:rPr>
              <w:t>12</w:t>
            </w:r>
            <w:r>
              <w:rPr>
                <w:rFonts w:hint="eastAsia" w:ascii="宋体" w:hAnsi="宋体"/>
                <w:szCs w:val="21"/>
                <w:highlight w:val="none"/>
              </w:rPr>
              <w:t>00W胶体太阳能供电系统，保证无光下</w:t>
            </w:r>
            <w:r>
              <w:rPr>
                <w:rFonts w:ascii="宋体" w:hAnsi="宋体"/>
                <w:szCs w:val="21"/>
                <w:highlight w:val="none"/>
              </w:rPr>
              <w:t>3</w:t>
            </w:r>
            <w:r>
              <w:rPr>
                <w:rFonts w:hint="eastAsia" w:ascii="宋体" w:hAnsi="宋体"/>
                <w:szCs w:val="21"/>
                <w:highlight w:val="none"/>
              </w:rPr>
              <w:t>天的供电时间。</w:t>
            </w:r>
          </w:p>
          <w:p w14:paraId="42AB02CC">
            <w:pPr>
              <w:rPr>
                <w:rFonts w:ascii="宋体" w:hAnsi="宋体"/>
                <w:szCs w:val="21"/>
                <w:highlight w:val="none"/>
              </w:rPr>
            </w:pPr>
            <w:r>
              <w:rPr>
                <w:rFonts w:hint="eastAsia" w:ascii="宋体" w:hAnsi="宋体"/>
                <w:szCs w:val="21"/>
                <w:highlight w:val="none"/>
              </w:rPr>
              <w:t>2）太阳能板技术参数：</w:t>
            </w:r>
          </w:p>
          <w:p w14:paraId="34C461DF">
            <w:pPr>
              <w:rPr>
                <w:rFonts w:ascii="宋体" w:hAnsi="宋体"/>
                <w:szCs w:val="21"/>
                <w:highlight w:val="none"/>
              </w:rPr>
            </w:pPr>
            <w:r>
              <w:rPr>
                <w:rFonts w:hint="eastAsia" w:ascii="宋体" w:hAnsi="宋体"/>
                <w:szCs w:val="21"/>
                <w:highlight w:val="none"/>
              </w:rPr>
              <w:t>太阳能组件类型：单晶硅</w:t>
            </w:r>
          </w:p>
          <w:p w14:paraId="51417B14">
            <w:pPr>
              <w:rPr>
                <w:rFonts w:ascii="宋体" w:hAnsi="宋体"/>
                <w:szCs w:val="21"/>
                <w:highlight w:val="none"/>
              </w:rPr>
            </w:pPr>
            <w:r>
              <w:rPr>
                <w:rFonts w:hint="eastAsia" w:ascii="宋体" w:hAnsi="宋体"/>
                <w:szCs w:val="21"/>
                <w:highlight w:val="none"/>
              </w:rPr>
              <w:t>太阳能组件转换效率：22%以上</w:t>
            </w:r>
          </w:p>
          <w:p w14:paraId="2FD8BBB9">
            <w:pPr>
              <w:rPr>
                <w:rFonts w:ascii="宋体" w:hAnsi="宋体"/>
                <w:szCs w:val="21"/>
                <w:highlight w:val="none"/>
              </w:rPr>
            </w:pPr>
            <w:r>
              <w:rPr>
                <w:rFonts w:hint="eastAsia" w:ascii="宋体" w:hAnsi="宋体"/>
                <w:szCs w:val="21"/>
                <w:highlight w:val="none"/>
              </w:rPr>
              <w:t>太阳能组件功耗/电压/电流：300Wp/32.96V/9.11A</w:t>
            </w:r>
          </w:p>
          <w:p w14:paraId="02CAE268">
            <w:pPr>
              <w:rPr>
                <w:rFonts w:ascii="宋体" w:hAnsi="宋体"/>
                <w:szCs w:val="21"/>
                <w:highlight w:val="none"/>
              </w:rPr>
            </w:pPr>
            <w:r>
              <w:rPr>
                <w:rFonts w:hint="eastAsia" w:ascii="宋体" w:hAnsi="宋体"/>
                <w:szCs w:val="21"/>
                <w:highlight w:val="none"/>
              </w:rPr>
              <w:t>太阳能板尺寸/重量：系统配置</w:t>
            </w:r>
            <w:r>
              <w:rPr>
                <w:rFonts w:ascii="宋体" w:hAnsi="宋体"/>
                <w:szCs w:val="21"/>
                <w:highlight w:val="none"/>
              </w:rPr>
              <w:t>4</w:t>
            </w:r>
            <w:r>
              <w:rPr>
                <w:rFonts w:hint="eastAsia" w:ascii="宋体" w:hAnsi="宋体"/>
                <w:szCs w:val="21"/>
                <w:highlight w:val="none"/>
              </w:rPr>
              <w:t>块。</w:t>
            </w:r>
          </w:p>
          <w:p w14:paraId="273158D8">
            <w:pPr>
              <w:rPr>
                <w:rFonts w:ascii="宋体" w:hAnsi="宋体"/>
                <w:szCs w:val="21"/>
                <w:highlight w:val="none"/>
              </w:rPr>
            </w:pPr>
            <w:r>
              <w:rPr>
                <w:rFonts w:hint="eastAsia" w:ascii="宋体" w:hAnsi="宋体"/>
                <w:szCs w:val="21"/>
                <w:highlight w:val="none"/>
              </w:rPr>
              <w:t>3）蓄电池技术参数：</w:t>
            </w:r>
          </w:p>
          <w:p w14:paraId="7C064065">
            <w:pPr>
              <w:rPr>
                <w:rFonts w:ascii="宋体" w:hAnsi="宋体"/>
                <w:szCs w:val="21"/>
                <w:highlight w:val="none"/>
              </w:rPr>
            </w:pPr>
            <w:r>
              <w:rPr>
                <w:rFonts w:hint="eastAsia" w:ascii="宋体" w:hAnsi="宋体"/>
                <w:szCs w:val="21"/>
                <w:highlight w:val="none"/>
              </w:rPr>
              <w:t>电池电芯数量/容量：12V 250Ah*4块，总容量大于12000Wh</w:t>
            </w:r>
            <w:r>
              <w:rPr>
                <w:rFonts w:hint="eastAsia" w:ascii="宋体" w:hAnsi="宋体"/>
                <w:szCs w:val="21"/>
                <w:highlight w:val="none"/>
              </w:rPr>
              <w:br w:type="textWrapping"/>
            </w:r>
            <w:r>
              <w:rPr>
                <w:rFonts w:hint="eastAsia" w:ascii="宋体" w:hAnsi="宋体"/>
                <w:szCs w:val="21"/>
                <w:highlight w:val="none"/>
              </w:rPr>
              <w:t>电池额定电压：24V DC</w:t>
            </w:r>
            <w:r>
              <w:rPr>
                <w:rFonts w:hint="eastAsia" w:ascii="宋体" w:hAnsi="宋体"/>
                <w:szCs w:val="21"/>
                <w:highlight w:val="none"/>
              </w:rPr>
              <w:br w:type="textWrapping"/>
            </w:r>
            <w:r>
              <w:rPr>
                <w:rFonts w:hint="eastAsia" w:ascii="宋体" w:hAnsi="宋体"/>
                <w:szCs w:val="21"/>
                <w:highlight w:val="none"/>
              </w:rPr>
              <w:t>工作电压范围：AC220V（MAX400W）</w:t>
            </w:r>
            <w:r>
              <w:rPr>
                <w:rFonts w:hint="eastAsia" w:ascii="宋体" w:hAnsi="宋体"/>
                <w:szCs w:val="21"/>
                <w:highlight w:val="none"/>
              </w:rPr>
              <w:br w:type="textWrapping"/>
            </w:r>
            <w:r>
              <w:rPr>
                <w:rFonts w:hint="eastAsia" w:ascii="宋体" w:hAnsi="宋体"/>
                <w:szCs w:val="21"/>
                <w:highlight w:val="none"/>
              </w:rPr>
              <w:t>电池最大持续工作电流：50A</w:t>
            </w:r>
            <w:r>
              <w:rPr>
                <w:rFonts w:hint="eastAsia" w:ascii="宋体" w:hAnsi="宋体"/>
                <w:szCs w:val="21"/>
                <w:highlight w:val="none"/>
              </w:rPr>
              <w:br w:type="textWrapping"/>
            </w:r>
            <w:r>
              <w:rPr>
                <w:rFonts w:hint="eastAsia" w:ascii="宋体" w:hAnsi="宋体"/>
                <w:szCs w:val="21"/>
                <w:highlight w:val="none"/>
              </w:rPr>
              <w:t>电池循环使用次数：＞400</w:t>
            </w:r>
            <w:r>
              <w:rPr>
                <w:rFonts w:hint="eastAsia" w:ascii="宋体" w:hAnsi="宋体"/>
                <w:szCs w:val="21"/>
                <w:highlight w:val="none"/>
              </w:rPr>
              <w:br w:type="textWrapping"/>
            </w:r>
            <w:r>
              <w:rPr>
                <w:rFonts w:hint="eastAsia" w:ascii="宋体" w:hAnsi="宋体"/>
                <w:szCs w:val="21"/>
                <w:highlight w:val="none"/>
              </w:rPr>
              <w:t>电池保护功能：过充、过放、过流、短路、过载、防反接等完善的系统保护功能</w:t>
            </w:r>
            <w:r>
              <w:rPr>
                <w:rFonts w:hint="eastAsia" w:ascii="宋体" w:hAnsi="宋体"/>
                <w:szCs w:val="21"/>
                <w:highlight w:val="none"/>
              </w:rPr>
              <w:br w:type="textWrapping"/>
            </w:r>
            <w:r>
              <w:rPr>
                <w:rFonts w:hint="eastAsia" w:ascii="宋体" w:hAnsi="宋体"/>
                <w:szCs w:val="21"/>
                <w:highlight w:val="none"/>
              </w:rPr>
              <w:t>电池充电温度：-10℃~50℃</w:t>
            </w:r>
            <w:r>
              <w:rPr>
                <w:rFonts w:hint="eastAsia" w:ascii="宋体" w:hAnsi="宋体"/>
                <w:szCs w:val="21"/>
                <w:highlight w:val="none"/>
              </w:rPr>
              <w:br w:type="textWrapping"/>
            </w:r>
            <w:r>
              <w:rPr>
                <w:rFonts w:hint="eastAsia" w:ascii="宋体" w:hAnsi="宋体"/>
                <w:szCs w:val="21"/>
                <w:highlight w:val="none"/>
              </w:rPr>
              <w:t>电池放电温度：-15℃~50℃</w:t>
            </w:r>
            <w:r>
              <w:rPr>
                <w:rFonts w:hint="eastAsia" w:ascii="宋体" w:hAnsi="宋体"/>
                <w:szCs w:val="21"/>
                <w:highlight w:val="none"/>
              </w:rPr>
              <w:br w:type="textWrapping"/>
            </w:r>
            <w:r>
              <w:rPr>
                <w:rFonts w:hint="eastAsia" w:ascii="宋体" w:hAnsi="宋体"/>
                <w:szCs w:val="21"/>
                <w:highlight w:val="none"/>
              </w:rPr>
              <w:t>电池额定容量：12V 250Ah*4块</w:t>
            </w:r>
          </w:p>
        </w:tc>
        <w:tc>
          <w:tcPr>
            <w:tcW w:w="776" w:type="pct"/>
            <w:vAlign w:val="center"/>
          </w:tcPr>
          <w:p w14:paraId="728503C9">
            <w:pPr>
              <w:jc w:val="center"/>
              <w:rPr>
                <w:rFonts w:ascii="宋体" w:hAnsi="宋体"/>
                <w:szCs w:val="21"/>
                <w:highlight w:val="none"/>
              </w:rPr>
            </w:pPr>
            <w:r>
              <w:rPr>
                <w:rFonts w:hint="eastAsia" w:ascii="宋体" w:hAnsi="宋体"/>
                <w:szCs w:val="21"/>
                <w:highlight w:val="none"/>
              </w:rPr>
              <w:t>1套</w:t>
            </w:r>
          </w:p>
        </w:tc>
      </w:tr>
      <w:tr w14:paraId="5A1D5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53A0DBDE">
            <w:pPr>
              <w:jc w:val="center"/>
              <w:rPr>
                <w:rFonts w:ascii="宋体" w:hAnsi="宋体" w:cs="宋体"/>
                <w:szCs w:val="21"/>
                <w:highlight w:val="none"/>
              </w:rPr>
            </w:pPr>
          </w:p>
        </w:tc>
        <w:tc>
          <w:tcPr>
            <w:tcW w:w="526" w:type="pct"/>
            <w:vAlign w:val="center"/>
          </w:tcPr>
          <w:p w14:paraId="00DA7FCB">
            <w:pPr>
              <w:rPr>
                <w:rFonts w:ascii="宋体" w:hAnsi="宋体"/>
                <w:szCs w:val="21"/>
                <w:highlight w:val="none"/>
              </w:rPr>
            </w:pPr>
            <w:r>
              <w:rPr>
                <w:rFonts w:hint="eastAsia" w:ascii="宋体" w:hAnsi="宋体"/>
                <w:szCs w:val="21"/>
                <w:highlight w:val="none"/>
              </w:rPr>
              <w:t>立杆及支架</w:t>
            </w:r>
          </w:p>
        </w:tc>
        <w:tc>
          <w:tcPr>
            <w:tcW w:w="3270" w:type="pct"/>
            <w:vAlign w:val="center"/>
          </w:tcPr>
          <w:p w14:paraId="5173D8BB">
            <w:pPr>
              <w:rPr>
                <w:rFonts w:ascii="宋体" w:hAnsi="宋体"/>
                <w:szCs w:val="21"/>
                <w:highlight w:val="none"/>
              </w:rPr>
            </w:pPr>
            <w:r>
              <w:rPr>
                <w:rFonts w:hint="eastAsia" w:ascii="宋体" w:hAnsi="宋体"/>
                <w:szCs w:val="21"/>
                <w:highlight w:val="none"/>
              </w:rPr>
              <w:t>1）要求采用观测塔设计，设计高度20~30米；</w:t>
            </w:r>
          </w:p>
          <w:p w14:paraId="0A48AE8F">
            <w:pPr>
              <w:rPr>
                <w:rFonts w:ascii="宋体" w:hAnsi="宋体"/>
                <w:szCs w:val="21"/>
                <w:highlight w:val="none"/>
              </w:rPr>
            </w:pPr>
            <w:r>
              <w:rPr>
                <w:rFonts w:hint="eastAsia" w:ascii="宋体" w:hAnsi="宋体"/>
                <w:szCs w:val="21"/>
                <w:highlight w:val="none"/>
              </w:rPr>
              <w:t>2）塔身要求采用镀锌钢进行制作；</w:t>
            </w:r>
          </w:p>
          <w:p w14:paraId="1D003D78">
            <w:pPr>
              <w:rPr>
                <w:rFonts w:ascii="宋体" w:hAnsi="宋体"/>
                <w:szCs w:val="21"/>
                <w:highlight w:val="none"/>
              </w:rPr>
            </w:pPr>
            <w:r>
              <w:rPr>
                <w:rFonts w:hint="eastAsia" w:ascii="宋体" w:hAnsi="宋体"/>
                <w:szCs w:val="21"/>
                <w:highlight w:val="none"/>
              </w:rPr>
              <w:t>3）塔身及支架要求抗风等级不低于1</w:t>
            </w:r>
            <w:r>
              <w:rPr>
                <w:rFonts w:ascii="宋体" w:hAnsi="宋体"/>
                <w:szCs w:val="21"/>
                <w:highlight w:val="none"/>
              </w:rPr>
              <w:t>0</w:t>
            </w:r>
            <w:r>
              <w:rPr>
                <w:rFonts w:hint="eastAsia" w:ascii="宋体" w:hAnsi="宋体"/>
                <w:szCs w:val="21"/>
                <w:highlight w:val="none"/>
              </w:rPr>
              <w:t>级；</w:t>
            </w:r>
          </w:p>
        </w:tc>
        <w:tc>
          <w:tcPr>
            <w:tcW w:w="776" w:type="pct"/>
            <w:vAlign w:val="center"/>
          </w:tcPr>
          <w:p w14:paraId="2A53734E">
            <w:pPr>
              <w:jc w:val="center"/>
              <w:rPr>
                <w:rFonts w:ascii="宋体" w:hAnsi="宋体"/>
                <w:szCs w:val="21"/>
                <w:highlight w:val="none"/>
              </w:rPr>
            </w:pPr>
            <w:r>
              <w:rPr>
                <w:rFonts w:hint="eastAsia" w:ascii="宋体" w:hAnsi="宋体"/>
                <w:szCs w:val="21"/>
                <w:highlight w:val="none"/>
              </w:rPr>
              <w:t>1套</w:t>
            </w:r>
          </w:p>
        </w:tc>
      </w:tr>
      <w:tr w14:paraId="0EA5B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pct"/>
            <w:vMerge w:val="continue"/>
            <w:vAlign w:val="center"/>
          </w:tcPr>
          <w:p w14:paraId="0CE24B7E">
            <w:pPr>
              <w:jc w:val="center"/>
              <w:rPr>
                <w:rFonts w:ascii="宋体" w:hAnsi="宋体" w:cs="宋体"/>
                <w:szCs w:val="21"/>
                <w:highlight w:val="none"/>
              </w:rPr>
            </w:pPr>
          </w:p>
        </w:tc>
        <w:tc>
          <w:tcPr>
            <w:tcW w:w="526" w:type="pct"/>
            <w:vAlign w:val="center"/>
          </w:tcPr>
          <w:p w14:paraId="321887C7">
            <w:pPr>
              <w:rPr>
                <w:rFonts w:ascii="宋体" w:hAnsi="宋体"/>
                <w:szCs w:val="21"/>
                <w:highlight w:val="none"/>
              </w:rPr>
            </w:pPr>
            <w:r>
              <w:rPr>
                <w:rFonts w:hint="eastAsia" w:ascii="宋体" w:hAnsi="宋体" w:cs="宋体"/>
                <w:kern w:val="0"/>
                <w:sz w:val="24"/>
                <w:highlight w:val="none"/>
              </w:rPr>
              <w:t>★</w:t>
            </w:r>
            <w:r>
              <w:rPr>
                <w:rFonts w:hint="eastAsia" w:ascii="宋体" w:hAnsi="宋体"/>
                <w:szCs w:val="21"/>
                <w:highlight w:val="none"/>
              </w:rPr>
              <w:t>安装维护（含测站选址、设备安装、基准点校准等）</w:t>
            </w:r>
          </w:p>
        </w:tc>
        <w:tc>
          <w:tcPr>
            <w:tcW w:w="3270" w:type="pct"/>
            <w:vAlign w:val="center"/>
          </w:tcPr>
          <w:p w14:paraId="6E19097A">
            <w:pPr>
              <w:rPr>
                <w:rFonts w:ascii="宋体" w:hAnsi="宋体"/>
                <w:szCs w:val="21"/>
                <w:highlight w:val="none"/>
              </w:rPr>
            </w:pPr>
            <w:r>
              <w:rPr>
                <w:rFonts w:hint="eastAsia" w:ascii="宋体" w:hAnsi="宋体"/>
                <w:szCs w:val="21"/>
                <w:highlight w:val="none"/>
              </w:rPr>
              <w:t>1）现场踏勘并方案设计：现场踏勘、提供安装塔设计方案、提供摄像机校正控制点设计方案</w:t>
            </w:r>
          </w:p>
          <w:p w14:paraId="1ED7A478">
            <w:pPr>
              <w:rPr>
                <w:rFonts w:ascii="宋体" w:hAnsi="宋体"/>
                <w:szCs w:val="21"/>
                <w:highlight w:val="none"/>
              </w:rPr>
            </w:pPr>
            <w:r>
              <w:rPr>
                <w:rFonts w:hint="eastAsia" w:ascii="宋体" w:hAnsi="宋体"/>
                <w:szCs w:val="21"/>
                <w:highlight w:val="none"/>
              </w:rPr>
              <w:t>提供系统相机数量，镜头选型及角度的设计方案</w:t>
            </w:r>
          </w:p>
          <w:p w14:paraId="0175458B">
            <w:pPr>
              <w:rPr>
                <w:rFonts w:ascii="宋体" w:hAnsi="宋体"/>
                <w:szCs w:val="21"/>
                <w:highlight w:val="none"/>
              </w:rPr>
            </w:pPr>
            <w:r>
              <w:rPr>
                <w:rFonts w:hint="eastAsia" w:ascii="宋体" w:hAnsi="宋体"/>
                <w:szCs w:val="21"/>
                <w:highlight w:val="none"/>
              </w:rPr>
              <w:t>2）安装调试部分：相机的镜头校准、系统在办公室连接调试、系统现场安装、现场校准控制点RTK坐标收集、网络环境的设置后处理数据库的搭建和参数设置</w:t>
            </w:r>
          </w:p>
          <w:p w14:paraId="0C67962F">
            <w:pPr>
              <w:rPr>
                <w:highlight w:val="none"/>
              </w:rPr>
            </w:pPr>
            <w:r>
              <w:rPr>
                <w:rFonts w:hint="eastAsia" w:ascii="宋体" w:hAnsi="宋体"/>
                <w:szCs w:val="21"/>
                <w:highlight w:val="none"/>
              </w:rPr>
              <w:t>3）培训及技术支持服务： 提供整个系统运行的详细技术培训，使得用户能完全掌握系统的运行原理，系统的日程维护，一般故障排除、提供数据处理的培训、提供为期3年的技术支持服务</w:t>
            </w:r>
          </w:p>
        </w:tc>
        <w:tc>
          <w:tcPr>
            <w:tcW w:w="776" w:type="pct"/>
            <w:vAlign w:val="center"/>
          </w:tcPr>
          <w:p w14:paraId="21E84602">
            <w:pPr>
              <w:jc w:val="center"/>
              <w:rPr>
                <w:rFonts w:ascii="宋体" w:hAnsi="宋体"/>
                <w:szCs w:val="21"/>
                <w:highlight w:val="none"/>
              </w:rPr>
            </w:pPr>
            <w:r>
              <w:rPr>
                <w:rFonts w:hint="eastAsia" w:ascii="宋体" w:hAnsi="宋体"/>
                <w:szCs w:val="21"/>
                <w:highlight w:val="none"/>
              </w:rPr>
              <w:t>5年</w:t>
            </w:r>
          </w:p>
        </w:tc>
      </w:tr>
    </w:tbl>
    <w:p w14:paraId="7D161325">
      <w:pPr>
        <w:adjustRightInd w:val="0"/>
        <w:snapToGrid w:val="0"/>
        <w:spacing w:line="360" w:lineRule="auto"/>
        <w:ind w:left="723" w:hanging="723" w:hangingChars="300"/>
        <w:outlineLvl w:val="2"/>
        <w:rPr>
          <w:rFonts w:ascii="宋体" w:hAnsi="宋体"/>
          <w:b/>
          <w:bCs/>
          <w:sz w:val="24"/>
          <w:szCs w:val="24"/>
          <w:highlight w:val="none"/>
        </w:rPr>
      </w:pPr>
      <w:bookmarkStart w:id="111" w:name="_Toc13479"/>
      <w:bookmarkStart w:id="112" w:name="_Toc343"/>
      <w:r>
        <w:rPr>
          <w:rFonts w:hint="eastAsia" w:ascii="宋体" w:hAnsi="宋体"/>
          <w:b/>
          <w:bCs/>
          <w:sz w:val="24"/>
          <w:szCs w:val="24"/>
          <w:highlight w:val="none"/>
        </w:rPr>
        <w:t>（三）</w:t>
      </w:r>
      <w:r>
        <w:rPr>
          <w:rFonts w:hint="eastAsia" w:ascii="宋体" w:hAnsi="宋体"/>
          <w:b/>
          <w:bCs/>
          <w:sz w:val="24"/>
          <w:highlight w:val="none"/>
        </w:rPr>
        <w:t>生态数字影</w:t>
      </w:r>
      <w:r>
        <w:rPr>
          <w:rFonts w:hint="eastAsia" w:ascii="宋体" w:hAnsi="宋体" w:cs="宋体"/>
          <w:b/>
          <w:bCs/>
          <w:sz w:val="24"/>
          <w:szCs w:val="24"/>
          <w:highlight w:val="none"/>
        </w:rPr>
        <w:t>像</w:t>
      </w:r>
      <w:r>
        <w:rPr>
          <w:rFonts w:hint="eastAsia" w:ascii="宋体" w:hAnsi="宋体"/>
          <w:b/>
          <w:bCs/>
          <w:sz w:val="24"/>
          <w:highlight w:val="none"/>
        </w:rPr>
        <w:t>站</w:t>
      </w:r>
      <w:bookmarkEnd w:id="111"/>
      <w:bookmarkEnd w:id="112"/>
    </w:p>
    <w:p w14:paraId="6D105F76">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针对团山沙滩地形地貌及植被监测搭建两方面的生态数字影像站，其中植被监测主要在沙生植被及防护林区域各布置1个高清视频监测站，获取植被生长状况，开展实时视频监控，并对人工活动、异常事件等进行识别。</w:t>
      </w:r>
    </w:p>
    <w:p w14:paraId="137B581C">
      <w:pPr>
        <w:spacing w:line="360" w:lineRule="auto"/>
        <w:ind w:firstLine="480" w:firstLineChars="200"/>
        <w:rPr>
          <w:rFonts w:ascii="宋体" w:hAnsi="宋体"/>
          <w:sz w:val="24"/>
          <w:szCs w:val="24"/>
          <w:highlight w:val="none"/>
        </w:rPr>
      </w:pPr>
      <w:r>
        <w:rPr>
          <w:rFonts w:hint="eastAsia" w:ascii="宋体" w:hAnsi="宋体"/>
          <w:sz w:val="24"/>
          <w:szCs w:val="24"/>
          <w:highlight w:val="none"/>
        </w:rPr>
        <w:t>生态数字影像站由信息采集系统（高清网络摄像机、环境数据传感器）、无线传输系统、风光互补发电系统三个子系统组成。其中信息采集系统主要采集的信息有：实时高清图像、该点风速、风向、温湿、大气压力等；信息传输采用无线传输架构设计（4G传输或微波传输），该传输的方式具有布线少、操作简单、维护方便、模块化组装、传输稳定等特点，并留有V</w:t>
      </w:r>
      <w:r>
        <w:rPr>
          <w:rFonts w:ascii="宋体" w:hAnsi="宋体"/>
          <w:sz w:val="24"/>
          <w:szCs w:val="24"/>
          <w:highlight w:val="none"/>
        </w:rPr>
        <w:t>PN等接口，可以满足各类数据接口需求</w:t>
      </w:r>
      <w:r>
        <w:rPr>
          <w:rFonts w:hint="eastAsia" w:ascii="宋体" w:hAnsi="宋体"/>
          <w:sz w:val="24"/>
          <w:szCs w:val="24"/>
          <w:highlight w:val="none"/>
        </w:rPr>
        <w:t>；站点还可与各种在线监测传感器联动，实现更多的海洋环境数据实时监测。供电方面采用先进的风光互补发电架构进行供电，该系统具有模块化组装维护、风光电力互补、稳压保护等特点。</w:t>
      </w:r>
    </w:p>
    <w:p w14:paraId="7AC03429">
      <w:pPr>
        <w:pStyle w:val="4"/>
        <w:keepNext w:val="0"/>
        <w:keepLines w:val="0"/>
        <w:adjustRightInd w:val="0"/>
        <w:snapToGrid w:val="0"/>
        <w:textAlignment w:val="baseline"/>
        <w:rPr>
          <w:rFonts w:ascii="Times New Roman"/>
          <w:b w:val="0"/>
          <w:sz w:val="28"/>
          <w:szCs w:val="28"/>
          <w:highlight w:val="none"/>
        </w:rPr>
      </w:pPr>
    </w:p>
    <w:p w14:paraId="622231D0">
      <w:pPr>
        <w:pStyle w:val="4"/>
        <w:keepNext w:val="0"/>
        <w:keepLines w:val="0"/>
        <w:adjustRightInd w:val="0"/>
        <w:snapToGrid w:val="0"/>
        <w:textAlignment w:val="baseline"/>
        <w:rPr>
          <w:rFonts w:ascii="Times New Roman"/>
          <w:b w:val="0"/>
          <w:sz w:val="28"/>
          <w:szCs w:val="28"/>
          <w:highlight w:val="none"/>
        </w:rPr>
      </w:pPr>
    </w:p>
    <w:p w14:paraId="7EE7CB0B">
      <w:pPr>
        <w:pStyle w:val="4"/>
        <w:keepNext w:val="0"/>
        <w:keepLines w:val="0"/>
        <w:adjustRightInd w:val="0"/>
        <w:snapToGrid w:val="0"/>
        <w:textAlignment w:val="baseline"/>
        <w:rPr>
          <w:rFonts w:ascii="Times New Roman"/>
          <w:b w:val="0"/>
          <w:sz w:val="28"/>
          <w:szCs w:val="28"/>
          <w:highlight w:val="none"/>
        </w:rPr>
      </w:pPr>
    </w:p>
    <w:p w14:paraId="7DBFC711">
      <w:pPr>
        <w:pStyle w:val="4"/>
        <w:keepNext w:val="0"/>
        <w:keepLines w:val="0"/>
        <w:adjustRightInd w:val="0"/>
        <w:snapToGrid w:val="0"/>
        <w:textAlignment w:val="baseline"/>
        <w:rPr>
          <w:rFonts w:ascii="Times New Roman"/>
          <w:bCs w:val="0"/>
          <w:sz w:val="28"/>
          <w:szCs w:val="28"/>
          <w:highlight w:val="none"/>
        </w:rPr>
      </w:pPr>
      <w:bookmarkStart w:id="113" w:name="_Toc23399"/>
      <w:bookmarkStart w:id="114" w:name="_Toc11901"/>
      <w:r>
        <w:rPr>
          <w:rFonts w:hint="eastAsia" w:ascii="Times New Roman"/>
          <w:bCs w:val="0"/>
          <w:sz w:val="28"/>
          <w:szCs w:val="28"/>
          <w:highlight w:val="none"/>
        </w:rPr>
        <w:t>4.月亮湾长效能力建设</w:t>
      </w:r>
      <w:bookmarkEnd w:id="113"/>
      <w:bookmarkEnd w:id="114"/>
    </w:p>
    <w:tbl>
      <w:tblPr>
        <w:tblStyle w:val="52"/>
        <w:tblW w:w="8357" w:type="dxa"/>
        <w:tblInd w:w="6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8"/>
        <w:gridCol w:w="4337"/>
        <w:gridCol w:w="1412"/>
        <w:gridCol w:w="1550"/>
      </w:tblGrid>
      <w:tr w14:paraId="36E94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1058" w:type="dxa"/>
            <w:vAlign w:val="center"/>
          </w:tcPr>
          <w:p w14:paraId="44BC3BA1">
            <w:pPr>
              <w:pStyle w:val="53"/>
              <w:spacing w:before="61" w:line="231" w:lineRule="auto"/>
              <w:jc w:val="center"/>
              <w:rPr>
                <w:sz w:val="24"/>
                <w:szCs w:val="24"/>
                <w:highlight w:val="none"/>
              </w:rPr>
            </w:pPr>
            <w:r>
              <w:rPr>
                <w:b/>
                <w:bCs/>
                <w:spacing w:val="5"/>
                <w:sz w:val="24"/>
                <w:szCs w:val="24"/>
                <w:highlight w:val="none"/>
              </w:rPr>
              <w:t>序号</w:t>
            </w:r>
          </w:p>
        </w:tc>
        <w:tc>
          <w:tcPr>
            <w:tcW w:w="4337" w:type="dxa"/>
            <w:vAlign w:val="center"/>
          </w:tcPr>
          <w:p w14:paraId="09AC84E4">
            <w:pPr>
              <w:pStyle w:val="53"/>
              <w:spacing w:before="62" w:line="231" w:lineRule="auto"/>
              <w:jc w:val="center"/>
              <w:rPr>
                <w:sz w:val="24"/>
                <w:szCs w:val="24"/>
                <w:highlight w:val="none"/>
              </w:rPr>
            </w:pPr>
            <w:r>
              <w:rPr>
                <w:rFonts w:hint="eastAsia"/>
                <w:b/>
                <w:bCs/>
                <w:spacing w:val="6"/>
                <w:sz w:val="24"/>
                <w:szCs w:val="24"/>
                <w:highlight w:val="none"/>
                <w:lang w:eastAsia="zh-CN"/>
              </w:rPr>
              <w:t>货物名称</w:t>
            </w:r>
          </w:p>
        </w:tc>
        <w:tc>
          <w:tcPr>
            <w:tcW w:w="1412" w:type="dxa"/>
            <w:vAlign w:val="center"/>
          </w:tcPr>
          <w:p w14:paraId="1FD7D461">
            <w:pPr>
              <w:pStyle w:val="53"/>
              <w:spacing w:before="62" w:line="231" w:lineRule="auto"/>
              <w:jc w:val="center"/>
              <w:rPr>
                <w:sz w:val="24"/>
                <w:szCs w:val="24"/>
                <w:highlight w:val="none"/>
              </w:rPr>
            </w:pPr>
            <w:r>
              <w:rPr>
                <w:b/>
                <w:bCs/>
                <w:spacing w:val="4"/>
                <w:sz w:val="24"/>
                <w:szCs w:val="24"/>
                <w:highlight w:val="none"/>
              </w:rPr>
              <w:t>单位</w:t>
            </w:r>
          </w:p>
        </w:tc>
        <w:tc>
          <w:tcPr>
            <w:tcW w:w="1550" w:type="dxa"/>
            <w:vAlign w:val="center"/>
          </w:tcPr>
          <w:p w14:paraId="5A23D874">
            <w:pPr>
              <w:pStyle w:val="53"/>
              <w:spacing w:before="62" w:line="231" w:lineRule="auto"/>
              <w:jc w:val="center"/>
              <w:rPr>
                <w:sz w:val="24"/>
                <w:szCs w:val="24"/>
                <w:highlight w:val="none"/>
              </w:rPr>
            </w:pPr>
            <w:r>
              <w:rPr>
                <w:rFonts w:hint="eastAsia"/>
                <w:b/>
                <w:bCs/>
                <w:spacing w:val="6"/>
                <w:sz w:val="24"/>
                <w:szCs w:val="24"/>
                <w:highlight w:val="none"/>
                <w:lang w:eastAsia="zh-CN"/>
              </w:rPr>
              <w:t>数</w:t>
            </w:r>
            <w:r>
              <w:rPr>
                <w:b/>
                <w:bCs/>
                <w:spacing w:val="6"/>
                <w:sz w:val="24"/>
                <w:szCs w:val="24"/>
                <w:highlight w:val="none"/>
              </w:rPr>
              <w:t>量</w:t>
            </w:r>
          </w:p>
        </w:tc>
      </w:tr>
      <w:tr w14:paraId="5AE35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4" w:hRule="atLeast"/>
        </w:trPr>
        <w:tc>
          <w:tcPr>
            <w:tcW w:w="1058" w:type="dxa"/>
            <w:vAlign w:val="center"/>
          </w:tcPr>
          <w:p w14:paraId="4F782430">
            <w:pPr>
              <w:pStyle w:val="53"/>
              <w:spacing w:before="161" w:line="190" w:lineRule="auto"/>
              <w:jc w:val="center"/>
              <w:rPr>
                <w:sz w:val="24"/>
                <w:szCs w:val="24"/>
                <w:highlight w:val="none"/>
                <w:lang w:eastAsia="zh-CN"/>
              </w:rPr>
            </w:pPr>
            <w:r>
              <w:rPr>
                <w:rFonts w:hint="eastAsia"/>
                <w:sz w:val="24"/>
                <w:szCs w:val="24"/>
                <w:highlight w:val="none"/>
                <w:lang w:eastAsia="zh-CN"/>
              </w:rPr>
              <w:t>1</w:t>
            </w:r>
          </w:p>
        </w:tc>
        <w:tc>
          <w:tcPr>
            <w:tcW w:w="4337" w:type="dxa"/>
            <w:vAlign w:val="center"/>
          </w:tcPr>
          <w:p w14:paraId="55471207">
            <w:pPr>
              <w:pStyle w:val="53"/>
              <w:spacing w:before="130" w:line="230" w:lineRule="auto"/>
              <w:jc w:val="center"/>
              <w:rPr>
                <w:sz w:val="24"/>
                <w:szCs w:val="24"/>
                <w:highlight w:val="none"/>
              </w:rPr>
            </w:pPr>
            <w:r>
              <w:rPr>
                <w:spacing w:val="9"/>
                <w:sz w:val="24"/>
                <w:szCs w:val="24"/>
                <w:highlight w:val="none"/>
              </w:rPr>
              <w:t>海基水动力监测系统</w:t>
            </w:r>
          </w:p>
        </w:tc>
        <w:tc>
          <w:tcPr>
            <w:tcW w:w="1412" w:type="dxa"/>
            <w:vAlign w:val="center"/>
          </w:tcPr>
          <w:p w14:paraId="72B8DEE4">
            <w:pPr>
              <w:pStyle w:val="53"/>
              <w:spacing w:before="130" w:line="231" w:lineRule="auto"/>
              <w:jc w:val="center"/>
              <w:rPr>
                <w:sz w:val="24"/>
                <w:szCs w:val="24"/>
                <w:highlight w:val="none"/>
              </w:rPr>
            </w:pPr>
            <w:r>
              <w:rPr>
                <w:spacing w:val="1"/>
                <w:sz w:val="24"/>
                <w:szCs w:val="24"/>
                <w:highlight w:val="none"/>
              </w:rPr>
              <w:t>套</w:t>
            </w:r>
          </w:p>
        </w:tc>
        <w:tc>
          <w:tcPr>
            <w:tcW w:w="1550" w:type="dxa"/>
            <w:vAlign w:val="center"/>
          </w:tcPr>
          <w:p w14:paraId="65FE3521">
            <w:pPr>
              <w:pStyle w:val="53"/>
              <w:spacing w:before="161" w:line="190" w:lineRule="auto"/>
              <w:jc w:val="center"/>
              <w:rPr>
                <w:sz w:val="24"/>
                <w:szCs w:val="24"/>
                <w:highlight w:val="none"/>
              </w:rPr>
            </w:pPr>
            <w:r>
              <w:rPr>
                <w:sz w:val="24"/>
                <w:szCs w:val="24"/>
                <w:highlight w:val="none"/>
              </w:rPr>
              <w:t>1</w:t>
            </w:r>
          </w:p>
        </w:tc>
      </w:tr>
      <w:tr w14:paraId="527EB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058" w:type="dxa"/>
            <w:vAlign w:val="center"/>
          </w:tcPr>
          <w:p w14:paraId="3B63F21D">
            <w:pPr>
              <w:pStyle w:val="53"/>
              <w:spacing w:before="161" w:line="191" w:lineRule="auto"/>
              <w:jc w:val="center"/>
              <w:rPr>
                <w:sz w:val="24"/>
                <w:szCs w:val="24"/>
                <w:highlight w:val="none"/>
                <w:lang w:eastAsia="zh-CN"/>
              </w:rPr>
            </w:pPr>
            <w:r>
              <w:rPr>
                <w:rFonts w:hint="eastAsia"/>
                <w:spacing w:val="-3"/>
                <w:sz w:val="24"/>
                <w:szCs w:val="24"/>
                <w:highlight w:val="none"/>
                <w:lang w:eastAsia="zh-CN"/>
              </w:rPr>
              <w:t>2</w:t>
            </w:r>
          </w:p>
        </w:tc>
        <w:tc>
          <w:tcPr>
            <w:tcW w:w="4337" w:type="dxa"/>
            <w:vAlign w:val="center"/>
          </w:tcPr>
          <w:p w14:paraId="13B10692">
            <w:pPr>
              <w:pStyle w:val="53"/>
              <w:spacing w:before="131" w:line="230" w:lineRule="auto"/>
              <w:jc w:val="center"/>
              <w:rPr>
                <w:sz w:val="24"/>
                <w:szCs w:val="24"/>
                <w:highlight w:val="none"/>
              </w:rPr>
            </w:pPr>
            <w:r>
              <w:rPr>
                <w:spacing w:val="9"/>
                <w:sz w:val="24"/>
                <w:szCs w:val="24"/>
                <w:highlight w:val="none"/>
              </w:rPr>
              <w:t>岸基水质监测系统</w:t>
            </w:r>
          </w:p>
        </w:tc>
        <w:tc>
          <w:tcPr>
            <w:tcW w:w="1412" w:type="dxa"/>
            <w:vAlign w:val="center"/>
          </w:tcPr>
          <w:p w14:paraId="085309EF">
            <w:pPr>
              <w:pStyle w:val="53"/>
              <w:spacing w:before="131" w:line="231" w:lineRule="auto"/>
              <w:jc w:val="center"/>
              <w:rPr>
                <w:sz w:val="24"/>
                <w:szCs w:val="24"/>
                <w:highlight w:val="none"/>
              </w:rPr>
            </w:pPr>
            <w:r>
              <w:rPr>
                <w:spacing w:val="1"/>
                <w:sz w:val="24"/>
                <w:szCs w:val="24"/>
                <w:highlight w:val="none"/>
              </w:rPr>
              <w:t>套</w:t>
            </w:r>
          </w:p>
        </w:tc>
        <w:tc>
          <w:tcPr>
            <w:tcW w:w="1550" w:type="dxa"/>
            <w:vAlign w:val="center"/>
          </w:tcPr>
          <w:p w14:paraId="07A5A24C">
            <w:pPr>
              <w:pStyle w:val="53"/>
              <w:spacing w:before="162" w:line="190" w:lineRule="auto"/>
              <w:jc w:val="center"/>
              <w:rPr>
                <w:sz w:val="24"/>
                <w:szCs w:val="24"/>
                <w:highlight w:val="none"/>
              </w:rPr>
            </w:pPr>
            <w:r>
              <w:rPr>
                <w:sz w:val="24"/>
                <w:szCs w:val="24"/>
                <w:highlight w:val="none"/>
              </w:rPr>
              <w:t>2</w:t>
            </w:r>
          </w:p>
        </w:tc>
      </w:tr>
    </w:tbl>
    <w:p w14:paraId="661C8EE7">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项目中月亮湾治理主要以浒苔治理为主，月亮湾内浒苔爆发的成因主要包括两方面，一是月亮湾内氮磷营养物丰富，导致月亮湾内浒苔生长具备充足的先天条件；另一方面则是月亮湾内的水动力较弱，不利于污染物向外海的扩散，其先天的水体自净能力不足。为评估月亮湾内浒苔治理效果，支撑月亮湾修复的长效性，特开展月亮湾内海基水动力监测系统及月亮湾附近水质在线监测系统的构建。</w:t>
      </w:r>
    </w:p>
    <w:p w14:paraId="45F3410E">
      <w:pPr>
        <w:adjustRightInd w:val="0"/>
        <w:snapToGrid w:val="0"/>
        <w:spacing w:line="360" w:lineRule="auto"/>
        <w:ind w:left="723" w:hanging="723" w:hangingChars="300"/>
        <w:outlineLvl w:val="2"/>
        <w:rPr>
          <w:rFonts w:ascii="宋体" w:hAnsi="宋体"/>
          <w:b/>
          <w:bCs/>
          <w:sz w:val="24"/>
          <w:szCs w:val="24"/>
          <w:highlight w:val="none"/>
        </w:rPr>
      </w:pPr>
      <w:bookmarkStart w:id="115" w:name="_Toc846"/>
      <w:bookmarkStart w:id="116" w:name="_Toc10944"/>
      <w:r>
        <w:rPr>
          <w:rFonts w:hint="eastAsia" w:ascii="宋体" w:hAnsi="宋体"/>
          <w:b/>
          <w:bCs/>
          <w:sz w:val="24"/>
          <w:szCs w:val="24"/>
          <w:highlight w:val="none"/>
        </w:rPr>
        <w:t>（一）</w:t>
      </w:r>
      <w:r>
        <w:rPr>
          <w:rFonts w:hint="eastAsia" w:ascii="宋体" w:hAnsi="宋体"/>
          <w:b/>
          <w:bCs/>
          <w:sz w:val="24"/>
          <w:highlight w:val="none"/>
        </w:rPr>
        <w:t>海基水动力监测系统</w:t>
      </w:r>
      <w:bookmarkEnd w:id="115"/>
      <w:bookmarkEnd w:id="116"/>
    </w:p>
    <w:p w14:paraId="271831D3">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海基水动力监测系统主要采用离岸式的海床基，并搭配潮位、潮流观测仪器，获取月亮湾内典型时间段内的水文特征，拟于月亮湾内浒苔爆发的月份（7～9月份），在月亮湾中部布置坐地式海床基观测平台，连续观测3个月左右时间，计划于项目实施后的管护期内布置，布置时间为5年，以保证生态修复效果。</w:t>
      </w:r>
    </w:p>
    <w:p w14:paraId="24DB0C33">
      <w:pPr>
        <w:adjustRightInd w:val="0"/>
        <w:snapToGrid w:val="0"/>
        <w:spacing w:line="360" w:lineRule="auto"/>
        <w:ind w:left="723" w:hanging="723" w:hangingChars="300"/>
        <w:outlineLvl w:val="2"/>
        <w:rPr>
          <w:rFonts w:ascii="宋体" w:hAnsi="宋体"/>
          <w:b/>
          <w:bCs/>
          <w:sz w:val="24"/>
          <w:szCs w:val="24"/>
          <w:highlight w:val="none"/>
        </w:rPr>
      </w:pPr>
      <w:bookmarkStart w:id="117" w:name="_Toc22291"/>
      <w:bookmarkStart w:id="118" w:name="_Toc6726"/>
      <w:r>
        <w:rPr>
          <w:rFonts w:hint="eastAsia" w:ascii="宋体" w:hAnsi="宋体"/>
          <w:b/>
          <w:bCs/>
          <w:sz w:val="24"/>
          <w:szCs w:val="24"/>
          <w:highlight w:val="none"/>
        </w:rPr>
        <w:t>（二）</w:t>
      </w:r>
      <w:r>
        <w:rPr>
          <w:rFonts w:hint="eastAsia" w:ascii="宋体" w:hAnsi="宋体"/>
          <w:b/>
          <w:bCs/>
          <w:sz w:val="24"/>
          <w:highlight w:val="none"/>
        </w:rPr>
        <w:t>岸基水质监测系统</w:t>
      </w:r>
      <w:bookmarkEnd w:id="117"/>
      <w:bookmarkEnd w:id="118"/>
    </w:p>
    <w:p w14:paraId="5BAB0B18">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月亮湾内丰富的氮磷营养物是浒苔爆发的主要诱因，其中红海河位于月亮湾内北侧，承担了鲅鱼圈区大部分污染物的排放入海，对月亮湾湾内水质的影响起决定作用，为保障浒苔治理效果，拟开展月亮湾水质在线跟踪监测，分别在红海河及月亮湾内各布置1处水质在线监测站，主要监测参数包括水温、pH、浊度、电导率、溶解氧、叶绿素a、氨氮、总磷、总氮等。</w:t>
      </w:r>
    </w:p>
    <w:p w14:paraId="04F1DDA7">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水质监测数据通过网络传输至监测预警平台，进而结合水动力数据，评估月亮湾内水质变化对浒苔爆发风险的影响，及时优化修复后的管护措施，保障生态修复的长效性。</w:t>
      </w:r>
    </w:p>
    <w:p w14:paraId="02B1C699">
      <w:pPr>
        <w:pStyle w:val="4"/>
        <w:keepNext w:val="0"/>
        <w:keepLines w:val="0"/>
        <w:adjustRightInd w:val="0"/>
        <w:snapToGrid w:val="0"/>
        <w:textAlignment w:val="baseline"/>
        <w:rPr>
          <w:rFonts w:ascii="Times New Roman"/>
          <w:bCs w:val="0"/>
          <w:sz w:val="28"/>
          <w:szCs w:val="28"/>
          <w:highlight w:val="none"/>
        </w:rPr>
      </w:pPr>
      <w:bookmarkStart w:id="119" w:name="_Toc4211"/>
      <w:bookmarkStart w:id="120" w:name="_Toc22917"/>
      <w:r>
        <w:rPr>
          <w:rFonts w:hint="eastAsia" w:ascii="Times New Roman"/>
          <w:bCs w:val="0"/>
          <w:sz w:val="28"/>
          <w:szCs w:val="28"/>
          <w:highlight w:val="none"/>
        </w:rPr>
        <w:t>5.生态监测预警与修复管理平台</w:t>
      </w:r>
      <w:bookmarkEnd w:id="119"/>
      <w:bookmarkEnd w:id="120"/>
    </w:p>
    <w:tbl>
      <w:tblPr>
        <w:tblStyle w:val="52"/>
        <w:tblW w:w="8738" w:type="dxa"/>
        <w:tblInd w:w="6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7"/>
        <w:gridCol w:w="4534"/>
        <w:gridCol w:w="1477"/>
        <w:gridCol w:w="1620"/>
      </w:tblGrid>
      <w:tr w14:paraId="34815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22" w:hRule="atLeast"/>
        </w:trPr>
        <w:tc>
          <w:tcPr>
            <w:tcW w:w="1107" w:type="dxa"/>
            <w:vAlign w:val="center"/>
          </w:tcPr>
          <w:p w14:paraId="160B1341">
            <w:pPr>
              <w:pStyle w:val="53"/>
              <w:spacing w:before="61" w:line="231" w:lineRule="auto"/>
              <w:jc w:val="center"/>
              <w:rPr>
                <w:sz w:val="24"/>
                <w:szCs w:val="24"/>
                <w:highlight w:val="none"/>
              </w:rPr>
            </w:pPr>
            <w:r>
              <w:rPr>
                <w:b/>
                <w:bCs/>
                <w:spacing w:val="5"/>
                <w:sz w:val="24"/>
                <w:szCs w:val="24"/>
                <w:highlight w:val="none"/>
              </w:rPr>
              <w:t>序号</w:t>
            </w:r>
          </w:p>
        </w:tc>
        <w:tc>
          <w:tcPr>
            <w:tcW w:w="4534" w:type="dxa"/>
            <w:vAlign w:val="center"/>
          </w:tcPr>
          <w:p w14:paraId="37F550C4">
            <w:pPr>
              <w:pStyle w:val="53"/>
              <w:spacing w:before="62" w:line="231" w:lineRule="auto"/>
              <w:jc w:val="center"/>
              <w:rPr>
                <w:sz w:val="24"/>
                <w:szCs w:val="24"/>
                <w:highlight w:val="none"/>
              </w:rPr>
            </w:pPr>
            <w:r>
              <w:rPr>
                <w:rFonts w:hint="eastAsia"/>
                <w:b/>
                <w:bCs/>
                <w:spacing w:val="6"/>
                <w:sz w:val="24"/>
                <w:szCs w:val="24"/>
                <w:highlight w:val="none"/>
                <w:lang w:eastAsia="zh-CN"/>
              </w:rPr>
              <w:t>货物名称</w:t>
            </w:r>
          </w:p>
        </w:tc>
        <w:tc>
          <w:tcPr>
            <w:tcW w:w="1477" w:type="dxa"/>
            <w:vAlign w:val="center"/>
          </w:tcPr>
          <w:p w14:paraId="23D87C4C">
            <w:pPr>
              <w:pStyle w:val="53"/>
              <w:spacing w:before="62" w:line="231" w:lineRule="auto"/>
              <w:jc w:val="center"/>
              <w:rPr>
                <w:sz w:val="24"/>
                <w:szCs w:val="24"/>
                <w:highlight w:val="none"/>
              </w:rPr>
            </w:pPr>
            <w:r>
              <w:rPr>
                <w:b/>
                <w:bCs/>
                <w:spacing w:val="4"/>
                <w:sz w:val="24"/>
                <w:szCs w:val="24"/>
                <w:highlight w:val="none"/>
              </w:rPr>
              <w:t>单位</w:t>
            </w:r>
          </w:p>
        </w:tc>
        <w:tc>
          <w:tcPr>
            <w:tcW w:w="1620" w:type="dxa"/>
            <w:vAlign w:val="center"/>
          </w:tcPr>
          <w:p w14:paraId="3C2EF9DD">
            <w:pPr>
              <w:pStyle w:val="53"/>
              <w:spacing w:before="62" w:line="231" w:lineRule="auto"/>
              <w:jc w:val="center"/>
              <w:rPr>
                <w:sz w:val="24"/>
                <w:szCs w:val="24"/>
                <w:highlight w:val="none"/>
              </w:rPr>
            </w:pPr>
            <w:r>
              <w:rPr>
                <w:rFonts w:hint="eastAsia"/>
                <w:b/>
                <w:bCs/>
                <w:spacing w:val="6"/>
                <w:sz w:val="24"/>
                <w:szCs w:val="24"/>
                <w:highlight w:val="none"/>
                <w:lang w:eastAsia="zh-CN"/>
              </w:rPr>
              <w:t>数</w:t>
            </w:r>
            <w:r>
              <w:rPr>
                <w:b/>
                <w:bCs/>
                <w:spacing w:val="6"/>
                <w:sz w:val="24"/>
                <w:szCs w:val="24"/>
                <w:highlight w:val="none"/>
              </w:rPr>
              <w:t>量</w:t>
            </w:r>
          </w:p>
        </w:tc>
      </w:tr>
      <w:tr w14:paraId="515DE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7" w:hRule="atLeast"/>
        </w:trPr>
        <w:tc>
          <w:tcPr>
            <w:tcW w:w="1107" w:type="dxa"/>
            <w:vAlign w:val="center"/>
          </w:tcPr>
          <w:p w14:paraId="4CE2E69A">
            <w:pPr>
              <w:pStyle w:val="53"/>
              <w:spacing w:before="164" w:line="190" w:lineRule="auto"/>
              <w:jc w:val="center"/>
              <w:rPr>
                <w:sz w:val="24"/>
                <w:szCs w:val="24"/>
                <w:highlight w:val="none"/>
              </w:rPr>
            </w:pPr>
            <w:r>
              <w:rPr>
                <w:spacing w:val="-3"/>
                <w:sz w:val="24"/>
                <w:szCs w:val="24"/>
                <w:highlight w:val="none"/>
              </w:rPr>
              <w:t>1</w:t>
            </w:r>
          </w:p>
        </w:tc>
        <w:tc>
          <w:tcPr>
            <w:tcW w:w="4534" w:type="dxa"/>
            <w:vAlign w:val="center"/>
          </w:tcPr>
          <w:p w14:paraId="3A076598">
            <w:pPr>
              <w:pStyle w:val="53"/>
              <w:spacing w:before="133" w:line="229" w:lineRule="auto"/>
              <w:jc w:val="center"/>
              <w:rPr>
                <w:sz w:val="24"/>
                <w:szCs w:val="24"/>
                <w:highlight w:val="none"/>
              </w:rPr>
            </w:pPr>
            <w:r>
              <w:rPr>
                <w:spacing w:val="8"/>
                <w:sz w:val="24"/>
                <w:szCs w:val="24"/>
                <w:highlight w:val="none"/>
              </w:rPr>
              <w:t>监测无人机、无人船</w:t>
            </w:r>
          </w:p>
        </w:tc>
        <w:tc>
          <w:tcPr>
            <w:tcW w:w="1477" w:type="dxa"/>
            <w:vAlign w:val="center"/>
          </w:tcPr>
          <w:p w14:paraId="35161D57">
            <w:pPr>
              <w:pStyle w:val="53"/>
              <w:spacing w:before="132" w:line="231" w:lineRule="auto"/>
              <w:jc w:val="center"/>
              <w:rPr>
                <w:sz w:val="24"/>
                <w:szCs w:val="24"/>
                <w:highlight w:val="none"/>
              </w:rPr>
            </w:pPr>
            <w:r>
              <w:rPr>
                <w:spacing w:val="1"/>
                <w:sz w:val="24"/>
                <w:szCs w:val="24"/>
                <w:highlight w:val="none"/>
              </w:rPr>
              <w:t>套</w:t>
            </w:r>
          </w:p>
        </w:tc>
        <w:tc>
          <w:tcPr>
            <w:tcW w:w="1620" w:type="dxa"/>
            <w:vAlign w:val="center"/>
          </w:tcPr>
          <w:p w14:paraId="657387E9">
            <w:pPr>
              <w:pStyle w:val="53"/>
              <w:spacing w:before="164" w:line="190" w:lineRule="auto"/>
              <w:jc w:val="center"/>
              <w:rPr>
                <w:sz w:val="24"/>
                <w:szCs w:val="24"/>
                <w:highlight w:val="none"/>
                <w:lang w:eastAsia="zh-CN"/>
              </w:rPr>
            </w:pPr>
            <w:r>
              <w:rPr>
                <w:rFonts w:hint="eastAsia"/>
                <w:sz w:val="24"/>
                <w:szCs w:val="24"/>
                <w:highlight w:val="none"/>
                <w:lang w:eastAsia="zh-CN"/>
              </w:rPr>
              <w:t>1</w:t>
            </w:r>
          </w:p>
        </w:tc>
      </w:tr>
      <w:tr w14:paraId="0A34C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8" w:hRule="atLeast"/>
        </w:trPr>
        <w:tc>
          <w:tcPr>
            <w:tcW w:w="1107" w:type="dxa"/>
            <w:vAlign w:val="center"/>
          </w:tcPr>
          <w:p w14:paraId="6908472A">
            <w:pPr>
              <w:pStyle w:val="53"/>
              <w:spacing w:before="163" w:line="190" w:lineRule="auto"/>
              <w:jc w:val="center"/>
              <w:rPr>
                <w:sz w:val="24"/>
                <w:szCs w:val="24"/>
                <w:highlight w:val="none"/>
              </w:rPr>
            </w:pPr>
            <w:r>
              <w:rPr>
                <w:spacing w:val="-4"/>
                <w:sz w:val="24"/>
                <w:szCs w:val="24"/>
                <w:highlight w:val="none"/>
              </w:rPr>
              <w:t>2</w:t>
            </w:r>
          </w:p>
        </w:tc>
        <w:tc>
          <w:tcPr>
            <w:tcW w:w="4534" w:type="dxa"/>
            <w:vAlign w:val="center"/>
          </w:tcPr>
          <w:p w14:paraId="0E36F297">
            <w:pPr>
              <w:pStyle w:val="53"/>
              <w:spacing w:before="131" w:line="229" w:lineRule="auto"/>
              <w:jc w:val="center"/>
              <w:rPr>
                <w:sz w:val="24"/>
                <w:szCs w:val="24"/>
                <w:highlight w:val="none"/>
                <w:lang w:eastAsia="zh-CN"/>
              </w:rPr>
            </w:pPr>
            <w:r>
              <w:rPr>
                <w:spacing w:val="9"/>
                <w:sz w:val="24"/>
                <w:szCs w:val="24"/>
                <w:highlight w:val="none"/>
                <w:lang w:eastAsia="zh-CN"/>
              </w:rPr>
              <w:t>生态修复评估与预警监管系统</w:t>
            </w:r>
          </w:p>
        </w:tc>
        <w:tc>
          <w:tcPr>
            <w:tcW w:w="1477" w:type="dxa"/>
            <w:vAlign w:val="center"/>
          </w:tcPr>
          <w:p w14:paraId="61503EEC">
            <w:pPr>
              <w:pStyle w:val="53"/>
              <w:spacing w:before="131" w:line="231" w:lineRule="auto"/>
              <w:jc w:val="center"/>
              <w:rPr>
                <w:sz w:val="24"/>
                <w:szCs w:val="24"/>
                <w:highlight w:val="none"/>
              </w:rPr>
            </w:pPr>
            <w:r>
              <w:rPr>
                <w:spacing w:val="1"/>
                <w:sz w:val="24"/>
                <w:szCs w:val="24"/>
                <w:highlight w:val="none"/>
              </w:rPr>
              <w:t>套</w:t>
            </w:r>
          </w:p>
        </w:tc>
        <w:tc>
          <w:tcPr>
            <w:tcW w:w="1620" w:type="dxa"/>
            <w:vAlign w:val="center"/>
          </w:tcPr>
          <w:p w14:paraId="272E3ED8">
            <w:pPr>
              <w:pStyle w:val="53"/>
              <w:spacing w:before="163" w:line="190" w:lineRule="auto"/>
              <w:jc w:val="center"/>
              <w:rPr>
                <w:sz w:val="24"/>
                <w:szCs w:val="24"/>
                <w:highlight w:val="none"/>
              </w:rPr>
            </w:pPr>
            <w:r>
              <w:rPr>
                <w:sz w:val="24"/>
                <w:szCs w:val="24"/>
                <w:highlight w:val="none"/>
              </w:rPr>
              <w:t>1</w:t>
            </w:r>
          </w:p>
        </w:tc>
      </w:tr>
    </w:tbl>
    <w:p w14:paraId="08631938">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构建基于Web GIS具有海洋水文动力及生态环境数据管理、生态修复效果评估、生态风险预警监管等功能的生态监测预警与修复管理平台。整合浮标在线监测设备、跟踪监测数据、历史数据资料及工程建设过程中产生的照片、视频、报告、报表等构建基础数据库；以此为基础，研发生态环境数据管理、生态修复效果评估、生态风险预警监管等功能模块，实现水文动力、营养盐等海洋生态要素的实时查询和海洋生态环境风险的及时预警。平台主要由以下系统组成：</w:t>
      </w:r>
    </w:p>
    <w:p w14:paraId="2F44A495">
      <w:pPr>
        <w:adjustRightInd w:val="0"/>
        <w:snapToGrid w:val="0"/>
        <w:spacing w:line="360" w:lineRule="auto"/>
        <w:ind w:left="723" w:hanging="723" w:hangingChars="300"/>
        <w:outlineLvl w:val="2"/>
        <w:rPr>
          <w:rFonts w:ascii="宋体" w:hAnsi="宋体"/>
          <w:b/>
          <w:bCs/>
          <w:sz w:val="24"/>
          <w:szCs w:val="24"/>
          <w:highlight w:val="none"/>
        </w:rPr>
      </w:pPr>
      <w:bookmarkStart w:id="121" w:name="_Toc30811"/>
      <w:bookmarkStart w:id="122" w:name="_Toc19106"/>
      <w:r>
        <w:rPr>
          <w:rFonts w:hint="eastAsia" w:ascii="宋体" w:hAnsi="宋体"/>
          <w:b/>
          <w:bCs/>
          <w:sz w:val="24"/>
          <w:szCs w:val="24"/>
          <w:highlight w:val="none"/>
        </w:rPr>
        <w:t>（一）</w:t>
      </w:r>
      <w:r>
        <w:rPr>
          <w:rFonts w:hint="eastAsia" w:ascii="宋体" w:hAnsi="宋体"/>
          <w:b/>
          <w:bCs/>
          <w:sz w:val="24"/>
          <w:highlight w:val="none"/>
        </w:rPr>
        <w:t>无人生态巡查系统</w:t>
      </w:r>
      <w:bookmarkEnd w:id="121"/>
      <w:bookmarkEnd w:id="122"/>
    </w:p>
    <w:p w14:paraId="0ED4D224">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由于近年来浒苔频发，浒苔防治的范围超过1000公顷，具体爆发位置难预判，为满足应急监测需求和修复跟踪监测需求，拟配备无人生态巡查系统，包含1套航测无人机、1套水质监测无人船。利用无人机搭载三维激光扫描仪、可见光摄像机，用于目标区域地貌测量、植被状态监测；利用水质监测无人船搭载水质传感器，实现目标水域水质监测。</w:t>
      </w:r>
    </w:p>
    <w:p w14:paraId="0EC9F927">
      <w:pPr>
        <w:pStyle w:val="55"/>
        <w:adjustRightInd w:val="0"/>
        <w:snapToGrid w:val="0"/>
        <w:spacing w:beforeLines="0"/>
        <w:ind w:firstLine="0" w:firstLineChars="0"/>
        <w:jc w:val="center"/>
        <w:rPr>
          <w:rFonts w:ascii="黑体" w:hAnsi="黑体" w:eastAsia="黑体" w:cs="仿宋"/>
          <w:b/>
          <w:kern w:val="0"/>
          <w:szCs w:val="24"/>
          <w:highlight w:val="none"/>
        </w:rPr>
      </w:pPr>
      <w:r>
        <w:rPr>
          <w:rFonts w:hint="eastAsia" w:ascii="黑体" w:hAnsi="黑体" w:eastAsia="黑体" w:cs="仿宋"/>
          <w:b/>
          <w:kern w:val="0"/>
          <w:szCs w:val="24"/>
          <w:highlight w:val="none"/>
        </w:rPr>
        <w:t>无人生态巡查系统详细技术参数明细表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5"/>
        <w:gridCol w:w="1038"/>
        <w:gridCol w:w="6449"/>
        <w:gridCol w:w="1518"/>
      </w:tblGrid>
      <w:tr w14:paraId="2172E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Align w:val="center"/>
          </w:tcPr>
          <w:p w14:paraId="4F12A065">
            <w:pPr>
              <w:widowControl/>
              <w:jc w:val="center"/>
              <w:textAlignment w:val="center"/>
              <w:rPr>
                <w:rFonts w:ascii="宋体" w:hAnsi="宋体" w:cs="宋体"/>
                <w:b/>
                <w:bCs/>
                <w:szCs w:val="21"/>
                <w:highlight w:val="none"/>
              </w:rPr>
            </w:pPr>
            <w:r>
              <w:rPr>
                <w:rFonts w:hint="eastAsia" w:ascii="宋体" w:hAnsi="宋体" w:cs="宋体"/>
                <w:b/>
                <w:bCs/>
                <w:szCs w:val="21"/>
                <w:highlight w:val="none"/>
              </w:rPr>
              <w:t>建设内容</w:t>
            </w:r>
          </w:p>
        </w:tc>
        <w:tc>
          <w:tcPr>
            <w:tcW w:w="527" w:type="pct"/>
            <w:vAlign w:val="center"/>
          </w:tcPr>
          <w:p w14:paraId="16833B66">
            <w:pPr>
              <w:widowControl/>
              <w:jc w:val="center"/>
              <w:textAlignment w:val="center"/>
              <w:rPr>
                <w:rFonts w:ascii="宋体" w:hAnsi="宋体" w:cs="宋体"/>
                <w:b/>
                <w:bCs/>
                <w:szCs w:val="21"/>
                <w:highlight w:val="none"/>
              </w:rPr>
            </w:pPr>
            <w:r>
              <w:rPr>
                <w:rFonts w:hint="eastAsia" w:ascii="宋体" w:hAnsi="宋体" w:cs="宋体"/>
                <w:b/>
                <w:bCs/>
                <w:szCs w:val="21"/>
                <w:highlight w:val="none"/>
              </w:rPr>
              <w:t>分项明细</w:t>
            </w:r>
          </w:p>
        </w:tc>
        <w:tc>
          <w:tcPr>
            <w:tcW w:w="3273" w:type="pct"/>
            <w:vAlign w:val="center"/>
          </w:tcPr>
          <w:p w14:paraId="7581D41E">
            <w:pPr>
              <w:widowControl/>
              <w:jc w:val="center"/>
              <w:textAlignment w:val="center"/>
              <w:rPr>
                <w:rFonts w:ascii="宋体" w:hAnsi="宋体" w:cs="宋体"/>
                <w:b/>
                <w:bCs/>
                <w:szCs w:val="21"/>
                <w:highlight w:val="none"/>
              </w:rPr>
            </w:pPr>
            <w:r>
              <w:rPr>
                <w:rFonts w:hint="eastAsia" w:ascii="宋体" w:hAnsi="宋体" w:cs="宋体"/>
                <w:b/>
                <w:bCs/>
                <w:szCs w:val="21"/>
                <w:highlight w:val="none"/>
              </w:rPr>
              <w:t>技术参数</w:t>
            </w:r>
          </w:p>
        </w:tc>
        <w:tc>
          <w:tcPr>
            <w:tcW w:w="770" w:type="pct"/>
            <w:vAlign w:val="center"/>
          </w:tcPr>
          <w:p w14:paraId="7F96C7DA">
            <w:pPr>
              <w:widowControl/>
              <w:jc w:val="center"/>
              <w:textAlignment w:val="center"/>
              <w:rPr>
                <w:rFonts w:ascii="宋体" w:hAnsi="宋体" w:cs="宋体"/>
                <w:b/>
                <w:bCs/>
                <w:szCs w:val="21"/>
                <w:highlight w:val="none"/>
              </w:rPr>
            </w:pPr>
            <w:r>
              <w:rPr>
                <w:rFonts w:hint="eastAsia" w:ascii="宋体" w:hAnsi="宋体" w:cs="宋体"/>
                <w:b/>
                <w:bCs/>
                <w:szCs w:val="21"/>
                <w:highlight w:val="none"/>
              </w:rPr>
              <w:t>数量/单位</w:t>
            </w:r>
          </w:p>
        </w:tc>
      </w:tr>
      <w:tr w14:paraId="14A2B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restart"/>
            <w:vAlign w:val="center"/>
          </w:tcPr>
          <w:p w14:paraId="05B61DFF">
            <w:pPr>
              <w:widowControl/>
              <w:textAlignment w:val="center"/>
              <w:rPr>
                <w:rFonts w:ascii="宋体" w:hAnsi="宋体" w:cs="宋体"/>
                <w:kern w:val="0"/>
                <w:szCs w:val="21"/>
                <w:highlight w:val="none"/>
              </w:rPr>
            </w:pPr>
            <w:r>
              <w:rPr>
                <w:rFonts w:hint="eastAsia" w:ascii="宋体" w:hAnsi="宋体"/>
                <w:szCs w:val="21"/>
                <w:highlight w:val="none"/>
              </w:rPr>
              <w:t>无人生态巡查系 统</w:t>
            </w:r>
          </w:p>
        </w:tc>
        <w:tc>
          <w:tcPr>
            <w:tcW w:w="527" w:type="pct"/>
            <w:vAlign w:val="center"/>
          </w:tcPr>
          <w:p w14:paraId="38C2578B">
            <w:pPr>
              <w:widowControl/>
              <w:rPr>
                <w:kern w:val="0"/>
                <w:szCs w:val="21"/>
                <w:highlight w:val="none"/>
              </w:rPr>
            </w:pPr>
            <w:r>
              <w:rPr>
                <w:rFonts w:hint="eastAsia"/>
                <w:szCs w:val="21"/>
                <w:highlight w:val="none"/>
              </w:rPr>
              <w:t>航测无人机</w:t>
            </w:r>
          </w:p>
        </w:tc>
        <w:tc>
          <w:tcPr>
            <w:tcW w:w="3273" w:type="pct"/>
            <w:vAlign w:val="center"/>
          </w:tcPr>
          <w:p w14:paraId="0397A2C1">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动力系统：电动</w:t>
            </w:r>
          </w:p>
          <w:p w14:paraId="167E5028">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轴距：895mm</w:t>
            </w:r>
          </w:p>
          <w:p w14:paraId="34C7A75E">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最大起飞重量： 9.2kg</w:t>
            </w:r>
          </w:p>
          <w:p w14:paraId="74EF0FE5">
            <w:pPr>
              <w:rPr>
                <w:rFonts w:ascii="宋体" w:hAnsi="宋体"/>
                <w:szCs w:val="21"/>
                <w:highlight w:val="none"/>
              </w:rPr>
            </w:pPr>
            <w:r>
              <w:rPr>
                <w:rFonts w:hint="eastAsia" w:ascii="宋体" w:hAnsi="宋体"/>
                <w:szCs w:val="21"/>
                <w:highlight w:val="none"/>
              </w:rPr>
              <w:t>最大载重：2.7kg</w:t>
            </w:r>
          </w:p>
          <w:p w14:paraId="58B7B5FA">
            <w:pPr>
              <w:rPr>
                <w:rFonts w:ascii="宋体" w:hAnsi="宋体"/>
                <w:szCs w:val="21"/>
                <w:highlight w:val="none"/>
              </w:rPr>
            </w:pPr>
            <w:r>
              <w:rPr>
                <w:rFonts w:hint="eastAsia" w:ascii="宋体" w:hAnsi="宋体"/>
                <w:szCs w:val="21"/>
                <w:highlight w:val="none"/>
              </w:rPr>
              <w:t>飞行时间：55分钟</w:t>
            </w:r>
          </w:p>
          <w:p w14:paraId="6996D656">
            <w:pPr>
              <w:rPr>
                <w:rFonts w:ascii="宋体" w:hAnsi="宋体"/>
                <w:szCs w:val="21"/>
                <w:highlight w:val="none"/>
              </w:rPr>
            </w:pPr>
            <w:r>
              <w:rPr>
                <w:rFonts w:hint="eastAsia" w:ascii="宋体" w:hAnsi="宋体"/>
                <w:szCs w:val="21"/>
                <w:highlight w:val="none"/>
              </w:rPr>
              <w:t>最大飞行海拔高度：5000米（2110S桨叶，起飞重量≤7.4kg）/ 7000米（2112高原静音桨叶，起飞重量≤7.2kg）</w:t>
            </w:r>
          </w:p>
          <w:p w14:paraId="167B2A57">
            <w:pPr>
              <w:rPr>
                <w:rFonts w:ascii="宋体" w:hAnsi="宋体"/>
                <w:szCs w:val="21"/>
                <w:highlight w:val="none"/>
              </w:rPr>
            </w:pPr>
            <w:r>
              <w:rPr>
                <w:rFonts w:hint="eastAsia" w:ascii="宋体" w:hAnsi="宋体"/>
                <w:szCs w:val="21"/>
                <w:highlight w:val="none"/>
              </w:rPr>
              <w:t>悬停精度：</w:t>
            </w:r>
          </w:p>
          <w:p w14:paraId="3D8CE2AA">
            <w:pPr>
              <w:rPr>
                <w:rFonts w:ascii="宋体" w:hAnsi="宋体"/>
                <w:szCs w:val="21"/>
                <w:highlight w:val="none"/>
              </w:rPr>
            </w:pPr>
            <w:r>
              <w:rPr>
                <w:rFonts w:hint="eastAsia" w:ascii="宋体" w:hAnsi="宋体"/>
                <w:szCs w:val="21"/>
                <w:highlight w:val="none"/>
              </w:rPr>
              <w:t>垂直悬停精度：±0.1米（视觉定位正常工作时）、±0.5米（GNSS正常工作时）、±0.1米（RTK定位正常工作时）</w:t>
            </w:r>
          </w:p>
          <w:p w14:paraId="0CD8D08E">
            <w:pPr>
              <w:rPr>
                <w:rFonts w:ascii="宋体" w:hAnsi="宋体"/>
                <w:szCs w:val="21"/>
                <w:highlight w:val="none"/>
              </w:rPr>
            </w:pPr>
            <w:r>
              <w:rPr>
                <w:rFonts w:hint="eastAsia" w:ascii="宋体" w:hAnsi="宋体"/>
                <w:szCs w:val="21"/>
                <w:highlight w:val="none"/>
              </w:rPr>
              <w:t>水平悬停精度：±0.3米（视觉定位正常工作时）、±1.5米（ GNSS正常工作时）、±0.1米（RTK定位正常工作时）</w:t>
            </w:r>
          </w:p>
          <w:p w14:paraId="7AE92751">
            <w:pPr>
              <w:rPr>
                <w:rFonts w:ascii="宋体" w:hAnsi="宋体"/>
                <w:szCs w:val="21"/>
                <w:highlight w:val="none"/>
              </w:rPr>
            </w:pPr>
            <w:r>
              <w:rPr>
                <w:rFonts w:hint="eastAsia" w:ascii="宋体" w:hAnsi="宋体"/>
                <w:szCs w:val="21"/>
                <w:highlight w:val="none"/>
              </w:rPr>
              <w:t>速度性能：</w:t>
            </w:r>
          </w:p>
          <w:p w14:paraId="48965F92">
            <w:pPr>
              <w:rPr>
                <w:rFonts w:ascii="宋体" w:hAnsi="宋体"/>
                <w:szCs w:val="21"/>
                <w:highlight w:val="none"/>
              </w:rPr>
            </w:pPr>
            <w:r>
              <w:rPr>
                <w:rFonts w:hint="eastAsia" w:ascii="宋体" w:hAnsi="宋体"/>
                <w:szCs w:val="21"/>
                <w:highlight w:val="none"/>
              </w:rPr>
              <w:t>最大上升速度：S模式6米/秒，P模式5米/秒</w:t>
            </w:r>
          </w:p>
          <w:p w14:paraId="3B5ED6FA">
            <w:pPr>
              <w:rPr>
                <w:rFonts w:ascii="宋体" w:hAnsi="宋体"/>
                <w:szCs w:val="21"/>
                <w:highlight w:val="none"/>
              </w:rPr>
            </w:pPr>
            <w:r>
              <w:rPr>
                <w:rFonts w:hint="eastAsia" w:ascii="宋体" w:hAnsi="宋体"/>
                <w:szCs w:val="21"/>
                <w:highlight w:val="none"/>
              </w:rPr>
              <w:t>最大下降速度：S模式5米/秒，P模式3米/秒；最大倾斜下降速度S模式7米/秒</w:t>
            </w:r>
          </w:p>
          <w:p w14:paraId="678C7097">
            <w:pPr>
              <w:rPr>
                <w:rFonts w:ascii="宋体" w:hAnsi="宋体"/>
                <w:szCs w:val="21"/>
                <w:highlight w:val="none"/>
              </w:rPr>
            </w:pPr>
            <w:r>
              <w:rPr>
                <w:rFonts w:hint="eastAsia" w:ascii="宋体" w:hAnsi="宋体"/>
                <w:szCs w:val="21"/>
                <w:highlight w:val="none"/>
              </w:rPr>
              <w:t>最大水平飞行速度：S模式23米/秒，P模式17米/秒</w:t>
            </w:r>
          </w:p>
          <w:p w14:paraId="20B672F1">
            <w:pPr>
              <w:rPr>
                <w:rFonts w:ascii="宋体" w:hAnsi="宋体"/>
                <w:szCs w:val="21"/>
                <w:highlight w:val="none"/>
              </w:rPr>
            </w:pPr>
            <w:r>
              <w:rPr>
                <w:rFonts w:hint="eastAsia" w:ascii="宋体" w:hAnsi="宋体"/>
                <w:szCs w:val="21"/>
                <w:highlight w:val="none"/>
              </w:rPr>
              <w:t>感知系统：</w:t>
            </w:r>
          </w:p>
          <w:p w14:paraId="3F15FFA1">
            <w:pPr>
              <w:rPr>
                <w:rFonts w:ascii="宋体" w:hAnsi="宋体"/>
                <w:szCs w:val="21"/>
                <w:highlight w:val="none"/>
              </w:rPr>
            </w:pPr>
            <w:r>
              <w:rPr>
                <w:rFonts w:hint="eastAsia" w:ascii="宋体" w:hAnsi="宋体"/>
                <w:szCs w:val="21"/>
                <w:highlight w:val="none"/>
              </w:rPr>
              <w:t>视觉定位系统：障碍物感知范围前后左右0.7-40米，上下0.6-30米</w:t>
            </w:r>
          </w:p>
          <w:p w14:paraId="67111033">
            <w:pPr>
              <w:rPr>
                <w:rFonts w:ascii="宋体" w:hAnsi="宋体"/>
                <w:szCs w:val="21"/>
                <w:highlight w:val="none"/>
              </w:rPr>
            </w:pPr>
            <w:r>
              <w:rPr>
                <w:rFonts w:hint="eastAsia" w:ascii="宋体" w:hAnsi="宋体"/>
                <w:szCs w:val="21"/>
                <w:highlight w:val="none"/>
              </w:rPr>
              <w:t>红外感知系统：障碍物感知范围0.1-8米</w:t>
            </w:r>
          </w:p>
          <w:p w14:paraId="59BFD380">
            <w:pPr>
              <w:rPr>
                <w:rFonts w:ascii="宋体" w:hAnsi="宋体"/>
                <w:szCs w:val="21"/>
                <w:highlight w:val="none"/>
              </w:rPr>
            </w:pPr>
            <w:r>
              <w:rPr>
                <w:rFonts w:hint="eastAsia" w:ascii="宋体" w:hAnsi="宋体"/>
                <w:szCs w:val="21"/>
                <w:highlight w:val="none"/>
              </w:rPr>
              <w:t>云台和相机：</w:t>
            </w:r>
          </w:p>
          <w:p w14:paraId="7725B309">
            <w:pPr>
              <w:rPr>
                <w:rFonts w:ascii="宋体" w:hAnsi="宋体"/>
                <w:szCs w:val="21"/>
                <w:highlight w:val="none"/>
              </w:rPr>
            </w:pPr>
            <w:r>
              <w:rPr>
                <w:rFonts w:hint="eastAsia" w:ascii="宋体" w:hAnsi="宋体"/>
                <w:szCs w:val="21"/>
                <w:highlight w:val="none"/>
              </w:rPr>
              <w:t>云台类型：下置双云台、下置单云台+上置单云台、下置双云台+上置单云台</w:t>
            </w:r>
          </w:p>
          <w:p w14:paraId="2B2DD065">
            <w:pPr>
              <w:rPr>
                <w:rFonts w:ascii="宋体" w:hAnsi="宋体"/>
                <w:szCs w:val="21"/>
                <w:highlight w:val="none"/>
              </w:rPr>
            </w:pPr>
            <w:r>
              <w:rPr>
                <w:rFonts w:hint="eastAsia" w:ascii="宋体" w:hAnsi="宋体"/>
                <w:szCs w:val="21"/>
                <w:highlight w:val="none"/>
              </w:rPr>
              <w:t>适配云台：禅思XT2、禅思XTS、禅思Z30、禅思H20、禅思H20T</w:t>
            </w:r>
          </w:p>
          <w:p w14:paraId="3D9EB582">
            <w:pPr>
              <w:rPr>
                <w:rFonts w:ascii="宋体" w:hAnsi="宋体"/>
                <w:szCs w:val="21"/>
                <w:highlight w:val="none"/>
              </w:rPr>
            </w:pPr>
            <w:r>
              <w:rPr>
                <w:rFonts w:hint="eastAsia" w:ascii="宋体" w:hAnsi="宋体"/>
                <w:szCs w:val="21"/>
                <w:highlight w:val="none"/>
              </w:rPr>
              <w:t>遥控器：</w:t>
            </w:r>
          </w:p>
          <w:p w14:paraId="4E005EAF">
            <w:pPr>
              <w:rPr>
                <w:rFonts w:ascii="宋体" w:hAnsi="宋体"/>
                <w:szCs w:val="21"/>
                <w:highlight w:val="none"/>
              </w:rPr>
            </w:pPr>
            <w:r>
              <w:rPr>
                <w:rFonts w:hint="eastAsia" w:ascii="宋体" w:hAnsi="宋体"/>
                <w:szCs w:val="21"/>
                <w:highlight w:val="none"/>
              </w:rPr>
              <w:t>工作频率：2.4000-2.4835GHz，5.725-5.850GHz</w:t>
            </w:r>
          </w:p>
          <w:p w14:paraId="25FC40B4">
            <w:pPr>
              <w:rPr>
                <w:rFonts w:ascii="宋体" w:hAnsi="宋体"/>
                <w:szCs w:val="21"/>
                <w:highlight w:val="none"/>
              </w:rPr>
            </w:pPr>
            <w:r>
              <w:rPr>
                <w:rFonts w:hint="eastAsia" w:ascii="宋体" w:hAnsi="宋体"/>
                <w:szCs w:val="21"/>
                <w:highlight w:val="none"/>
              </w:rPr>
              <w:t>发射功率：2.4000-2.4835 GHz: 29.5 dBm(FCC)；18.5dBm(CE)；5.725-5.850 GHz: 28.5 dBm(FCC)；12.5dBm(CE)</w:t>
            </w:r>
          </w:p>
          <w:p w14:paraId="77EB0240">
            <w:pPr>
              <w:rPr>
                <w:rFonts w:ascii="宋体" w:hAnsi="宋体"/>
                <w:szCs w:val="21"/>
                <w:highlight w:val="none"/>
              </w:rPr>
            </w:pPr>
            <w:r>
              <w:rPr>
                <w:rFonts w:hint="eastAsia" w:ascii="宋体" w:hAnsi="宋体"/>
                <w:szCs w:val="21"/>
                <w:highlight w:val="none"/>
              </w:rPr>
              <w:t>卫星定位模块：GPS、GLONASS、BeiDou、Galileo</w:t>
            </w:r>
          </w:p>
          <w:p w14:paraId="23506F4B">
            <w:pPr>
              <w:rPr>
                <w:rFonts w:ascii="宋体" w:hAnsi="宋体"/>
                <w:szCs w:val="21"/>
                <w:highlight w:val="none"/>
              </w:rPr>
            </w:pPr>
            <w:r>
              <w:rPr>
                <w:rFonts w:hint="eastAsia" w:ascii="宋体" w:hAnsi="宋体"/>
                <w:szCs w:val="21"/>
                <w:highlight w:val="none"/>
              </w:rPr>
              <w:t>工作环境：温度范围为-20°C至50°C</w:t>
            </w:r>
          </w:p>
        </w:tc>
        <w:tc>
          <w:tcPr>
            <w:tcW w:w="770" w:type="pct"/>
            <w:vAlign w:val="center"/>
          </w:tcPr>
          <w:p w14:paraId="33229561">
            <w:pPr>
              <w:widowControl/>
              <w:jc w:val="center"/>
              <w:rPr>
                <w:kern w:val="0"/>
                <w:sz w:val="20"/>
                <w:highlight w:val="none"/>
              </w:rPr>
            </w:pPr>
            <w:r>
              <w:rPr>
                <w:rFonts w:hint="eastAsia"/>
                <w:sz w:val="20"/>
                <w:highlight w:val="none"/>
              </w:rPr>
              <w:t>1套</w:t>
            </w:r>
          </w:p>
        </w:tc>
      </w:tr>
      <w:tr w14:paraId="704D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0D26DDA7">
            <w:pPr>
              <w:jc w:val="center"/>
              <w:rPr>
                <w:rFonts w:ascii="宋体" w:hAnsi="宋体" w:cs="宋体"/>
                <w:szCs w:val="21"/>
                <w:highlight w:val="none"/>
              </w:rPr>
            </w:pPr>
          </w:p>
        </w:tc>
        <w:tc>
          <w:tcPr>
            <w:tcW w:w="527" w:type="pct"/>
            <w:vAlign w:val="center"/>
          </w:tcPr>
          <w:p w14:paraId="7D3ADDCB">
            <w:pPr>
              <w:rPr>
                <w:sz w:val="20"/>
                <w:highlight w:val="none"/>
              </w:rPr>
            </w:pPr>
            <w:r>
              <w:rPr>
                <w:rFonts w:hint="eastAsia"/>
                <w:szCs w:val="21"/>
                <w:highlight w:val="none"/>
              </w:rPr>
              <w:t>三维激光扫描仪</w:t>
            </w:r>
          </w:p>
        </w:tc>
        <w:tc>
          <w:tcPr>
            <w:tcW w:w="3273" w:type="pct"/>
            <w:vAlign w:val="center"/>
          </w:tcPr>
          <w:p w14:paraId="0991EE7F">
            <w:pPr>
              <w:rPr>
                <w:rFonts w:ascii="宋体" w:hAnsi="宋体"/>
                <w:szCs w:val="21"/>
                <w:highlight w:val="none"/>
              </w:rPr>
            </w:pPr>
            <w:r>
              <w:rPr>
                <w:rFonts w:hint="eastAsia" w:ascii="宋体" w:hAnsi="宋体"/>
                <w:szCs w:val="21"/>
                <w:highlight w:val="none"/>
              </w:rPr>
              <w:t>测量距离：在反射率为50%时最大可达450米，在反射率为10%时最大可达250米。</w:t>
            </w:r>
          </w:p>
          <w:p w14:paraId="1229DCE3">
            <w:pPr>
              <w:rPr>
                <w:rFonts w:ascii="宋体" w:hAnsi="宋体"/>
                <w:szCs w:val="21"/>
                <w:highlight w:val="none"/>
              </w:rPr>
            </w:pPr>
            <w:r>
              <w:rPr>
                <w:rFonts w:hint="eastAsia" w:ascii="宋体" w:hAnsi="宋体"/>
                <w:szCs w:val="21"/>
                <w:highlight w:val="none"/>
              </w:rPr>
              <w:t>点云数据率：单回波模式下最大为240,000点/秒，多回波模式下最大为1200000点/秒。</w:t>
            </w:r>
          </w:p>
          <w:p w14:paraId="2B9E59C7">
            <w:pPr>
              <w:rPr>
                <w:rFonts w:ascii="宋体" w:hAnsi="宋体"/>
                <w:szCs w:val="21"/>
                <w:highlight w:val="none"/>
              </w:rPr>
            </w:pPr>
            <w:r>
              <w:rPr>
                <w:rFonts w:hint="eastAsia" w:ascii="宋体" w:hAnsi="宋体"/>
                <w:szCs w:val="21"/>
                <w:highlight w:val="none"/>
              </w:rPr>
              <w:t>测距精度：2厘米/150米，在环境温度25℃、目标物体反射率为80、于150米外的条件测得</w:t>
            </w:r>
          </w:p>
          <w:p w14:paraId="47B16488">
            <w:pPr>
              <w:rPr>
                <w:rFonts w:ascii="宋体" w:hAnsi="宋体"/>
                <w:szCs w:val="21"/>
                <w:highlight w:val="none"/>
              </w:rPr>
            </w:pPr>
            <w:r>
              <w:rPr>
                <w:rFonts w:hint="eastAsia" w:ascii="宋体" w:hAnsi="宋体"/>
                <w:szCs w:val="21"/>
                <w:highlight w:val="none"/>
              </w:rPr>
              <w:t>扫描模式：支持重复扫描和非重复扫描，重复扫描的视场角为水平70°、垂直3°，非重复扫描的视场角为水平70°、垂直75°。</w:t>
            </w:r>
          </w:p>
          <w:p w14:paraId="720348FF">
            <w:pPr>
              <w:rPr>
                <w:rFonts w:ascii="宋体" w:hAnsi="宋体"/>
                <w:szCs w:val="21"/>
                <w:highlight w:val="none"/>
              </w:rPr>
            </w:pPr>
            <w:r>
              <w:rPr>
                <w:rFonts w:hint="eastAsia" w:ascii="宋体" w:hAnsi="宋体"/>
                <w:szCs w:val="21"/>
                <w:highlight w:val="none"/>
              </w:rPr>
              <w:t>其他特性：集成Livox激光雷达模块、高精度惯导、测绘相机、三轴云台等，适用于全天候、高效率实时三维数据获取以及复杂场景下的高精度后处理重建。</w:t>
            </w:r>
          </w:p>
        </w:tc>
        <w:tc>
          <w:tcPr>
            <w:tcW w:w="770" w:type="pct"/>
            <w:vAlign w:val="center"/>
          </w:tcPr>
          <w:p w14:paraId="3280D980">
            <w:pPr>
              <w:jc w:val="center"/>
              <w:rPr>
                <w:sz w:val="20"/>
                <w:highlight w:val="none"/>
              </w:rPr>
            </w:pPr>
            <w:r>
              <w:rPr>
                <w:rFonts w:hint="eastAsia"/>
                <w:sz w:val="20"/>
                <w:highlight w:val="none"/>
              </w:rPr>
              <w:t>1台</w:t>
            </w:r>
          </w:p>
        </w:tc>
      </w:tr>
      <w:tr w14:paraId="732D4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7FA7B3AE">
            <w:pPr>
              <w:jc w:val="center"/>
              <w:rPr>
                <w:rFonts w:ascii="宋体" w:hAnsi="宋体" w:cs="宋体"/>
                <w:szCs w:val="21"/>
                <w:highlight w:val="none"/>
              </w:rPr>
            </w:pPr>
          </w:p>
        </w:tc>
        <w:tc>
          <w:tcPr>
            <w:tcW w:w="527" w:type="pct"/>
            <w:vAlign w:val="center"/>
          </w:tcPr>
          <w:p w14:paraId="14FAD37A">
            <w:pPr>
              <w:rPr>
                <w:sz w:val="20"/>
                <w:highlight w:val="none"/>
              </w:rPr>
            </w:pPr>
            <w:r>
              <w:rPr>
                <w:rFonts w:hint="eastAsia"/>
                <w:szCs w:val="21"/>
                <w:highlight w:val="none"/>
              </w:rPr>
              <w:t>可见光摄像机</w:t>
            </w:r>
          </w:p>
        </w:tc>
        <w:tc>
          <w:tcPr>
            <w:tcW w:w="3273" w:type="pct"/>
            <w:vAlign w:val="center"/>
          </w:tcPr>
          <w:p w14:paraId="128AAE1E">
            <w:pPr>
              <w:spacing w:line="440" w:lineRule="exact"/>
              <w:ind w:left="360"/>
              <w:rPr>
                <w:rFonts w:ascii="宋体" w:hAnsi="宋体"/>
                <w:szCs w:val="21"/>
                <w:highlight w:val="none"/>
              </w:rPr>
            </w:pPr>
            <w:r>
              <w:rPr>
                <w:rFonts w:hint="eastAsia" w:ascii="宋体" w:hAnsi="宋体"/>
                <w:szCs w:val="21"/>
                <w:highlight w:val="none"/>
              </w:rPr>
              <w:t>镜头传感器1/1.8 英寸 CMOS，有效像素 4000 万。</w:t>
            </w:r>
          </w:p>
          <w:p w14:paraId="4A038DBA">
            <w:pPr>
              <w:spacing w:line="440" w:lineRule="exact"/>
              <w:ind w:left="360"/>
              <w:rPr>
                <w:rFonts w:ascii="宋体" w:hAnsi="宋体"/>
                <w:szCs w:val="21"/>
                <w:highlight w:val="none"/>
              </w:rPr>
            </w:pPr>
            <w:r>
              <w:rPr>
                <w:rFonts w:hint="eastAsia" w:ascii="宋体" w:hAnsi="宋体"/>
                <w:szCs w:val="21"/>
                <w:highlight w:val="none"/>
              </w:rPr>
              <w:t>实际焦距：7.1 mm 至 172 mm（等效焦距：33.4 mm 至 809.3 mm）</w:t>
            </w:r>
            <w:r>
              <w:rPr>
                <w:rFonts w:hint="eastAsia" w:ascii="宋体" w:hAnsi="宋体"/>
                <w:szCs w:val="21"/>
                <w:highlight w:val="none"/>
              </w:rPr>
              <w:br w:type="textWrapping"/>
            </w:r>
            <w:r>
              <w:rPr>
                <w:rFonts w:hint="eastAsia" w:ascii="宋体" w:hAnsi="宋体"/>
                <w:szCs w:val="21"/>
                <w:highlight w:val="none"/>
              </w:rPr>
              <w:t>光圈：f/1.6 至 f/5.2</w:t>
            </w:r>
            <w:r>
              <w:rPr>
                <w:rFonts w:hint="eastAsia" w:ascii="宋体" w:hAnsi="宋体"/>
                <w:szCs w:val="21"/>
                <w:highlight w:val="none"/>
              </w:rPr>
              <w:br w:type="textWrapping"/>
            </w:r>
            <w:r>
              <w:rPr>
                <w:rFonts w:hint="eastAsia" w:ascii="宋体" w:hAnsi="宋体"/>
                <w:szCs w:val="21"/>
                <w:highlight w:val="none"/>
              </w:rPr>
              <w:t>DFOV：66.7° 至 2.9°</w:t>
            </w:r>
          </w:p>
          <w:p w14:paraId="4B4526E6">
            <w:pPr>
              <w:rPr>
                <w:rFonts w:ascii="宋体" w:hAnsi="宋体"/>
                <w:szCs w:val="21"/>
                <w:highlight w:val="none"/>
              </w:rPr>
            </w:pPr>
            <w:r>
              <w:rPr>
                <w:rFonts w:hint="eastAsia" w:ascii="宋体" w:hAnsi="宋体"/>
                <w:szCs w:val="21"/>
                <w:highlight w:val="none"/>
              </w:rPr>
              <w:t>具备多种对焦模式，包括手动对焦（MF）、连续自动对焦（AF-C）和单次自动对焦（AF-S）。曝光模式支持程序自动曝光和手动曝光，曝光补偿范围为±3.0，步长为1/3。测光模式包括点测光和中央重点测光，快门速度范围为1/8000秒至2秒</w:t>
            </w:r>
          </w:p>
        </w:tc>
        <w:tc>
          <w:tcPr>
            <w:tcW w:w="770" w:type="pct"/>
            <w:vAlign w:val="center"/>
          </w:tcPr>
          <w:p w14:paraId="5B92862C">
            <w:pPr>
              <w:jc w:val="center"/>
              <w:rPr>
                <w:sz w:val="20"/>
                <w:highlight w:val="none"/>
              </w:rPr>
            </w:pPr>
            <w:r>
              <w:rPr>
                <w:rFonts w:hint="eastAsia"/>
                <w:sz w:val="20"/>
                <w:highlight w:val="none"/>
              </w:rPr>
              <w:t>1台</w:t>
            </w:r>
          </w:p>
        </w:tc>
      </w:tr>
      <w:tr w14:paraId="63CBD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257698AD">
            <w:pPr>
              <w:jc w:val="center"/>
              <w:rPr>
                <w:rFonts w:ascii="宋体" w:hAnsi="宋体" w:cs="宋体"/>
                <w:szCs w:val="21"/>
                <w:highlight w:val="none"/>
              </w:rPr>
            </w:pPr>
          </w:p>
        </w:tc>
        <w:tc>
          <w:tcPr>
            <w:tcW w:w="527" w:type="pct"/>
            <w:vAlign w:val="center"/>
          </w:tcPr>
          <w:p w14:paraId="071FC875">
            <w:pPr>
              <w:rPr>
                <w:sz w:val="20"/>
                <w:highlight w:val="none"/>
              </w:rPr>
            </w:pPr>
            <w:r>
              <w:rPr>
                <w:rFonts w:hint="eastAsia"/>
                <w:szCs w:val="21"/>
                <w:highlight w:val="none"/>
              </w:rPr>
              <w:t>小型监测无人船</w:t>
            </w:r>
          </w:p>
        </w:tc>
        <w:tc>
          <w:tcPr>
            <w:tcW w:w="3273" w:type="pct"/>
            <w:vAlign w:val="center"/>
          </w:tcPr>
          <w:p w14:paraId="0A65E8F9">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船身尺寸1600*950*570</w:t>
            </w:r>
          </w:p>
          <w:p w14:paraId="5F52C1CE">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船体自重≤13.0kg</w:t>
            </w:r>
          </w:p>
          <w:p w14:paraId="34DC08F5">
            <w:pPr>
              <w:rPr>
                <w:rFonts w:ascii="宋体" w:hAnsi="宋体"/>
                <w:szCs w:val="21"/>
                <w:highlight w:val="none"/>
              </w:rPr>
            </w:pPr>
            <w:r>
              <w:rPr>
                <w:rFonts w:hint="eastAsia" w:ascii="宋体" w:hAnsi="宋体"/>
                <w:szCs w:val="21"/>
                <w:highlight w:val="none"/>
              </w:rPr>
              <w:t>船体材质碳纤维+凯夫拉</w:t>
            </w:r>
          </w:p>
          <w:p w14:paraId="09FA60D5">
            <w:pPr>
              <w:rPr>
                <w:rFonts w:ascii="宋体" w:hAnsi="宋体"/>
                <w:szCs w:val="21"/>
                <w:highlight w:val="none"/>
              </w:rPr>
            </w:pPr>
            <w:r>
              <w:rPr>
                <w:rFonts w:hint="eastAsia" w:ascii="宋体" w:hAnsi="宋体"/>
                <w:szCs w:val="21"/>
                <w:highlight w:val="none"/>
              </w:rPr>
              <w:t>船型单体V型</w:t>
            </w:r>
          </w:p>
          <w:p w14:paraId="218F714E">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负载能力≥50kg</w:t>
            </w:r>
          </w:p>
          <w:p w14:paraId="055F2DFC">
            <w:pPr>
              <w:rPr>
                <w:rFonts w:ascii="宋体" w:hAnsi="宋体"/>
                <w:szCs w:val="21"/>
                <w:highlight w:val="none"/>
              </w:rPr>
            </w:pPr>
            <w:r>
              <w:rPr>
                <w:rFonts w:hint="eastAsia" w:ascii="宋体" w:hAnsi="宋体"/>
                <w:szCs w:val="21"/>
                <w:highlight w:val="none"/>
              </w:rPr>
              <w:t>最高航速3m/s</w:t>
            </w:r>
          </w:p>
          <w:p w14:paraId="46570940">
            <w:pPr>
              <w:rPr>
                <w:rFonts w:ascii="宋体" w:hAnsi="宋体"/>
                <w:szCs w:val="21"/>
                <w:highlight w:val="none"/>
              </w:rPr>
            </w:pPr>
            <w:r>
              <w:rPr>
                <w:rFonts w:hint="eastAsia" w:ascii="宋体" w:hAnsi="宋体"/>
                <w:szCs w:val="21"/>
                <w:highlight w:val="none"/>
              </w:rPr>
              <w:t>续航时间6h(1.5m/s)</w:t>
            </w:r>
          </w:p>
          <w:p w14:paraId="0FBFDA9A">
            <w:pPr>
              <w:rPr>
                <w:rFonts w:ascii="宋体" w:hAnsi="宋体"/>
                <w:szCs w:val="21"/>
                <w:highlight w:val="none"/>
              </w:rPr>
            </w:pPr>
            <w:r>
              <w:rPr>
                <w:rFonts w:hint="eastAsia" w:ascii="宋体" w:hAnsi="宋体"/>
                <w:szCs w:val="21"/>
                <w:highlight w:val="none"/>
              </w:rPr>
              <w:t>通信距离遥控1km，基站2km，支持4G可不限距离</w:t>
            </w:r>
          </w:p>
          <w:p w14:paraId="6A44F232">
            <w:pPr>
              <w:rPr>
                <w:rFonts w:ascii="宋体" w:hAnsi="宋体"/>
                <w:szCs w:val="21"/>
                <w:highlight w:val="none"/>
              </w:rPr>
            </w:pPr>
            <w:r>
              <w:rPr>
                <w:rFonts w:hint="eastAsia" w:ascii="宋体" w:hAnsi="宋体" w:cs="宋体"/>
                <w:sz w:val="24"/>
                <w:highlight w:val="none"/>
              </w:rPr>
              <w:t>●</w:t>
            </w:r>
            <w:r>
              <w:rPr>
                <w:rFonts w:hint="eastAsia" w:ascii="宋体" w:hAnsi="宋体"/>
                <w:szCs w:val="21"/>
                <w:highlight w:val="none"/>
              </w:rPr>
              <w:t>抗风浪等级6级风、4级浪</w:t>
            </w:r>
          </w:p>
          <w:p w14:paraId="65E76E46">
            <w:pPr>
              <w:rPr>
                <w:rFonts w:ascii="宋体" w:hAnsi="宋体"/>
                <w:szCs w:val="21"/>
                <w:highlight w:val="none"/>
              </w:rPr>
            </w:pPr>
            <w:r>
              <w:rPr>
                <w:rFonts w:hint="eastAsia" w:ascii="宋体" w:hAnsi="宋体"/>
                <w:szCs w:val="21"/>
                <w:highlight w:val="none"/>
              </w:rPr>
              <w:t>最大航速：3m/s</w:t>
            </w:r>
          </w:p>
          <w:p w14:paraId="7D19BCAC">
            <w:pPr>
              <w:rPr>
                <w:rFonts w:ascii="宋体" w:hAnsi="宋体"/>
                <w:szCs w:val="21"/>
                <w:highlight w:val="none"/>
              </w:rPr>
            </w:pPr>
            <w:r>
              <w:rPr>
                <w:rFonts w:hint="eastAsia" w:ascii="宋体" w:hAnsi="宋体"/>
                <w:szCs w:val="21"/>
                <w:highlight w:val="none"/>
              </w:rPr>
              <w:t>定位系统：高精度双天线差分RTK</w:t>
            </w:r>
          </w:p>
          <w:p w14:paraId="6D1162AF">
            <w:pPr>
              <w:rPr>
                <w:rFonts w:hAnsi="宋体"/>
                <w:szCs w:val="21"/>
                <w:highlight w:val="none"/>
              </w:rPr>
            </w:pPr>
            <w:r>
              <w:rPr>
                <w:rFonts w:hint="eastAsia" w:ascii="宋体" w:hAnsi="宋体"/>
                <w:szCs w:val="21"/>
                <w:highlight w:val="none"/>
              </w:rPr>
              <w:t>单点定位精度：水平1.5m，垂直2.5m</w:t>
            </w:r>
          </w:p>
        </w:tc>
        <w:tc>
          <w:tcPr>
            <w:tcW w:w="770" w:type="pct"/>
            <w:vAlign w:val="center"/>
          </w:tcPr>
          <w:p w14:paraId="5E3E58BF">
            <w:pPr>
              <w:jc w:val="center"/>
              <w:rPr>
                <w:sz w:val="20"/>
                <w:highlight w:val="none"/>
              </w:rPr>
            </w:pPr>
            <w:r>
              <w:rPr>
                <w:rFonts w:hint="eastAsia"/>
                <w:sz w:val="20"/>
                <w:highlight w:val="none"/>
              </w:rPr>
              <w:t>1套</w:t>
            </w:r>
          </w:p>
        </w:tc>
      </w:tr>
      <w:tr w14:paraId="79702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713EA4BB">
            <w:pPr>
              <w:jc w:val="center"/>
              <w:rPr>
                <w:rFonts w:ascii="宋体" w:hAnsi="宋体" w:cs="宋体"/>
                <w:szCs w:val="21"/>
                <w:highlight w:val="none"/>
              </w:rPr>
            </w:pPr>
          </w:p>
        </w:tc>
        <w:tc>
          <w:tcPr>
            <w:tcW w:w="527" w:type="pct"/>
            <w:vAlign w:val="center"/>
          </w:tcPr>
          <w:p w14:paraId="5F8E66F0">
            <w:pPr>
              <w:rPr>
                <w:sz w:val="20"/>
                <w:highlight w:val="none"/>
              </w:rPr>
            </w:pPr>
            <w:r>
              <w:rPr>
                <w:rFonts w:hint="eastAsia"/>
                <w:szCs w:val="21"/>
                <w:highlight w:val="none"/>
              </w:rPr>
              <w:t>多参数传感器</w:t>
            </w:r>
          </w:p>
        </w:tc>
        <w:tc>
          <w:tcPr>
            <w:tcW w:w="3273" w:type="pct"/>
            <w:vAlign w:val="center"/>
          </w:tcPr>
          <w:p w14:paraId="7E9F66B7">
            <w:pPr>
              <w:rPr>
                <w:rFonts w:ascii="宋体" w:hAnsi="宋体"/>
                <w:szCs w:val="21"/>
                <w:highlight w:val="none"/>
              </w:rPr>
            </w:pPr>
            <w:r>
              <w:rPr>
                <w:rFonts w:ascii="宋体" w:hAnsi="宋体"/>
                <w:szCs w:val="21"/>
                <w:highlight w:val="none"/>
              </w:rPr>
              <w:t>1</w:t>
            </w:r>
            <w:r>
              <w:rPr>
                <w:rFonts w:hint="eastAsia" w:ascii="宋体" w:hAnsi="宋体"/>
                <w:szCs w:val="21"/>
                <w:highlight w:val="none"/>
              </w:rPr>
              <w:t>）温度</w:t>
            </w:r>
          </w:p>
          <w:p w14:paraId="3EE9E775">
            <w:pPr>
              <w:rPr>
                <w:rFonts w:ascii="宋体" w:hAnsi="宋体"/>
                <w:szCs w:val="21"/>
                <w:highlight w:val="none"/>
              </w:rPr>
            </w:pPr>
            <w:r>
              <w:rPr>
                <w:rFonts w:hint="eastAsia" w:ascii="宋体" w:hAnsi="宋体"/>
                <w:szCs w:val="21"/>
                <w:highlight w:val="none"/>
              </w:rPr>
              <w:t>测量范围：-5至+50℃；</w:t>
            </w:r>
          </w:p>
          <w:p w14:paraId="6B22CB40">
            <w:pPr>
              <w:rPr>
                <w:rFonts w:ascii="宋体" w:hAnsi="宋体"/>
                <w:szCs w:val="21"/>
                <w:highlight w:val="none"/>
              </w:rPr>
            </w:pPr>
            <w:r>
              <w:rPr>
                <w:rFonts w:hint="eastAsia" w:ascii="宋体" w:hAnsi="宋体"/>
                <w:szCs w:val="21"/>
                <w:highlight w:val="none"/>
              </w:rPr>
              <w:t>分辨率：0.001℃；</w:t>
            </w:r>
          </w:p>
          <w:p w14:paraId="47EBBE40">
            <w:pPr>
              <w:rPr>
                <w:rFonts w:ascii="宋体" w:hAnsi="宋体"/>
                <w:szCs w:val="21"/>
                <w:highlight w:val="none"/>
              </w:rPr>
            </w:pPr>
            <w:r>
              <w:rPr>
                <w:rFonts w:hint="eastAsia" w:ascii="宋体" w:hAnsi="宋体"/>
                <w:szCs w:val="21"/>
                <w:highlight w:val="none"/>
              </w:rPr>
              <w:t>准确度：-5-35℃，±0.01℃，35-50℃：±0.05℃；</w:t>
            </w:r>
          </w:p>
          <w:p w14:paraId="6DC642F3">
            <w:pPr>
              <w:rPr>
                <w:rFonts w:ascii="宋体" w:hAnsi="宋体"/>
                <w:szCs w:val="21"/>
                <w:highlight w:val="none"/>
              </w:rPr>
            </w:pPr>
            <w:r>
              <w:rPr>
                <w:rFonts w:hint="eastAsia" w:ascii="宋体" w:hAnsi="宋体"/>
                <w:szCs w:val="21"/>
                <w:highlight w:val="none"/>
              </w:rPr>
              <w:t>响应时间：T63＜1s。</w:t>
            </w:r>
          </w:p>
          <w:p w14:paraId="75599655">
            <w:pPr>
              <w:rPr>
                <w:rFonts w:ascii="宋体" w:hAnsi="宋体"/>
                <w:szCs w:val="21"/>
                <w:highlight w:val="none"/>
              </w:rPr>
            </w:pPr>
            <w:r>
              <w:rPr>
                <w:rFonts w:ascii="宋体" w:hAnsi="宋体"/>
                <w:szCs w:val="21"/>
                <w:highlight w:val="none"/>
              </w:rPr>
              <w:t>2</w:t>
            </w:r>
            <w:r>
              <w:rPr>
                <w:rFonts w:hint="eastAsia" w:ascii="宋体" w:hAnsi="宋体"/>
                <w:szCs w:val="21"/>
                <w:highlight w:val="none"/>
              </w:rPr>
              <w:t>）电导率</w:t>
            </w:r>
          </w:p>
          <w:p w14:paraId="79808EC2">
            <w:pPr>
              <w:rPr>
                <w:rFonts w:ascii="宋体" w:hAnsi="宋体"/>
                <w:szCs w:val="21"/>
                <w:highlight w:val="none"/>
              </w:rPr>
            </w:pPr>
            <w:r>
              <w:rPr>
                <w:rFonts w:hint="eastAsia" w:ascii="宋体" w:hAnsi="宋体"/>
                <w:szCs w:val="21"/>
                <w:highlight w:val="none"/>
              </w:rPr>
              <w:t>测量范围：0～200mS/cm；</w:t>
            </w:r>
          </w:p>
          <w:p w14:paraId="3E55C921">
            <w:pPr>
              <w:rPr>
                <w:rFonts w:ascii="宋体" w:hAnsi="宋体"/>
                <w:szCs w:val="21"/>
                <w:highlight w:val="none"/>
              </w:rPr>
            </w:pPr>
            <w:r>
              <w:rPr>
                <w:rFonts w:hint="eastAsia" w:ascii="宋体" w:hAnsi="宋体"/>
                <w:szCs w:val="21"/>
                <w:highlight w:val="none"/>
              </w:rPr>
              <w:t>分辨率：0.0001mS/cm-0.01mS/cm（取决于测量范围）；</w:t>
            </w:r>
          </w:p>
          <w:p w14:paraId="460EA6BA">
            <w:pPr>
              <w:rPr>
                <w:rFonts w:ascii="宋体" w:hAnsi="宋体"/>
                <w:szCs w:val="21"/>
                <w:highlight w:val="none"/>
              </w:rPr>
            </w:pPr>
            <w:r>
              <w:rPr>
                <w:rFonts w:hint="eastAsia" w:ascii="宋体" w:hAnsi="宋体"/>
                <w:szCs w:val="21"/>
                <w:highlight w:val="none"/>
              </w:rPr>
              <w:t>准确度：0-100：读数之±0.5%或0.001 mS/cm，以较大者为准；100-200：读数值±1%；响应时间：T63＜2s。</w:t>
            </w:r>
          </w:p>
          <w:p w14:paraId="62E982C0">
            <w:pPr>
              <w:rPr>
                <w:rFonts w:ascii="宋体" w:hAnsi="宋体"/>
                <w:szCs w:val="21"/>
                <w:highlight w:val="none"/>
              </w:rPr>
            </w:pPr>
            <w:r>
              <w:rPr>
                <w:rFonts w:ascii="宋体" w:hAnsi="宋体"/>
                <w:szCs w:val="21"/>
                <w:highlight w:val="none"/>
              </w:rPr>
              <w:t>3</w:t>
            </w:r>
            <w:r>
              <w:rPr>
                <w:rFonts w:hint="eastAsia" w:ascii="宋体" w:hAnsi="宋体"/>
                <w:szCs w:val="21"/>
                <w:highlight w:val="none"/>
              </w:rPr>
              <w:t>）盐度</w:t>
            </w:r>
          </w:p>
          <w:p w14:paraId="4A5C78DB">
            <w:pPr>
              <w:rPr>
                <w:rFonts w:ascii="宋体" w:hAnsi="宋体"/>
                <w:szCs w:val="21"/>
                <w:highlight w:val="none"/>
              </w:rPr>
            </w:pPr>
            <w:r>
              <w:rPr>
                <w:rFonts w:hint="eastAsia" w:ascii="宋体" w:hAnsi="宋体"/>
                <w:szCs w:val="21"/>
                <w:highlight w:val="none"/>
              </w:rPr>
              <w:t>测量范围:0-70ppt；</w:t>
            </w:r>
          </w:p>
          <w:p w14:paraId="582E0564">
            <w:pPr>
              <w:rPr>
                <w:rFonts w:ascii="宋体" w:hAnsi="宋体"/>
                <w:szCs w:val="21"/>
                <w:highlight w:val="none"/>
              </w:rPr>
            </w:pPr>
            <w:r>
              <w:rPr>
                <w:rFonts w:hint="eastAsia" w:ascii="宋体" w:hAnsi="宋体"/>
                <w:szCs w:val="21"/>
                <w:highlight w:val="none"/>
              </w:rPr>
              <w:t>分辨率：0.01ppt；</w:t>
            </w:r>
          </w:p>
          <w:p w14:paraId="31D14DED">
            <w:pPr>
              <w:rPr>
                <w:rFonts w:ascii="宋体" w:hAnsi="宋体"/>
                <w:szCs w:val="21"/>
                <w:highlight w:val="none"/>
              </w:rPr>
            </w:pPr>
            <w:r>
              <w:rPr>
                <w:rFonts w:hint="eastAsia" w:ascii="宋体" w:hAnsi="宋体"/>
                <w:szCs w:val="21"/>
                <w:highlight w:val="none"/>
              </w:rPr>
              <w:t>准确度：读数之±1.0%或0.1ppt，以较大者为准；</w:t>
            </w:r>
          </w:p>
          <w:p w14:paraId="1536C464">
            <w:pPr>
              <w:rPr>
                <w:rFonts w:ascii="宋体" w:hAnsi="宋体"/>
                <w:szCs w:val="21"/>
                <w:highlight w:val="none"/>
              </w:rPr>
            </w:pPr>
            <w:r>
              <w:rPr>
                <w:rFonts w:hint="eastAsia" w:ascii="宋体" w:hAnsi="宋体"/>
                <w:szCs w:val="21"/>
                <w:highlight w:val="none"/>
              </w:rPr>
              <w:t>响应时间：T63＜2s。</w:t>
            </w:r>
          </w:p>
          <w:p w14:paraId="4C4E66E3">
            <w:pPr>
              <w:rPr>
                <w:rFonts w:ascii="宋体" w:hAnsi="宋体"/>
                <w:szCs w:val="21"/>
                <w:highlight w:val="none"/>
              </w:rPr>
            </w:pPr>
            <w:r>
              <w:rPr>
                <w:rFonts w:ascii="宋体" w:hAnsi="宋体"/>
                <w:szCs w:val="21"/>
                <w:highlight w:val="none"/>
              </w:rPr>
              <w:t>4</w:t>
            </w:r>
            <w:r>
              <w:rPr>
                <w:rFonts w:hint="eastAsia" w:ascii="宋体" w:hAnsi="宋体"/>
                <w:szCs w:val="21"/>
                <w:highlight w:val="none"/>
              </w:rPr>
              <w:t>）光学溶解氧</w:t>
            </w:r>
          </w:p>
          <w:p w14:paraId="454C0C3F">
            <w:pPr>
              <w:rPr>
                <w:rFonts w:ascii="宋体" w:hAnsi="宋体"/>
                <w:szCs w:val="21"/>
                <w:highlight w:val="none"/>
              </w:rPr>
            </w:pPr>
            <w:r>
              <w:rPr>
                <w:rFonts w:hint="eastAsia" w:ascii="宋体" w:hAnsi="宋体"/>
                <w:szCs w:val="21"/>
                <w:highlight w:val="none"/>
              </w:rPr>
              <w:t>测量原理：荧光法；</w:t>
            </w:r>
          </w:p>
          <w:p w14:paraId="7C311EB3">
            <w:pPr>
              <w:rPr>
                <w:rFonts w:ascii="宋体" w:hAnsi="宋体"/>
                <w:szCs w:val="21"/>
                <w:highlight w:val="none"/>
              </w:rPr>
            </w:pPr>
            <w:r>
              <w:rPr>
                <w:rFonts w:hint="eastAsia" w:ascii="宋体" w:hAnsi="宋体"/>
                <w:szCs w:val="21"/>
                <w:highlight w:val="none"/>
              </w:rPr>
              <w:t>测量范围：0至50mg/L 或0至500%；</w:t>
            </w:r>
          </w:p>
          <w:p w14:paraId="41A45829">
            <w:pPr>
              <w:rPr>
                <w:rFonts w:ascii="宋体" w:hAnsi="宋体"/>
                <w:szCs w:val="21"/>
                <w:highlight w:val="none"/>
              </w:rPr>
            </w:pPr>
            <w:r>
              <w:rPr>
                <w:rFonts w:hint="eastAsia" w:ascii="宋体" w:hAnsi="宋体"/>
                <w:szCs w:val="21"/>
                <w:highlight w:val="none"/>
              </w:rPr>
              <w:t>分辨率：0.01mg/L或0.1%；</w:t>
            </w:r>
          </w:p>
          <w:p w14:paraId="26096335">
            <w:pPr>
              <w:rPr>
                <w:rFonts w:ascii="宋体" w:hAnsi="宋体"/>
                <w:szCs w:val="21"/>
                <w:highlight w:val="none"/>
              </w:rPr>
            </w:pPr>
            <w:r>
              <w:rPr>
                <w:rFonts w:hint="eastAsia" w:ascii="宋体" w:hAnsi="宋体"/>
                <w:szCs w:val="21"/>
                <w:highlight w:val="none"/>
              </w:rPr>
              <w:t>准确度：0-20毫克/升：读数之±1%或0.1毫克/升，以较大者为准；20-50毫克/升：读数之±5%；0-200%空气饱和度：读数之±1%或1%空气饱和度，以较大者为准；200%-500%空气饱和度：读数之±5%；</w:t>
            </w:r>
          </w:p>
          <w:p w14:paraId="71B5D94F">
            <w:pPr>
              <w:rPr>
                <w:rFonts w:ascii="宋体" w:hAnsi="宋体"/>
                <w:szCs w:val="21"/>
                <w:highlight w:val="none"/>
              </w:rPr>
            </w:pPr>
            <w:r>
              <w:rPr>
                <w:rFonts w:hint="eastAsia" w:ascii="宋体" w:hAnsi="宋体"/>
                <w:szCs w:val="21"/>
                <w:highlight w:val="none"/>
              </w:rPr>
              <w:t>响应时间：T63＜5s。</w:t>
            </w:r>
          </w:p>
          <w:p w14:paraId="653CA927">
            <w:pPr>
              <w:rPr>
                <w:rFonts w:ascii="宋体" w:hAnsi="宋体"/>
                <w:szCs w:val="21"/>
                <w:highlight w:val="none"/>
              </w:rPr>
            </w:pPr>
            <w:r>
              <w:rPr>
                <w:rFonts w:ascii="宋体" w:hAnsi="宋体"/>
                <w:szCs w:val="21"/>
                <w:highlight w:val="none"/>
              </w:rPr>
              <w:t>5</w:t>
            </w:r>
            <w:r>
              <w:rPr>
                <w:rFonts w:hint="eastAsia" w:ascii="宋体" w:hAnsi="宋体"/>
                <w:szCs w:val="21"/>
                <w:highlight w:val="none"/>
              </w:rPr>
              <w:t>）浊度</w:t>
            </w:r>
          </w:p>
          <w:p w14:paraId="4842826C">
            <w:pPr>
              <w:rPr>
                <w:rFonts w:ascii="宋体" w:hAnsi="宋体"/>
                <w:szCs w:val="21"/>
                <w:highlight w:val="none"/>
              </w:rPr>
            </w:pPr>
            <w:r>
              <w:rPr>
                <w:rFonts w:hint="eastAsia" w:ascii="宋体" w:hAnsi="宋体"/>
                <w:szCs w:val="21"/>
                <w:highlight w:val="none"/>
              </w:rPr>
              <w:t>测量范围：0至4000FNU；</w:t>
            </w:r>
          </w:p>
          <w:p w14:paraId="26B2E0CF">
            <w:pPr>
              <w:rPr>
                <w:rFonts w:ascii="宋体" w:hAnsi="宋体"/>
                <w:szCs w:val="21"/>
                <w:highlight w:val="none"/>
              </w:rPr>
            </w:pPr>
            <w:r>
              <w:rPr>
                <w:rFonts w:hint="eastAsia" w:ascii="宋体" w:hAnsi="宋体"/>
                <w:szCs w:val="21"/>
                <w:highlight w:val="none"/>
              </w:rPr>
              <w:t>分辨率：0-999FNU时为0.01FNU，1000-4000FNU时为0.1FNU；</w:t>
            </w:r>
          </w:p>
          <w:p w14:paraId="62F645BB">
            <w:pPr>
              <w:rPr>
                <w:rFonts w:ascii="宋体" w:hAnsi="宋体"/>
                <w:szCs w:val="21"/>
                <w:highlight w:val="none"/>
              </w:rPr>
            </w:pPr>
            <w:r>
              <w:rPr>
                <w:rFonts w:hint="eastAsia" w:ascii="宋体" w:hAnsi="宋体"/>
                <w:szCs w:val="21"/>
                <w:highlight w:val="none"/>
              </w:rPr>
              <w:t>准确度：0-999FNU时为读数之±2%或0.3FNU，1000-4000FNU时为±5%；</w:t>
            </w:r>
          </w:p>
          <w:p w14:paraId="469A605F">
            <w:pPr>
              <w:rPr>
                <w:rFonts w:ascii="宋体" w:hAnsi="宋体"/>
                <w:szCs w:val="21"/>
                <w:highlight w:val="none"/>
              </w:rPr>
            </w:pPr>
            <w:r>
              <w:rPr>
                <w:rFonts w:hint="eastAsia" w:ascii="宋体" w:hAnsi="宋体"/>
                <w:szCs w:val="21"/>
                <w:highlight w:val="none"/>
              </w:rPr>
              <w:t>响应时间：T63＜2s。</w:t>
            </w:r>
          </w:p>
          <w:p w14:paraId="6929FE21">
            <w:pPr>
              <w:rPr>
                <w:rFonts w:ascii="宋体" w:hAnsi="宋体"/>
                <w:szCs w:val="21"/>
                <w:highlight w:val="none"/>
              </w:rPr>
            </w:pPr>
            <w:r>
              <w:rPr>
                <w:rFonts w:ascii="宋体" w:hAnsi="宋体"/>
                <w:szCs w:val="21"/>
                <w:highlight w:val="none"/>
              </w:rPr>
              <w:t>6</w:t>
            </w:r>
            <w:r>
              <w:rPr>
                <w:rFonts w:hint="eastAsia" w:ascii="宋体" w:hAnsi="宋体"/>
                <w:szCs w:val="21"/>
                <w:highlight w:val="none"/>
              </w:rPr>
              <w:t>）叶绿素a</w:t>
            </w:r>
          </w:p>
          <w:p w14:paraId="075F77DC">
            <w:pPr>
              <w:rPr>
                <w:rFonts w:ascii="宋体" w:hAnsi="宋体"/>
                <w:szCs w:val="21"/>
                <w:highlight w:val="none"/>
              </w:rPr>
            </w:pPr>
            <w:r>
              <w:rPr>
                <w:rFonts w:hint="eastAsia" w:ascii="宋体" w:hAnsi="宋体"/>
                <w:szCs w:val="21"/>
                <w:highlight w:val="none"/>
              </w:rPr>
              <w:t>测量范围：0-400微克/升；</w:t>
            </w:r>
          </w:p>
          <w:p w14:paraId="4226009A">
            <w:pPr>
              <w:rPr>
                <w:rFonts w:ascii="宋体" w:hAnsi="宋体"/>
                <w:szCs w:val="21"/>
                <w:highlight w:val="none"/>
              </w:rPr>
            </w:pPr>
            <w:r>
              <w:rPr>
                <w:rFonts w:hint="eastAsia" w:ascii="宋体" w:hAnsi="宋体"/>
                <w:szCs w:val="21"/>
                <w:highlight w:val="none"/>
              </w:rPr>
              <w:t>分辨率：0.01微克/升；</w:t>
            </w:r>
          </w:p>
          <w:p w14:paraId="059B7D5C">
            <w:pPr>
              <w:rPr>
                <w:rFonts w:ascii="宋体" w:hAnsi="宋体"/>
                <w:szCs w:val="21"/>
                <w:highlight w:val="none"/>
              </w:rPr>
            </w:pPr>
            <w:r>
              <w:rPr>
                <w:rFonts w:hint="eastAsia" w:ascii="宋体" w:hAnsi="宋体"/>
                <w:szCs w:val="21"/>
                <w:highlight w:val="none"/>
              </w:rPr>
              <w:t>线性：R2&gt;0.999；</w:t>
            </w:r>
          </w:p>
          <w:p w14:paraId="3442C030">
            <w:pPr>
              <w:rPr>
                <w:rFonts w:ascii="宋体" w:hAnsi="宋体"/>
                <w:szCs w:val="21"/>
                <w:highlight w:val="none"/>
              </w:rPr>
            </w:pPr>
            <w:r>
              <w:rPr>
                <w:rFonts w:hint="eastAsia" w:ascii="宋体" w:hAnsi="宋体"/>
                <w:szCs w:val="21"/>
                <w:highlight w:val="none"/>
              </w:rPr>
              <w:t>检出限：0.09μg/LChl；</w:t>
            </w:r>
          </w:p>
          <w:p w14:paraId="3DA0B091">
            <w:pPr>
              <w:rPr>
                <w:rFonts w:ascii="宋体" w:hAnsi="宋体"/>
                <w:szCs w:val="21"/>
                <w:highlight w:val="none"/>
              </w:rPr>
            </w:pPr>
            <w:r>
              <w:rPr>
                <w:rFonts w:hint="eastAsia" w:ascii="宋体" w:hAnsi="宋体"/>
                <w:szCs w:val="21"/>
                <w:highlight w:val="none"/>
              </w:rPr>
              <w:t>响应时间：T63＜2s。</w:t>
            </w:r>
          </w:p>
          <w:p w14:paraId="427BA34D">
            <w:pPr>
              <w:rPr>
                <w:rFonts w:ascii="宋体" w:hAnsi="宋体"/>
                <w:szCs w:val="21"/>
                <w:highlight w:val="none"/>
              </w:rPr>
            </w:pPr>
            <w:r>
              <w:rPr>
                <w:rFonts w:ascii="宋体" w:hAnsi="宋体"/>
                <w:szCs w:val="21"/>
                <w:highlight w:val="none"/>
              </w:rPr>
              <w:t>7</w:t>
            </w:r>
            <w:r>
              <w:rPr>
                <w:rFonts w:hint="eastAsia" w:ascii="宋体" w:hAnsi="宋体"/>
                <w:szCs w:val="21"/>
                <w:highlight w:val="none"/>
              </w:rPr>
              <w:t>）</w:t>
            </w:r>
            <w:r>
              <w:rPr>
                <w:rFonts w:ascii="宋体" w:hAnsi="宋体"/>
                <w:szCs w:val="21"/>
                <w:highlight w:val="none"/>
              </w:rPr>
              <w:t>PH</w:t>
            </w:r>
          </w:p>
          <w:p w14:paraId="0FD7F37A">
            <w:pPr>
              <w:rPr>
                <w:rFonts w:ascii="宋体" w:hAnsi="宋体"/>
                <w:szCs w:val="21"/>
                <w:highlight w:val="none"/>
              </w:rPr>
            </w:pPr>
            <w:r>
              <w:rPr>
                <w:rFonts w:hint="eastAsia" w:ascii="宋体" w:hAnsi="宋体"/>
                <w:szCs w:val="21"/>
                <w:highlight w:val="none"/>
              </w:rPr>
              <w:t>测量范围：0-14；</w:t>
            </w:r>
          </w:p>
          <w:p w14:paraId="1F0C8975">
            <w:pPr>
              <w:rPr>
                <w:rFonts w:ascii="宋体" w:hAnsi="宋体"/>
                <w:szCs w:val="21"/>
                <w:highlight w:val="none"/>
              </w:rPr>
            </w:pPr>
            <w:r>
              <w:rPr>
                <w:rFonts w:hint="eastAsia" w:ascii="宋体" w:hAnsi="宋体"/>
                <w:szCs w:val="21"/>
                <w:highlight w:val="none"/>
              </w:rPr>
              <w:t>分辨率：0.01；</w:t>
            </w:r>
          </w:p>
          <w:p w14:paraId="04EC2474">
            <w:pPr>
              <w:rPr>
                <w:rFonts w:ascii="宋体" w:hAnsi="宋体"/>
                <w:szCs w:val="21"/>
                <w:highlight w:val="none"/>
              </w:rPr>
            </w:pPr>
            <w:r>
              <w:rPr>
                <w:rFonts w:hint="eastAsia" w:ascii="宋体" w:hAnsi="宋体"/>
                <w:szCs w:val="21"/>
                <w:highlight w:val="none"/>
              </w:rPr>
              <w:t>准确度：±0.1，校准温度±10℃范围内±0.2 ，全温度量程；</w:t>
            </w:r>
          </w:p>
          <w:p w14:paraId="7069F221">
            <w:pPr>
              <w:rPr>
                <w:rFonts w:ascii="宋体" w:hAnsi="宋体"/>
                <w:szCs w:val="21"/>
                <w:highlight w:val="none"/>
              </w:rPr>
            </w:pPr>
            <w:r>
              <w:rPr>
                <w:rFonts w:hint="eastAsia" w:ascii="宋体" w:hAnsi="宋体"/>
                <w:szCs w:val="21"/>
                <w:highlight w:val="none"/>
              </w:rPr>
              <w:t>响应时间：T63＜3s</w:t>
            </w:r>
          </w:p>
        </w:tc>
        <w:tc>
          <w:tcPr>
            <w:tcW w:w="770" w:type="pct"/>
            <w:vAlign w:val="center"/>
          </w:tcPr>
          <w:p w14:paraId="522F6B74">
            <w:pPr>
              <w:jc w:val="center"/>
              <w:rPr>
                <w:sz w:val="20"/>
                <w:highlight w:val="none"/>
              </w:rPr>
            </w:pPr>
            <w:r>
              <w:rPr>
                <w:rFonts w:hint="eastAsia"/>
                <w:sz w:val="20"/>
                <w:highlight w:val="none"/>
              </w:rPr>
              <w:t>1台</w:t>
            </w:r>
          </w:p>
        </w:tc>
      </w:tr>
    </w:tbl>
    <w:p w14:paraId="58444CB3">
      <w:pPr>
        <w:adjustRightInd w:val="0"/>
        <w:snapToGrid w:val="0"/>
        <w:spacing w:line="360" w:lineRule="auto"/>
        <w:ind w:left="723" w:hanging="723" w:hangingChars="300"/>
        <w:outlineLvl w:val="2"/>
        <w:rPr>
          <w:rFonts w:ascii="宋体" w:hAnsi="宋体"/>
          <w:b/>
          <w:bCs/>
          <w:sz w:val="24"/>
          <w:szCs w:val="24"/>
          <w:highlight w:val="none"/>
        </w:rPr>
      </w:pPr>
      <w:bookmarkStart w:id="123" w:name="_Toc2821"/>
      <w:bookmarkStart w:id="124" w:name="_Toc17697"/>
      <w:r>
        <w:rPr>
          <w:rFonts w:hint="eastAsia" w:ascii="宋体" w:hAnsi="宋体"/>
          <w:b/>
          <w:bCs/>
          <w:sz w:val="24"/>
          <w:szCs w:val="24"/>
          <w:highlight w:val="none"/>
        </w:rPr>
        <w:t>（二）</w:t>
      </w:r>
      <w:r>
        <w:rPr>
          <w:rFonts w:hint="eastAsia" w:ascii="宋体" w:hAnsi="宋体"/>
          <w:b/>
          <w:bCs/>
          <w:sz w:val="24"/>
          <w:highlight w:val="none"/>
        </w:rPr>
        <w:t>生态修复评估与预警监管系统</w:t>
      </w:r>
      <w:bookmarkEnd w:id="123"/>
      <w:bookmarkEnd w:id="124"/>
    </w:p>
    <w:p w14:paraId="6BD2065A">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生态修复评估与预警监管系统包括生态环境状态评估系统、生态灾害预测预警系统、海岸生态仿真可视化系统以及设备智能运维管理系统等。</w:t>
      </w:r>
    </w:p>
    <w:p w14:paraId="34E66970">
      <w:pPr>
        <w:snapToGrid w:val="0"/>
        <w:spacing w:line="360" w:lineRule="auto"/>
        <w:rPr>
          <w:rFonts w:ascii="宋体" w:hAnsi="宋体"/>
          <w:color w:val="000000"/>
          <w:sz w:val="24"/>
          <w:highlight w:val="none"/>
        </w:rPr>
      </w:pPr>
      <w:r>
        <w:rPr>
          <w:rFonts w:hint="eastAsia" w:ascii="宋体" w:hAnsi="宋体"/>
          <w:color w:val="000000"/>
          <w:sz w:val="24"/>
          <w:highlight w:val="none"/>
        </w:rPr>
        <w:t>（1）</w:t>
      </w:r>
      <w:r>
        <w:rPr>
          <w:rFonts w:hint="eastAsia" w:ascii="宋体" w:hAnsi="宋体" w:cs="宋体"/>
          <w:sz w:val="24"/>
          <w:szCs w:val="24"/>
          <w:highlight w:val="none"/>
        </w:rPr>
        <w:t>生态环境状态评估系统</w:t>
      </w:r>
    </w:p>
    <w:p w14:paraId="131BA23D">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建设生态环境状态评估系统，汇聚生态调查数据和前端数字影像站、水环境在线监测站、水动力监测站、无人机巡查系统，以及其他单位共享生态环境数据，实现生物生长状态、生物多样性、水质质量、水动力环境、岸滩演变的监测数据实时展示、趋势分析，超限告警、简报生成。</w:t>
      </w:r>
    </w:p>
    <w:p w14:paraId="704CFFB4">
      <w:pPr>
        <w:snapToGrid w:val="0"/>
        <w:spacing w:line="360" w:lineRule="auto"/>
        <w:rPr>
          <w:rFonts w:ascii="宋体" w:hAnsi="宋体"/>
          <w:color w:val="000000"/>
          <w:sz w:val="24"/>
          <w:highlight w:val="none"/>
        </w:rPr>
      </w:pPr>
      <w:r>
        <w:rPr>
          <w:rFonts w:hint="eastAsia" w:ascii="宋体" w:hAnsi="宋体"/>
          <w:color w:val="000000"/>
          <w:sz w:val="24"/>
          <w:highlight w:val="none"/>
        </w:rPr>
        <w:t>（2）</w:t>
      </w:r>
      <w:r>
        <w:rPr>
          <w:rFonts w:hint="eastAsia" w:ascii="宋体" w:hAnsi="宋体" w:cs="宋体"/>
          <w:sz w:val="24"/>
          <w:szCs w:val="24"/>
          <w:highlight w:val="none"/>
        </w:rPr>
        <w:t>生态灾害预测预警系统</w:t>
      </w:r>
    </w:p>
    <w:p w14:paraId="4025D2F7">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根据沙滩视频观测系统，结合岸滩演变分析与模拟，构建团山沙滩侵蚀风险预测预警系统，实时提供沙滩侵蚀热点，评估沙滩侵蚀风险，开展沙滩侵蚀淤积；结合月亮湾水质在线监测数据，构建月亮湾水质演化预测模型，搭建月亮湾浒苔风险预测平台，基于现场监测与遥感数据，开展浒苔爆发风险预测预警，提供浒苔灾害监视预警与风险评估等功能。</w:t>
      </w:r>
    </w:p>
    <w:p w14:paraId="750738B9">
      <w:pPr>
        <w:snapToGrid w:val="0"/>
        <w:spacing w:line="360" w:lineRule="auto"/>
        <w:rPr>
          <w:rFonts w:ascii="宋体" w:hAnsi="宋体"/>
          <w:color w:val="000000"/>
          <w:sz w:val="24"/>
          <w:highlight w:val="none"/>
        </w:rPr>
      </w:pPr>
      <w:r>
        <w:rPr>
          <w:rFonts w:hint="eastAsia" w:ascii="宋体" w:hAnsi="宋体"/>
          <w:color w:val="000000"/>
          <w:sz w:val="24"/>
          <w:highlight w:val="none"/>
        </w:rPr>
        <w:t>（3）</w:t>
      </w:r>
      <w:r>
        <w:rPr>
          <w:rFonts w:hint="eastAsia" w:ascii="宋体" w:hAnsi="宋体" w:cs="宋体"/>
          <w:sz w:val="24"/>
          <w:szCs w:val="24"/>
          <w:highlight w:val="none"/>
        </w:rPr>
        <w:t>海岸生态仿真可视化系统</w:t>
      </w:r>
    </w:p>
    <w:p w14:paraId="1F02454B">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建设生态与防灾综合可视化系统，按专题分类构建海岸带生态环境态势可视化模块，实现对各类生态环境、海洋灾害信息、数据的查询及可视化展示；以生态环境监测预警、生态灾害预报预警、生态环境质量评价、历史生态灾害事件、海洋生态修复为重点关注信息，基于GIS地图和统计图表的大屏集中展示；建设大辽河口、团山及月亮湾三维模型，结合视频融合技术，实现大辽河口、团山及月亮湾等海岸三维数字沙盘模拟仿真，实现海岸地形特征变化的直观三维场景还原，满足关于海岸自然资源监测、分析、决策与生态修复成效可视化的业务需求。</w:t>
      </w:r>
    </w:p>
    <w:p w14:paraId="187FE2FE">
      <w:pPr>
        <w:snapToGrid w:val="0"/>
        <w:spacing w:line="360" w:lineRule="auto"/>
        <w:rPr>
          <w:rFonts w:ascii="宋体" w:hAnsi="宋体"/>
          <w:color w:val="000000"/>
          <w:sz w:val="24"/>
          <w:highlight w:val="none"/>
        </w:rPr>
      </w:pPr>
      <w:r>
        <w:rPr>
          <w:rFonts w:hint="eastAsia" w:ascii="宋体" w:hAnsi="宋体"/>
          <w:color w:val="000000"/>
          <w:sz w:val="24"/>
          <w:highlight w:val="none"/>
        </w:rPr>
        <w:t>（4）</w:t>
      </w:r>
      <w:r>
        <w:rPr>
          <w:rFonts w:hint="eastAsia" w:ascii="宋体" w:hAnsi="宋体" w:cs="宋体"/>
          <w:sz w:val="24"/>
          <w:szCs w:val="24"/>
          <w:highlight w:val="none"/>
        </w:rPr>
        <w:t>设备智能运维管理系统</w:t>
      </w:r>
    </w:p>
    <w:p w14:paraId="6751B0BF">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建设智能运维管理子系统，接入前端监测设备、后端管理中心服务器、业务应用平台等运行状态数据，实现对设备及软件平台运行状态实时监控、统计分析，并提供设备、软件的维护管理。其中，设备状态监控提供运行状态监控（包括数据资源、应用服务、系统资源等多方面）、设备生命周期监控、实时告警、监控统计，保证数据的正常传输及系统的稳定运行。设备运维管理提供设备检修管理和运维统计分析，保障设备高效率运行以及人力的合理调配。</w:t>
      </w:r>
    </w:p>
    <w:p w14:paraId="1EF025BC">
      <w:pPr>
        <w:pStyle w:val="55"/>
        <w:adjustRightInd w:val="0"/>
        <w:snapToGrid w:val="0"/>
        <w:spacing w:beforeLines="0"/>
        <w:ind w:firstLine="0" w:firstLineChars="0"/>
        <w:jc w:val="center"/>
        <w:rPr>
          <w:rFonts w:ascii="黑体" w:hAnsi="黑体" w:eastAsia="黑体" w:cs="仿宋"/>
          <w:b/>
          <w:kern w:val="0"/>
          <w:szCs w:val="24"/>
          <w:highlight w:val="none"/>
        </w:rPr>
      </w:pPr>
      <w:r>
        <w:rPr>
          <w:rFonts w:hint="eastAsia" w:ascii="黑体" w:hAnsi="黑体" w:eastAsia="黑体" w:cs="仿宋"/>
          <w:b/>
          <w:kern w:val="0"/>
          <w:szCs w:val="24"/>
          <w:highlight w:val="none"/>
        </w:rPr>
        <w:t>生态修复评估与预警监管系统详细技术参数明细表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5"/>
        <w:gridCol w:w="1038"/>
        <w:gridCol w:w="6449"/>
        <w:gridCol w:w="1518"/>
      </w:tblGrid>
      <w:tr w14:paraId="4E9F4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Align w:val="center"/>
          </w:tcPr>
          <w:p w14:paraId="62489A24">
            <w:pPr>
              <w:widowControl/>
              <w:jc w:val="center"/>
              <w:textAlignment w:val="center"/>
              <w:rPr>
                <w:rFonts w:ascii="宋体" w:hAnsi="宋体" w:cs="宋体"/>
                <w:b/>
                <w:bCs/>
                <w:color w:val="000000"/>
                <w:szCs w:val="21"/>
                <w:highlight w:val="none"/>
              </w:rPr>
            </w:pPr>
            <w:r>
              <w:rPr>
                <w:rFonts w:hint="eastAsia" w:ascii="宋体" w:hAnsi="宋体" w:cs="宋体"/>
                <w:b/>
                <w:bCs/>
                <w:color w:val="000000"/>
                <w:szCs w:val="21"/>
                <w:highlight w:val="none"/>
              </w:rPr>
              <w:t>建设内容</w:t>
            </w:r>
          </w:p>
        </w:tc>
        <w:tc>
          <w:tcPr>
            <w:tcW w:w="527" w:type="pct"/>
            <w:vAlign w:val="center"/>
          </w:tcPr>
          <w:p w14:paraId="167D869F">
            <w:pPr>
              <w:widowControl/>
              <w:jc w:val="center"/>
              <w:textAlignment w:val="center"/>
              <w:rPr>
                <w:rFonts w:ascii="宋体" w:hAnsi="宋体" w:cs="宋体"/>
                <w:b/>
                <w:bCs/>
                <w:color w:val="000000"/>
                <w:szCs w:val="21"/>
                <w:highlight w:val="none"/>
              </w:rPr>
            </w:pPr>
            <w:r>
              <w:rPr>
                <w:rFonts w:hint="eastAsia" w:ascii="宋体" w:hAnsi="宋体" w:cs="宋体"/>
                <w:b/>
                <w:bCs/>
                <w:color w:val="000000"/>
                <w:szCs w:val="21"/>
                <w:highlight w:val="none"/>
              </w:rPr>
              <w:t>分项明细</w:t>
            </w:r>
          </w:p>
        </w:tc>
        <w:tc>
          <w:tcPr>
            <w:tcW w:w="3273" w:type="pct"/>
            <w:vAlign w:val="center"/>
          </w:tcPr>
          <w:p w14:paraId="2D95CB5D">
            <w:pPr>
              <w:widowControl/>
              <w:jc w:val="center"/>
              <w:textAlignment w:val="center"/>
              <w:rPr>
                <w:rFonts w:ascii="宋体" w:hAnsi="宋体" w:cs="宋体"/>
                <w:b/>
                <w:bCs/>
                <w:color w:val="000000"/>
                <w:szCs w:val="21"/>
                <w:highlight w:val="none"/>
              </w:rPr>
            </w:pPr>
            <w:r>
              <w:rPr>
                <w:rFonts w:hint="eastAsia" w:ascii="宋体" w:hAnsi="宋体" w:cs="宋体"/>
                <w:b/>
                <w:bCs/>
                <w:color w:val="000000"/>
                <w:szCs w:val="21"/>
                <w:highlight w:val="none"/>
              </w:rPr>
              <w:t>技术参数</w:t>
            </w:r>
          </w:p>
        </w:tc>
        <w:tc>
          <w:tcPr>
            <w:tcW w:w="770" w:type="pct"/>
            <w:vAlign w:val="center"/>
          </w:tcPr>
          <w:p w14:paraId="3F0956AB">
            <w:pPr>
              <w:widowControl/>
              <w:jc w:val="center"/>
              <w:textAlignment w:val="center"/>
              <w:rPr>
                <w:rFonts w:ascii="宋体" w:hAnsi="宋体" w:cs="宋体"/>
                <w:b/>
                <w:bCs/>
                <w:color w:val="000000"/>
                <w:szCs w:val="21"/>
                <w:highlight w:val="none"/>
              </w:rPr>
            </w:pPr>
            <w:r>
              <w:rPr>
                <w:rFonts w:hint="eastAsia" w:ascii="宋体" w:hAnsi="宋体" w:cs="宋体"/>
                <w:b/>
                <w:bCs/>
                <w:color w:val="000000"/>
                <w:szCs w:val="21"/>
                <w:highlight w:val="none"/>
              </w:rPr>
              <w:t>数量/单位</w:t>
            </w:r>
          </w:p>
        </w:tc>
      </w:tr>
      <w:tr w14:paraId="1AFB5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restart"/>
            <w:vAlign w:val="center"/>
          </w:tcPr>
          <w:p w14:paraId="1798BB6E">
            <w:pPr>
              <w:widowControl/>
              <w:textAlignment w:val="center"/>
              <w:rPr>
                <w:rFonts w:ascii="宋体" w:hAnsi="宋体" w:cs="宋体"/>
                <w:color w:val="000000"/>
                <w:kern w:val="0"/>
                <w:szCs w:val="21"/>
                <w:highlight w:val="none"/>
              </w:rPr>
            </w:pPr>
            <w:r>
              <w:rPr>
                <w:rFonts w:hint="eastAsia" w:ascii="宋体" w:hAnsi="宋体"/>
                <w:szCs w:val="21"/>
                <w:highlight w:val="none"/>
              </w:rPr>
              <w:t>生态修复评估与预警监管系统</w:t>
            </w:r>
          </w:p>
        </w:tc>
        <w:tc>
          <w:tcPr>
            <w:tcW w:w="527" w:type="pct"/>
            <w:vAlign w:val="center"/>
          </w:tcPr>
          <w:p w14:paraId="3F9C5808">
            <w:pPr>
              <w:widowControl/>
              <w:rPr>
                <w:color w:val="000000"/>
                <w:kern w:val="0"/>
                <w:sz w:val="20"/>
                <w:highlight w:val="none"/>
              </w:rPr>
            </w:pPr>
            <w:r>
              <w:rPr>
                <w:rFonts w:hint="eastAsia"/>
                <w:color w:val="000000"/>
                <w:sz w:val="20"/>
                <w:highlight w:val="none"/>
              </w:rPr>
              <w:t>生态环境状态评估系统</w:t>
            </w:r>
          </w:p>
        </w:tc>
        <w:tc>
          <w:tcPr>
            <w:tcW w:w="3273" w:type="pct"/>
            <w:vAlign w:val="center"/>
          </w:tcPr>
          <w:p w14:paraId="5694FB53">
            <w:pPr>
              <w:adjustRightInd w:val="0"/>
              <w:snapToGrid w:val="0"/>
              <w:spacing w:line="360" w:lineRule="auto"/>
              <w:rPr>
                <w:rFonts w:ascii="宋体" w:hAnsi="宋体" w:cs="宋体"/>
                <w:szCs w:val="21"/>
                <w:highlight w:val="none"/>
              </w:rPr>
            </w:pPr>
            <w:r>
              <w:rPr>
                <w:rFonts w:hint="eastAsia" w:ascii="宋体" w:hAnsi="宋体" w:cs="宋体"/>
                <w:szCs w:val="21"/>
                <w:highlight w:val="none"/>
              </w:rPr>
              <w:t>建设生态环境状态评估系统，汇聚生态调查数据和前端数字影像站、水环境在线监测站、水动力监测站、无人机巡查系统，以及其他单位共享生态环境数据，实现生物生长状态、生物多样性、水质质量、水动力环境、岸滩演变的监测数据实时展示、趋势分析，超限告警、简报生成。</w:t>
            </w:r>
          </w:p>
        </w:tc>
        <w:tc>
          <w:tcPr>
            <w:tcW w:w="770" w:type="pct"/>
            <w:vAlign w:val="center"/>
          </w:tcPr>
          <w:p w14:paraId="7C3CE41E">
            <w:pPr>
              <w:widowControl/>
              <w:jc w:val="center"/>
              <w:rPr>
                <w:color w:val="000000"/>
                <w:kern w:val="0"/>
                <w:sz w:val="20"/>
                <w:highlight w:val="none"/>
              </w:rPr>
            </w:pPr>
            <w:r>
              <w:rPr>
                <w:rFonts w:hint="eastAsia"/>
                <w:color w:val="000000"/>
                <w:sz w:val="20"/>
                <w:highlight w:val="none"/>
              </w:rPr>
              <w:t>1套</w:t>
            </w:r>
          </w:p>
        </w:tc>
      </w:tr>
      <w:tr w14:paraId="1AA28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5CD214A2">
            <w:pPr>
              <w:jc w:val="center"/>
              <w:rPr>
                <w:rFonts w:ascii="宋体" w:hAnsi="宋体" w:cs="宋体"/>
                <w:color w:val="000000"/>
                <w:szCs w:val="21"/>
                <w:highlight w:val="none"/>
              </w:rPr>
            </w:pPr>
          </w:p>
        </w:tc>
        <w:tc>
          <w:tcPr>
            <w:tcW w:w="527" w:type="pct"/>
            <w:vAlign w:val="center"/>
          </w:tcPr>
          <w:p w14:paraId="61584593">
            <w:pPr>
              <w:rPr>
                <w:color w:val="000000"/>
                <w:sz w:val="20"/>
                <w:highlight w:val="none"/>
              </w:rPr>
            </w:pPr>
            <w:r>
              <w:rPr>
                <w:rFonts w:hint="eastAsia"/>
                <w:color w:val="000000"/>
                <w:sz w:val="20"/>
                <w:highlight w:val="none"/>
              </w:rPr>
              <w:t>生态灾害预测预警系统</w:t>
            </w:r>
          </w:p>
        </w:tc>
        <w:tc>
          <w:tcPr>
            <w:tcW w:w="3273" w:type="pct"/>
            <w:vAlign w:val="center"/>
          </w:tcPr>
          <w:p w14:paraId="2C04CAC1">
            <w:pPr>
              <w:adjustRightInd w:val="0"/>
              <w:snapToGrid w:val="0"/>
              <w:spacing w:line="360" w:lineRule="auto"/>
              <w:rPr>
                <w:rFonts w:ascii="宋体" w:hAnsi="宋体" w:cs="宋体"/>
                <w:szCs w:val="21"/>
                <w:highlight w:val="none"/>
              </w:rPr>
            </w:pPr>
            <w:r>
              <w:rPr>
                <w:rFonts w:hint="eastAsia" w:ascii="宋体" w:hAnsi="宋体" w:cs="宋体"/>
                <w:szCs w:val="21"/>
                <w:highlight w:val="none"/>
              </w:rPr>
              <w:t>根据沙滩视频观测系统，结合岸滩演变分析与模拟，构建团山沙滩侵蚀风险预测预警系统，实时提供沙滩侵蚀热点，评估沙滩侵蚀风险，开展沙滩侵蚀淤积；结合月亮湾水质在线监测数据，构建月亮湾水质演化预测模型，搭建月亮湾浒苔风险预测平台，基于现场监测与遥感数据，开展浒苔爆发风险预测预警，提供浒苔灾害监视预警与风险评估等功能。</w:t>
            </w:r>
          </w:p>
        </w:tc>
        <w:tc>
          <w:tcPr>
            <w:tcW w:w="770" w:type="pct"/>
            <w:vAlign w:val="center"/>
          </w:tcPr>
          <w:p w14:paraId="3C038FA1">
            <w:pPr>
              <w:jc w:val="center"/>
              <w:rPr>
                <w:color w:val="000000"/>
                <w:sz w:val="20"/>
                <w:highlight w:val="none"/>
              </w:rPr>
            </w:pPr>
            <w:r>
              <w:rPr>
                <w:rFonts w:hint="eastAsia"/>
                <w:color w:val="000000"/>
                <w:sz w:val="20"/>
                <w:highlight w:val="none"/>
              </w:rPr>
              <w:t>1台</w:t>
            </w:r>
          </w:p>
        </w:tc>
      </w:tr>
      <w:tr w14:paraId="6D998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3C1AAB57">
            <w:pPr>
              <w:jc w:val="center"/>
              <w:rPr>
                <w:rFonts w:ascii="宋体" w:hAnsi="宋体" w:cs="宋体"/>
                <w:color w:val="000000"/>
                <w:szCs w:val="21"/>
                <w:highlight w:val="none"/>
              </w:rPr>
            </w:pPr>
          </w:p>
        </w:tc>
        <w:tc>
          <w:tcPr>
            <w:tcW w:w="527" w:type="pct"/>
            <w:vAlign w:val="center"/>
          </w:tcPr>
          <w:p w14:paraId="4B59B582">
            <w:pPr>
              <w:rPr>
                <w:color w:val="000000"/>
                <w:sz w:val="20"/>
                <w:highlight w:val="none"/>
              </w:rPr>
            </w:pPr>
            <w:r>
              <w:rPr>
                <w:color w:val="000000"/>
                <w:sz w:val="20"/>
                <w:highlight w:val="none"/>
              </w:rPr>
              <w:t>海岸生态仿真可视化系统</w:t>
            </w:r>
          </w:p>
        </w:tc>
        <w:tc>
          <w:tcPr>
            <w:tcW w:w="3273" w:type="pct"/>
            <w:vAlign w:val="center"/>
          </w:tcPr>
          <w:p w14:paraId="614E88F7">
            <w:pPr>
              <w:adjustRightInd w:val="0"/>
              <w:snapToGrid w:val="0"/>
              <w:spacing w:line="360" w:lineRule="auto"/>
              <w:rPr>
                <w:rFonts w:ascii="宋体" w:hAnsi="宋体"/>
                <w:szCs w:val="21"/>
                <w:highlight w:val="none"/>
              </w:rPr>
            </w:pPr>
            <w:r>
              <w:rPr>
                <w:rFonts w:hint="eastAsia" w:ascii="宋体" w:hAnsi="宋体" w:cs="宋体"/>
                <w:szCs w:val="21"/>
                <w:highlight w:val="none"/>
              </w:rPr>
              <w:t>建设生态与防灾综合可视化系统，按专题分类构建海岸带生态环境态势可视化模块，实现对各类生态环境、海洋灾害信息、数据的查询及可视化展示；以生态环境监测预警、生态灾害预报预警、生态环境质量评价、历史生态灾害事件、海洋生态修复为重点关注信息，基于GIS地图和统计图表的大屏集中展示；建设大辽河口、团山及月亮湾三维模型，结合视频融合技术，实现大辽河口、团山及月亮湾等海岸三维数字沙盘模拟仿真，实现海岸地形特征变化的直观三维场景还原，满足关于海岸自然资源监测、分析、决策与生态修复成效可视化的业务需求。</w:t>
            </w:r>
          </w:p>
        </w:tc>
        <w:tc>
          <w:tcPr>
            <w:tcW w:w="770" w:type="pct"/>
            <w:vAlign w:val="center"/>
          </w:tcPr>
          <w:p w14:paraId="7ADDD9DF">
            <w:pPr>
              <w:jc w:val="center"/>
              <w:rPr>
                <w:color w:val="000000"/>
                <w:sz w:val="20"/>
                <w:highlight w:val="none"/>
              </w:rPr>
            </w:pPr>
            <w:r>
              <w:rPr>
                <w:rFonts w:hint="eastAsia"/>
                <w:color w:val="000000"/>
                <w:sz w:val="20"/>
                <w:highlight w:val="none"/>
              </w:rPr>
              <w:t>1台</w:t>
            </w:r>
          </w:p>
        </w:tc>
      </w:tr>
      <w:tr w14:paraId="17B94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9" w:type="pct"/>
            <w:vMerge w:val="continue"/>
            <w:vAlign w:val="center"/>
          </w:tcPr>
          <w:p w14:paraId="55963AD6">
            <w:pPr>
              <w:jc w:val="center"/>
              <w:rPr>
                <w:rFonts w:ascii="宋体" w:hAnsi="宋体" w:cs="宋体"/>
                <w:color w:val="000000"/>
                <w:szCs w:val="21"/>
                <w:highlight w:val="none"/>
              </w:rPr>
            </w:pPr>
          </w:p>
        </w:tc>
        <w:tc>
          <w:tcPr>
            <w:tcW w:w="527" w:type="pct"/>
            <w:vAlign w:val="center"/>
          </w:tcPr>
          <w:p w14:paraId="060D6CBC">
            <w:pPr>
              <w:rPr>
                <w:color w:val="000000"/>
                <w:sz w:val="20"/>
                <w:highlight w:val="none"/>
              </w:rPr>
            </w:pPr>
            <w:r>
              <w:rPr>
                <w:rFonts w:hint="eastAsia"/>
                <w:color w:val="000000"/>
                <w:sz w:val="20"/>
                <w:highlight w:val="none"/>
              </w:rPr>
              <w:t>设备智能运维管理系统</w:t>
            </w:r>
          </w:p>
        </w:tc>
        <w:tc>
          <w:tcPr>
            <w:tcW w:w="3273" w:type="pct"/>
            <w:vAlign w:val="center"/>
          </w:tcPr>
          <w:p w14:paraId="3C1982AB">
            <w:pPr>
              <w:adjustRightInd w:val="0"/>
              <w:snapToGrid w:val="0"/>
              <w:spacing w:line="360" w:lineRule="auto"/>
              <w:rPr>
                <w:rFonts w:ascii="宋体" w:hAnsi="宋体" w:cs="宋体"/>
                <w:szCs w:val="21"/>
                <w:highlight w:val="none"/>
              </w:rPr>
            </w:pPr>
            <w:r>
              <w:rPr>
                <w:rFonts w:hint="eastAsia" w:ascii="宋体" w:hAnsi="宋体" w:cs="宋体"/>
                <w:szCs w:val="21"/>
                <w:highlight w:val="none"/>
              </w:rPr>
              <w:t>建设智能运维管理子系统，接入前端监测设备、后端管理中心服务器、业务应用平台等运行状态数据，实现对设备及软件平台运行状态实时监控、统计分析，并提供设备、软件的维护管理。其中，设备状态监控提供运行状态监控（包括数据资源、应用服务、系统资源等多方面）、设备生命周期监控、实时告警、监控统计，保证数据的正常传输及系统的稳定运行。设备运维管理提供设备检修管理和运维统计分析，保障设备高效率运行以及人力的合理调配。</w:t>
            </w:r>
          </w:p>
        </w:tc>
        <w:tc>
          <w:tcPr>
            <w:tcW w:w="770" w:type="pct"/>
            <w:vAlign w:val="center"/>
          </w:tcPr>
          <w:p w14:paraId="4743C094">
            <w:pPr>
              <w:jc w:val="center"/>
              <w:rPr>
                <w:color w:val="000000"/>
                <w:sz w:val="20"/>
                <w:highlight w:val="none"/>
              </w:rPr>
            </w:pPr>
            <w:r>
              <w:rPr>
                <w:rFonts w:hint="eastAsia"/>
                <w:color w:val="000000"/>
                <w:sz w:val="20"/>
                <w:highlight w:val="none"/>
              </w:rPr>
              <w:t>1套</w:t>
            </w:r>
          </w:p>
        </w:tc>
      </w:tr>
    </w:tbl>
    <w:p w14:paraId="299F756B">
      <w:pPr>
        <w:pStyle w:val="4"/>
        <w:keepNext w:val="0"/>
        <w:keepLines w:val="0"/>
        <w:adjustRightInd w:val="0"/>
        <w:snapToGrid w:val="0"/>
        <w:textAlignment w:val="baseline"/>
        <w:rPr>
          <w:rFonts w:ascii="新宋体" w:hAnsi="新宋体" w:eastAsia="新宋体" w:cs="新宋体"/>
          <w:sz w:val="24"/>
          <w:szCs w:val="24"/>
          <w:highlight w:val="none"/>
        </w:rPr>
      </w:pPr>
      <w:bookmarkStart w:id="125" w:name="_Toc8313"/>
      <w:bookmarkStart w:id="126" w:name="_Toc7404"/>
      <w:r>
        <w:rPr>
          <w:rFonts w:hint="eastAsia" w:ascii="新宋体" w:hAnsi="新宋体" w:eastAsia="新宋体" w:cs="新宋体"/>
          <w:sz w:val="24"/>
          <w:szCs w:val="24"/>
          <w:highlight w:val="none"/>
        </w:rPr>
        <w:t>6、主要工程量</w:t>
      </w:r>
      <w:bookmarkEnd w:id="125"/>
      <w:bookmarkEnd w:id="126"/>
    </w:p>
    <w:p w14:paraId="7032CB44">
      <w:pPr>
        <w:pStyle w:val="27"/>
        <w:snapToGrid w:val="0"/>
        <w:spacing w:after="0" w:line="240" w:lineRule="auto"/>
        <w:ind w:left="0" w:firstLine="0"/>
        <w:jc w:val="center"/>
        <w:rPr>
          <w:rFonts w:ascii="黑体" w:hAnsi="黑体" w:eastAsia="黑体"/>
          <w:b/>
          <w:highlight w:val="none"/>
        </w:rPr>
      </w:pPr>
      <w:r>
        <w:rPr>
          <w:rFonts w:hint="eastAsia" w:ascii="黑体" w:hAnsi="黑体" w:eastAsia="黑体"/>
          <w:b/>
          <w:highlight w:val="none"/>
        </w:rPr>
        <w:t>项目长效管护能力建设工程量</w:t>
      </w:r>
    </w:p>
    <w:tbl>
      <w:tblPr>
        <w:tblStyle w:val="28"/>
        <w:tblW w:w="4998" w:type="pct"/>
        <w:jc w:val="center"/>
        <w:tblLayout w:type="autofit"/>
        <w:tblCellMar>
          <w:top w:w="0" w:type="dxa"/>
          <w:left w:w="108" w:type="dxa"/>
          <w:bottom w:w="0" w:type="dxa"/>
          <w:right w:w="108" w:type="dxa"/>
        </w:tblCellMar>
      </w:tblPr>
      <w:tblGrid>
        <w:gridCol w:w="1224"/>
        <w:gridCol w:w="1492"/>
        <w:gridCol w:w="1559"/>
        <w:gridCol w:w="3582"/>
        <w:gridCol w:w="1124"/>
        <w:gridCol w:w="869"/>
      </w:tblGrid>
      <w:tr w14:paraId="0C56FBF5">
        <w:tblPrEx>
          <w:tblCellMar>
            <w:top w:w="0" w:type="dxa"/>
            <w:left w:w="108" w:type="dxa"/>
            <w:bottom w:w="0" w:type="dxa"/>
            <w:right w:w="108" w:type="dxa"/>
          </w:tblCellMar>
        </w:tblPrEx>
        <w:trPr>
          <w:trHeight w:val="9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2E8D82C">
            <w:pPr>
              <w:pStyle w:val="27"/>
              <w:ind w:left="0" w:firstLine="0"/>
              <w:jc w:val="center"/>
              <w:rPr>
                <w:rFonts w:ascii="宋体" w:hAnsi="宋体" w:cs="宋体"/>
                <w:b/>
                <w:bCs/>
                <w:sz w:val="21"/>
                <w:szCs w:val="21"/>
                <w:highlight w:val="none"/>
              </w:rPr>
            </w:pPr>
            <w:r>
              <w:rPr>
                <w:rFonts w:hint="eastAsia" w:ascii="宋体" w:hAnsi="宋体" w:cs="宋体"/>
                <w:b/>
                <w:bCs/>
                <w:sz w:val="21"/>
                <w:szCs w:val="21"/>
                <w:highlight w:val="none"/>
              </w:rPr>
              <w:t>序号</w:t>
            </w:r>
          </w:p>
        </w:tc>
        <w:tc>
          <w:tcPr>
            <w:tcW w:w="757" w:type="pct"/>
            <w:tcBorders>
              <w:top w:val="single" w:color="000000" w:sz="4" w:space="0"/>
              <w:left w:val="single" w:color="000000" w:sz="4" w:space="0"/>
              <w:bottom w:val="single" w:color="000000" w:sz="4" w:space="0"/>
              <w:right w:val="single" w:color="000000" w:sz="4" w:space="0"/>
            </w:tcBorders>
            <w:vAlign w:val="center"/>
          </w:tcPr>
          <w:p w14:paraId="3898FC3D">
            <w:pPr>
              <w:pStyle w:val="27"/>
              <w:ind w:left="0" w:firstLine="0"/>
              <w:jc w:val="center"/>
              <w:rPr>
                <w:rFonts w:ascii="宋体" w:hAnsi="宋体" w:cs="宋体"/>
                <w:b/>
                <w:bCs/>
                <w:sz w:val="21"/>
                <w:szCs w:val="21"/>
                <w:highlight w:val="none"/>
              </w:rPr>
            </w:pPr>
            <w:r>
              <w:rPr>
                <w:rFonts w:hint="eastAsia" w:ascii="宋体" w:hAnsi="宋体" w:cs="宋体"/>
                <w:b/>
                <w:bCs/>
                <w:sz w:val="21"/>
                <w:szCs w:val="21"/>
                <w:highlight w:val="none"/>
              </w:rPr>
              <w:t>能力建设项目</w:t>
            </w:r>
          </w:p>
        </w:tc>
        <w:tc>
          <w:tcPr>
            <w:tcW w:w="2608" w:type="pct"/>
            <w:gridSpan w:val="2"/>
            <w:tcBorders>
              <w:top w:val="single" w:color="000000" w:sz="4" w:space="0"/>
              <w:left w:val="single" w:color="000000" w:sz="4" w:space="0"/>
              <w:bottom w:val="single" w:color="000000" w:sz="4" w:space="0"/>
              <w:right w:val="single" w:color="000000" w:sz="4" w:space="0"/>
            </w:tcBorders>
            <w:vAlign w:val="center"/>
          </w:tcPr>
          <w:p w14:paraId="787EB774">
            <w:pPr>
              <w:pStyle w:val="27"/>
              <w:ind w:left="0" w:firstLine="0"/>
              <w:jc w:val="center"/>
              <w:rPr>
                <w:rFonts w:ascii="宋体" w:hAnsi="宋体" w:cs="宋体"/>
                <w:b/>
                <w:bCs/>
                <w:sz w:val="21"/>
                <w:szCs w:val="21"/>
                <w:highlight w:val="none"/>
              </w:rPr>
            </w:pPr>
            <w:r>
              <w:rPr>
                <w:rFonts w:hint="eastAsia" w:ascii="宋体" w:hAnsi="宋体" w:cs="宋体"/>
                <w:b/>
                <w:bCs/>
                <w:sz w:val="21"/>
                <w:szCs w:val="21"/>
                <w:highlight w:val="none"/>
              </w:rPr>
              <w:t>能力建设清单</w:t>
            </w:r>
          </w:p>
        </w:tc>
        <w:tc>
          <w:tcPr>
            <w:tcW w:w="570" w:type="pct"/>
            <w:tcBorders>
              <w:top w:val="single" w:color="000000" w:sz="4" w:space="0"/>
              <w:left w:val="single" w:color="000000" w:sz="4" w:space="0"/>
              <w:bottom w:val="single" w:color="000000" w:sz="4" w:space="0"/>
              <w:right w:val="single" w:color="000000" w:sz="4" w:space="0"/>
            </w:tcBorders>
            <w:vAlign w:val="center"/>
          </w:tcPr>
          <w:p w14:paraId="45504048">
            <w:pPr>
              <w:pStyle w:val="27"/>
              <w:ind w:left="0" w:firstLine="0"/>
              <w:jc w:val="center"/>
              <w:rPr>
                <w:rFonts w:ascii="宋体" w:hAnsi="宋体" w:cs="宋体"/>
                <w:b/>
                <w:bCs/>
                <w:sz w:val="21"/>
                <w:szCs w:val="21"/>
                <w:highlight w:val="none"/>
              </w:rPr>
            </w:pPr>
            <w:r>
              <w:rPr>
                <w:rFonts w:hint="eastAsia" w:ascii="宋体" w:hAnsi="宋体" w:cs="宋体"/>
                <w:b/>
                <w:bCs/>
                <w:sz w:val="21"/>
                <w:szCs w:val="21"/>
                <w:highlight w:val="none"/>
              </w:rPr>
              <w:t>单位</w:t>
            </w:r>
          </w:p>
        </w:tc>
        <w:tc>
          <w:tcPr>
            <w:tcW w:w="441" w:type="pct"/>
            <w:tcBorders>
              <w:top w:val="single" w:color="000000" w:sz="4" w:space="0"/>
              <w:left w:val="single" w:color="000000" w:sz="4" w:space="0"/>
              <w:bottom w:val="single" w:color="000000" w:sz="4" w:space="0"/>
              <w:right w:val="single" w:color="000000" w:sz="4" w:space="0"/>
            </w:tcBorders>
            <w:vAlign w:val="center"/>
          </w:tcPr>
          <w:p w14:paraId="464DA650">
            <w:pPr>
              <w:pStyle w:val="27"/>
              <w:ind w:left="0" w:firstLine="0"/>
              <w:jc w:val="center"/>
              <w:rPr>
                <w:rFonts w:ascii="宋体" w:hAnsi="宋体" w:cs="宋体"/>
                <w:b/>
                <w:bCs/>
                <w:sz w:val="21"/>
                <w:szCs w:val="21"/>
                <w:highlight w:val="none"/>
              </w:rPr>
            </w:pPr>
            <w:r>
              <w:rPr>
                <w:rFonts w:hint="eastAsia" w:ascii="宋体" w:hAnsi="宋体" w:cs="宋体"/>
                <w:b/>
                <w:bCs/>
                <w:sz w:val="21"/>
                <w:szCs w:val="21"/>
                <w:highlight w:val="none"/>
              </w:rPr>
              <w:t>数量</w:t>
            </w:r>
          </w:p>
        </w:tc>
      </w:tr>
      <w:tr w14:paraId="62CBB1D3">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40FA532">
            <w:pPr>
              <w:widowControl/>
              <w:jc w:val="center"/>
              <w:textAlignment w:val="center"/>
              <w:rPr>
                <w:rFonts w:ascii="宋体" w:hAnsi="宋体" w:cs="宋体"/>
                <w:szCs w:val="21"/>
                <w:highlight w:val="none"/>
              </w:rPr>
            </w:pPr>
            <w:bookmarkStart w:id="127" w:name="_Hlk187130902"/>
            <w:bookmarkStart w:id="128" w:name="_Hlk187155322"/>
            <w:r>
              <w:rPr>
                <w:rFonts w:hint="eastAsia" w:ascii="宋体" w:hAnsi="宋体" w:cs="宋体"/>
                <w:color w:val="000000"/>
                <w:kern w:val="0"/>
                <w:szCs w:val="21"/>
                <w:highlight w:val="none"/>
              </w:rPr>
              <w:t>1</w:t>
            </w:r>
          </w:p>
        </w:tc>
        <w:tc>
          <w:tcPr>
            <w:tcW w:w="757" w:type="pct"/>
            <w:vMerge w:val="restart"/>
            <w:tcBorders>
              <w:top w:val="single" w:color="000000" w:sz="4" w:space="0"/>
              <w:left w:val="single" w:color="000000" w:sz="4" w:space="0"/>
              <w:bottom w:val="single" w:color="000000" w:sz="4" w:space="0"/>
              <w:right w:val="single" w:color="000000" w:sz="4" w:space="0"/>
            </w:tcBorders>
            <w:vAlign w:val="center"/>
          </w:tcPr>
          <w:p w14:paraId="2CFB8D1D">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大辽河口长效能力建设</w:t>
            </w: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12C4E7F6">
            <w:pPr>
              <w:pStyle w:val="27"/>
              <w:ind w:left="0" w:firstLine="0"/>
              <w:rPr>
                <w:rFonts w:ascii="宋体" w:hAnsi="宋体" w:cs="宋体"/>
                <w:sz w:val="21"/>
                <w:szCs w:val="21"/>
                <w:highlight w:val="none"/>
              </w:rPr>
            </w:pPr>
            <w:r>
              <w:rPr>
                <w:rFonts w:hint="eastAsia" w:ascii="宋体" w:hAnsi="宋体" w:cs="宋体"/>
                <w:sz w:val="21"/>
                <w:szCs w:val="21"/>
                <w:highlight w:val="none"/>
              </w:rPr>
              <w:t>海基水动力监测系统</w:t>
            </w:r>
          </w:p>
        </w:tc>
        <w:tc>
          <w:tcPr>
            <w:tcW w:w="1817" w:type="pct"/>
            <w:tcBorders>
              <w:top w:val="single" w:color="000000" w:sz="4" w:space="0"/>
              <w:left w:val="single" w:color="000000" w:sz="4" w:space="0"/>
              <w:bottom w:val="single" w:color="000000" w:sz="4" w:space="0"/>
              <w:right w:val="single" w:color="000000" w:sz="4" w:space="0"/>
            </w:tcBorders>
            <w:vAlign w:val="center"/>
          </w:tcPr>
          <w:p w14:paraId="6F4D9E44">
            <w:pPr>
              <w:pStyle w:val="27"/>
              <w:ind w:left="0" w:firstLine="0"/>
              <w:rPr>
                <w:rFonts w:ascii="宋体" w:hAnsi="宋体" w:cs="宋体"/>
                <w:sz w:val="21"/>
                <w:szCs w:val="21"/>
                <w:highlight w:val="none"/>
              </w:rPr>
            </w:pPr>
            <w:r>
              <w:rPr>
                <w:rFonts w:hint="eastAsia" w:ascii="宋体" w:hAnsi="宋体" w:cs="宋体"/>
                <w:sz w:val="21"/>
                <w:szCs w:val="21"/>
                <w:highlight w:val="none"/>
              </w:rPr>
              <w:t>海床基</w:t>
            </w:r>
          </w:p>
        </w:tc>
        <w:tc>
          <w:tcPr>
            <w:tcW w:w="570" w:type="pct"/>
            <w:tcBorders>
              <w:top w:val="single" w:color="000000" w:sz="4" w:space="0"/>
              <w:left w:val="single" w:color="000000" w:sz="4" w:space="0"/>
              <w:bottom w:val="single" w:color="000000" w:sz="4" w:space="0"/>
              <w:right w:val="single" w:color="000000" w:sz="4" w:space="0"/>
            </w:tcBorders>
            <w:vAlign w:val="center"/>
          </w:tcPr>
          <w:p w14:paraId="4F33806D">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584AB49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7A1CA9FC">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E8E17AA">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2</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063F23BE">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61D005A1">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15310197">
            <w:pPr>
              <w:pStyle w:val="27"/>
              <w:ind w:left="0" w:firstLine="0"/>
              <w:rPr>
                <w:rFonts w:ascii="宋体" w:hAnsi="宋体" w:cs="宋体"/>
                <w:sz w:val="21"/>
                <w:szCs w:val="21"/>
                <w:highlight w:val="none"/>
              </w:rPr>
            </w:pPr>
            <w:r>
              <w:rPr>
                <w:rFonts w:hint="eastAsia" w:ascii="宋体" w:hAnsi="宋体" w:cs="宋体"/>
                <w:sz w:val="21"/>
                <w:szCs w:val="21"/>
                <w:highlight w:val="none"/>
              </w:rPr>
              <w:t>ADCP</w:t>
            </w:r>
          </w:p>
        </w:tc>
        <w:tc>
          <w:tcPr>
            <w:tcW w:w="570" w:type="pct"/>
            <w:tcBorders>
              <w:top w:val="single" w:color="000000" w:sz="4" w:space="0"/>
              <w:left w:val="single" w:color="000000" w:sz="4" w:space="0"/>
              <w:bottom w:val="single" w:color="000000" w:sz="4" w:space="0"/>
              <w:right w:val="single" w:color="000000" w:sz="4" w:space="0"/>
            </w:tcBorders>
            <w:vAlign w:val="center"/>
          </w:tcPr>
          <w:p w14:paraId="1241528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1C7E0870">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449A4EB6">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0D8000B">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3</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7EEE063E">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1C043850">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457D03E1">
            <w:pPr>
              <w:pStyle w:val="27"/>
              <w:ind w:left="0" w:firstLine="0"/>
              <w:rPr>
                <w:rFonts w:ascii="宋体" w:hAnsi="宋体" w:cs="宋体"/>
                <w:sz w:val="21"/>
                <w:szCs w:val="21"/>
                <w:highlight w:val="none"/>
              </w:rPr>
            </w:pPr>
            <w:r>
              <w:rPr>
                <w:rFonts w:hint="eastAsia" w:ascii="宋体" w:hAnsi="宋体" w:cs="宋体"/>
                <w:sz w:val="21"/>
                <w:szCs w:val="21"/>
                <w:highlight w:val="none"/>
              </w:rPr>
              <w:t>压力式潮位仪</w:t>
            </w:r>
          </w:p>
        </w:tc>
        <w:tc>
          <w:tcPr>
            <w:tcW w:w="570" w:type="pct"/>
            <w:tcBorders>
              <w:top w:val="single" w:color="000000" w:sz="4" w:space="0"/>
              <w:left w:val="single" w:color="000000" w:sz="4" w:space="0"/>
              <w:bottom w:val="single" w:color="000000" w:sz="4" w:space="0"/>
              <w:right w:val="single" w:color="000000" w:sz="4" w:space="0"/>
            </w:tcBorders>
            <w:vAlign w:val="center"/>
          </w:tcPr>
          <w:p w14:paraId="13937E73">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71EBBD7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6CD02899">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4E0FD0C">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4</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599CB78A">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115A2955">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72129C6E">
            <w:pPr>
              <w:pStyle w:val="27"/>
              <w:ind w:left="0" w:firstLine="0"/>
              <w:rPr>
                <w:rFonts w:ascii="宋体" w:hAnsi="宋体" w:cs="宋体"/>
                <w:sz w:val="21"/>
                <w:szCs w:val="21"/>
                <w:highlight w:val="none"/>
              </w:rPr>
            </w:pPr>
            <w:r>
              <w:rPr>
                <w:rFonts w:hint="eastAsia" w:ascii="宋体" w:hAnsi="宋体" w:cs="宋体"/>
                <w:sz w:val="21"/>
                <w:szCs w:val="21"/>
                <w:highlight w:val="none"/>
              </w:rPr>
              <w:t>加速度波浪仪</w:t>
            </w:r>
          </w:p>
        </w:tc>
        <w:tc>
          <w:tcPr>
            <w:tcW w:w="570" w:type="pct"/>
            <w:tcBorders>
              <w:top w:val="single" w:color="000000" w:sz="4" w:space="0"/>
              <w:left w:val="single" w:color="000000" w:sz="4" w:space="0"/>
              <w:bottom w:val="single" w:color="000000" w:sz="4" w:space="0"/>
              <w:right w:val="single" w:color="000000" w:sz="4" w:space="0"/>
            </w:tcBorders>
            <w:vAlign w:val="center"/>
          </w:tcPr>
          <w:p w14:paraId="6807B39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7F520CAE">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1FC4D64E">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66182F40">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5</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7B1AFDCE">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6D6132E9">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3F0749CF">
            <w:pPr>
              <w:pStyle w:val="27"/>
              <w:ind w:left="0" w:firstLine="0"/>
              <w:rPr>
                <w:rFonts w:ascii="宋体" w:hAnsi="宋体" w:cs="宋体"/>
                <w:sz w:val="21"/>
                <w:szCs w:val="21"/>
                <w:highlight w:val="none"/>
              </w:rPr>
            </w:pPr>
            <w:r>
              <w:rPr>
                <w:rFonts w:hint="eastAsia" w:ascii="宋体" w:hAnsi="宋体" w:cs="宋体"/>
                <w:sz w:val="21"/>
                <w:szCs w:val="21"/>
                <w:highlight w:val="none"/>
              </w:rPr>
              <w:t>标记浮标(含通讯、供电）</w:t>
            </w:r>
          </w:p>
        </w:tc>
        <w:tc>
          <w:tcPr>
            <w:tcW w:w="570" w:type="pct"/>
            <w:tcBorders>
              <w:top w:val="single" w:color="000000" w:sz="4" w:space="0"/>
              <w:left w:val="single" w:color="000000" w:sz="4" w:space="0"/>
              <w:bottom w:val="single" w:color="000000" w:sz="4" w:space="0"/>
              <w:right w:val="single" w:color="000000" w:sz="4" w:space="0"/>
            </w:tcBorders>
            <w:vAlign w:val="center"/>
          </w:tcPr>
          <w:p w14:paraId="5D8A426B">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7F413B5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65A1DACB">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C6A9118">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6</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24B91657">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1F3C46F">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5447FE17">
            <w:pPr>
              <w:pStyle w:val="27"/>
              <w:ind w:left="0" w:firstLine="0"/>
              <w:rPr>
                <w:rFonts w:ascii="宋体" w:hAnsi="宋体" w:cs="宋体"/>
                <w:sz w:val="21"/>
                <w:szCs w:val="21"/>
                <w:highlight w:val="none"/>
              </w:rPr>
            </w:pPr>
            <w:r>
              <w:rPr>
                <w:rFonts w:hint="eastAsia" w:ascii="宋体" w:hAnsi="宋体" w:cs="宋体"/>
                <w:sz w:val="21"/>
                <w:szCs w:val="21"/>
                <w:highlight w:val="none"/>
              </w:rPr>
              <w:t>数据采集器</w:t>
            </w:r>
          </w:p>
        </w:tc>
        <w:tc>
          <w:tcPr>
            <w:tcW w:w="570" w:type="pct"/>
            <w:tcBorders>
              <w:top w:val="single" w:color="000000" w:sz="4" w:space="0"/>
              <w:left w:val="single" w:color="000000" w:sz="4" w:space="0"/>
              <w:bottom w:val="single" w:color="000000" w:sz="4" w:space="0"/>
              <w:right w:val="single" w:color="000000" w:sz="4" w:space="0"/>
            </w:tcBorders>
            <w:vAlign w:val="center"/>
          </w:tcPr>
          <w:p w14:paraId="19F12120">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6E8A8D03">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30021EB4">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02742B1">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7</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3D193774">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045D9570">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1DDCD25C">
            <w:pPr>
              <w:pStyle w:val="27"/>
              <w:ind w:left="0" w:firstLine="0"/>
              <w:rPr>
                <w:rFonts w:ascii="宋体" w:hAnsi="宋体" w:cs="宋体"/>
                <w:sz w:val="21"/>
                <w:szCs w:val="21"/>
                <w:highlight w:val="none"/>
              </w:rPr>
            </w:pPr>
            <w:r>
              <w:rPr>
                <w:rFonts w:hint="eastAsia" w:ascii="宋体" w:hAnsi="宋体" w:cs="宋体"/>
                <w:sz w:val="21"/>
                <w:szCs w:val="21"/>
                <w:highlight w:val="none"/>
              </w:rPr>
              <w:t>安装维护（含校准、布放、回收等）</w:t>
            </w:r>
          </w:p>
        </w:tc>
        <w:tc>
          <w:tcPr>
            <w:tcW w:w="570" w:type="pct"/>
            <w:tcBorders>
              <w:top w:val="single" w:color="000000" w:sz="4" w:space="0"/>
              <w:left w:val="single" w:color="000000" w:sz="4" w:space="0"/>
              <w:bottom w:val="single" w:color="000000" w:sz="4" w:space="0"/>
              <w:right w:val="single" w:color="000000" w:sz="4" w:space="0"/>
            </w:tcBorders>
            <w:vAlign w:val="center"/>
          </w:tcPr>
          <w:p w14:paraId="172E4D17">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年</w:t>
            </w:r>
          </w:p>
        </w:tc>
        <w:tc>
          <w:tcPr>
            <w:tcW w:w="441" w:type="pct"/>
            <w:tcBorders>
              <w:top w:val="single" w:color="000000" w:sz="4" w:space="0"/>
              <w:left w:val="single" w:color="000000" w:sz="4" w:space="0"/>
              <w:bottom w:val="single" w:color="000000" w:sz="4" w:space="0"/>
              <w:right w:val="single" w:color="000000" w:sz="4" w:space="0"/>
            </w:tcBorders>
            <w:vAlign w:val="center"/>
          </w:tcPr>
          <w:p w14:paraId="5823BA9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5</w:t>
            </w:r>
          </w:p>
        </w:tc>
      </w:tr>
      <w:tr w14:paraId="63E45C98">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ACAE423">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8</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5E61D490">
            <w:pPr>
              <w:pStyle w:val="27"/>
              <w:ind w:left="0" w:firstLine="0"/>
              <w:jc w:val="center"/>
              <w:rPr>
                <w:rFonts w:ascii="宋体" w:hAnsi="宋体" w:cs="宋体"/>
                <w:sz w:val="21"/>
                <w:szCs w:val="21"/>
                <w:highlight w:val="none"/>
              </w:rPr>
            </w:pP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472E1D28">
            <w:pPr>
              <w:pStyle w:val="27"/>
              <w:ind w:left="0" w:firstLine="0"/>
              <w:rPr>
                <w:rFonts w:ascii="宋体" w:hAnsi="宋体" w:cs="宋体"/>
                <w:sz w:val="21"/>
                <w:szCs w:val="21"/>
                <w:highlight w:val="none"/>
              </w:rPr>
            </w:pPr>
            <w:r>
              <w:rPr>
                <w:rFonts w:hint="eastAsia" w:ascii="宋体" w:hAnsi="宋体" w:cs="宋体"/>
                <w:sz w:val="21"/>
                <w:szCs w:val="21"/>
                <w:highlight w:val="none"/>
              </w:rPr>
              <w:t>岸基水动力监测系统</w:t>
            </w:r>
          </w:p>
        </w:tc>
        <w:tc>
          <w:tcPr>
            <w:tcW w:w="1817" w:type="pct"/>
            <w:tcBorders>
              <w:top w:val="single" w:color="000000" w:sz="4" w:space="0"/>
              <w:left w:val="single" w:color="000000" w:sz="4" w:space="0"/>
              <w:bottom w:val="single" w:color="000000" w:sz="4" w:space="0"/>
              <w:right w:val="single" w:color="000000" w:sz="4" w:space="0"/>
            </w:tcBorders>
            <w:vAlign w:val="center"/>
          </w:tcPr>
          <w:p w14:paraId="134B1067">
            <w:pPr>
              <w:pStyle w:val="27"/>
              <w:ind w:left="0" w:firstLine="0"/>
              <w:rPr>
                <w:rFonts w:ascii="宋体" w:hAnsi="宋体" w:cs="宋体"/>
                <w:sz w:val="21"/>
                <w:szCs w:val="21"/>
                <w:highlight w:val="none"/>
              </w:rPr>
            </w:pPr>
            <w:r>
              <w:rPr>
                <w:rFonts w:hint="eastAsia" w:ascii="宋体" w:hAnsi="宋体" w:cs="宋体"/>
                <w:sz w:val="21"/>
                <w:szCs w:val="21"/>
                <w:highlight w:val="none"/>
              </w:rPr>
              <w:t>雷达流量计</w:t>
            </w:r>
          </w:p>
        </w:tc>
        <w:tc>
          <w:tcPr>
            <w:tcW w:w="570" w:type="pct"/>
            <w:tcBorders>
              <w:top w:val="single" w:color="000000" w:sz="4" w:space="0"/>
              <w:left w:val="single" w:color="000000" w:sz="4" w:space="0"/>
              <w:bottom w:val="single" w:color="000000" w:sz="4" w:space="0"/>
              <w:right w:val="single" w:color="000000" w:sz="4" w:space="0"/>
            </w:tcBorders>
            <w:vAlign w:val="center"/>
          </w:tcPr>
          <w:p w14:paraId="21780B9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47F69F97">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2CFC1CF1">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60C6333">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9</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3D34818B">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55642786">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0276AE42">
            <w:pPr>
              <w:pStyle w:val="27"/>
              <w:ind w:left="0" w:firstLine="0"/>
              <w:rPr>
                <w:rFonts w:ascii="宋体" w:hAnsi="宋体" w:cs="宋体"/>
                <w:sz w:val="21"/>
                <w:szCs w:val="21"/>
                <w:highlight w:val="none"/>
              </w:rPr>
            </w:pPr>
            <w:r>
              <w:rPr>
                <w:rFonts w:hint="eastAsia" w:ascii="宋体" w:hAnsi="宋体" w:cs="宋体"/>
                <w:sz w:val="21"/>
                <w:szCs w:val="21"/>
                <w:highlight w:val="none"/>
              </w:rPr>
              <w:t>雨量计</w:t>
            </w:r>
          </w:p>
        </w:tc>
        <w:tc>
          <w:tcPr>
            <w:tcW w:w="570" w:type="pct"/>
            <w:tcBorders>
              <w:top w:val="single" w:color="000000" w:sz="4" w:space="0"/>
              <w:left w:val="single" w:color="000000" w:sz="4" w:space="0"/>
              <w:bottom w:val="single" w:color="000000" w:sz="4" w:space="0"/>
              <w:right w:val="single" w:color="000000" w:sz="4" w:space="0"/>
            </w:tcBorders>
            <w:vAlign w:val="center"/>
          </w:tcPr>
          <w:p w14:paraId="3C22968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61D8194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1066CE7F">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09084872">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10</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4F1C8526">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5C00EABE">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23056971">
            <w:pPr>
              <w:pStyle w:val="27"/>
              <w:ind w:left="0" w:firstLine="0"/>
              <w:rPr>
                <w:rFonts w:ascii="宋体" w:hAnsi="宋体" w:cs="宋体"/>
                <w:sz w:val="21"/>
                <w:szCs w:val="21"/>
                <w:highlight w:val="none"/>
              </w:rPr>
            </w:pPr>
            <w:r>
              <w:rPr>
                <w:rFonts w:hint="eastAsia" w:ascii="宋体" w:hAnsi="宋体" w:cs="宋体"/>
                <w:sz w:val="21"/>
                <w:szCs w:val="21"/>
                <w:highlight w:val="none"/>
              </w:rPr>
              <w:t>数据采集器</w:t>
            </w:r>
          </w:p>
        </w:tc>
        <w:tc>
          <w:tcPr>
            <w:tcW w:w="570" w:type="pct"/>
            <w:tcBorders>
              <w:top w:val="single" w:color="000000" w:sz="4" w:space="0"/>
              <w:left w:val="single" w:color="000000" w:sz="4" w:space="0"/>
              <w:bottom w:val="single" w:color="000000" w:sz="4" w:space="0"/>
              <w:right w:val="single" w:color="000000" w:sz="4" w:space="0"/>
            </w:tcBorders>
            <w:vAlign w:val="center"/>
          </w:tcPr>
          <w:p w14:paraId="230CE76D">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4834676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709ADEF6">
        <w:tblPrEx>
          <w:tblCellMar>
            <w:top w:w="0" w:type="dxa"/>
            <w:left w:w="108" w:type="dxa"/>
            <w:bottom w:w="0" w:type="dxa"/>
            <w:right w:w="108" w:type="dxa"/>
          </w:tblCellMar>
        </w:tblPrEx>
        <w:trPr>
          <w:trHeight w:val="48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107E472">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11</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05C99F05">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782FAB57">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1A3652EB">
            <w:pPr>
              <w:pStyle w:val="27"/>
              <w:ind w:left="0" w:firstLine="0"/>
              <w:rPr>
                <w:rFonts w:ascii="宋体" w:hAnsi="宋体" w:cs="宋体"/>
                <w:sz w:val="21"/>
                <w:szCs w:val="21"/>
                <w:highlight w:val="none"/>
              </w:rPr>
            </w:pPr>
            <w:r>
              <w:rPr>
                <w:rFonts w:hint="eastAsia" w:ascii="宋体" w:hAnsi="宋体" w:cs="宋体"/>
                <w:sz w:val="21"/>
                <w:szCs w:val="21"/>
                <w:highlight w:val="none"/>
              </w:rPr>
              <w:t>太阳能供电单元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1616625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0D0774FA">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4E6F61F4">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4AB2B56">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12</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4978098A">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04C798CA">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1B3CE960">
            <w:pPr>
              <w:pStyle w:val="27"/>
              <w:ind w:left="0" w:firstLine="0"/>
              <w:rPr>
                <w:rFonts w:ascii="宋体" w:hAnsi="宋体" w:cs="宋体"/>
                <w:sz w:val="21"/>
                <w:szCs w:val="21"/>
                <w:highlight w:val="none"/>
              </w:rPr>
            </w:pPr>
            <w:r>
              <w:rPr>
                <w:rFonts w:hint="eastAsia" w:ascii="宋体" w:hAnsi="宋体" w:cs="宋体"/>
                <w:sz w:val="21"/>
                <w:szCs w:val="21"/>
                <w:highlight w:val="none"/>
              </w:rPr>
              <w:t>安装立杆及支架</w:t>
            </w:r>
          </w:p>
        </w:tc>
        <w:tc>
          <w:tcPr>
            <w:tcW w:w="570" w:type="pct"/>
            <w:tcBorders>
              <w:top w:val="single" w:color="000000" w:sz="4" w:space="0"/>
              <w:left w:val="single" w:color="000000" w:sz="4" w:space="0"/>
              <w:bottom w:val="single" w:color="000000" w:sz="4" w:space="0"/>
              <w:right w:val="single" w:color="000000" w:sz="4" w:space="0"/>
            </w:tcBorders>
            <w:vAlign w:val="center"/>
          </w:tcPr>
          <w:p w14:paraId="0CA7140F">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0EF30A7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0F4EA0F0">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2BB344B">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13</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53DC601A">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7C2522C6">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06536507">
            <w:pPr>
              <w:pStyle w:val="27"/>
              <w:ind w:left="0" w:firstLine="0"/>
              <w:rPr>
                <w:rFonts w:ascii="宋体" w:hAnsi="宋体" w:cs="宋体"/>
                <w:sz w:val="21"/>
                <w:szCs w:val="21"/>
                <w:highlight w:val="none"/>
              </w:rPr>
            </w:pPr>
            <w:r>
              <w:rPr>
                <w:rFonts w:hint="eastAsia" w:ascii="宋体" w:hAnsi="宋体" w:cs="宋体"/>
                <w:sz w:val="21"/>
                <w:szCs w:val="21"/>
                <w:highlight w:val="none"/>
              </w:rPr>
              <w:t>安装维护</w:t>
            </w:r>
          </w:p>
        </w:tc>
        <w:tc>
          <w:tcPr>
            <w:tcW w:w="570" w:type="pct"/>
            <w:tcBorders>
              <w:top w:val="single" w:color="000000" w:sz="4" w:space="0"/>
              <w:left w:val="single" w:color="000000" w:sz="4" w:space="0"/>
              <w:bottom w:val="single" w:color="000000" w:sz="4" w:space="0"/>
              <w:right w:val="single" w:color="000000" w:sz="4" w:space="0"/>
            </w:tcBorders>
            <w:vAlign w:val="center"/>
          </w:tcPr>
          <w:p w14:paraId="7A72002F">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年</w:t>
            </w:r>
          </w:p>
        </w:tc>
        <w:tc>
          <w:tcPr>
            <w:tcW w:w="441" w:type="pct"/>
            <w:tcBorders>
              <w:top w:val="single" w:color="000000" w:sz="4" w:space="0"/>
              <w:left w:val="single" w:color="000000" w:sz="4" w:space="0"/>
              <w:bottom w:val="single" w:color="000000" w:sz="4" w:space="0"/>
              <w:right w:val="single" w:color="000000" w:sz="4" w:space="0"/>
            </w:tcBorders>
            <w:vAlign w:val="center"/>
          </w:tcPr>
          <w:p w14:paraId="437B41A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5</w:t>
            </w:r>
          </w:p>
        </w:tc>
      </w:tr>
      <w:tr w14:paraId="077B73DE">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0C114BB1">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14</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4E75E0FA">
            <w:pPr>
              <w:pStyle w:val="27"/>
              <w:ind w:left="0" w:firstLine="0"/>
              <w:jc w:val="center"/>
              <w:rPr>
                <w:rFonts w:ascii="宋体" w:hAnsi="宋体" w:cs="宋体"/>
                <w:sz w:val="21"/>
                <w:szCs w:val="21"/>
                <w:highlight w:val="none"/>
              </w:rPr>
            </w:pP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70CE7191">
            <w:pPr>
              <w:pStyle w:val="27"/>
              <w:ind w:left="0" w:firstLine="0"/>
              <w:rPr>
                <w:rFonts w:ascii="宋体" w:hAnsi="宋体" w:cs="宋体"/>
                <w:sz w:val="21"/>
                <w:szCs w:val="21"/>
                <w:highlight w:val="none"/>
              </w:rPr>
            </w:pPr>
            <w:r>
              <w:rPr>
                <w:rFonts w:hint="eastAsia" w:ascii="宋体" w:hAnsi="宋体" w:cs="宋体"/>
                <w:sz w:val="21"/>
                <w:szCs w:val="21"/>
                <w:highlight w:val="none"/>
              </w:rPr>
              <w:t>岸基水质监测系统</w:t>
            </w:r>
          </w:p>
        </w:tc>
        <w:tc>
          <w:tcPr>
            <w:tcW w:w="1817" w:type="pct"/>
            <w:tcBorders>
              <w:top w:val="single" w:color="000000" w:sz="4" w:space="0"/>
              <w:left w:val="single" w:color="000000" w:sz="4" w:space="0"/>
              <w:bottom w:val="single" w:color="000000" w:sz="4" w:space="0"/>
              <w:right w:val="single" w:color="000000" w:sz="4" w:space="0"/>
            </w:tcBorders>
            <w:vAlign w:val="center"/>
          </w:tcPr>
          <w:p w14:paraId="2606C737">
            <w:pPr>
              <w:pStyle w:val="27"/>
              <w:ind w:left="0" w:firstLine="0"/>
              <w:rPr>
                <w:rFonts w:ascii="宋体" w:hAnsi="宋体" w:cs="宋体"/>
                <w:sz w:val="21"/>
                <w:szCs w:val="21"/>
                <w:highlight w:val="none"/>
              </w:rPr>
            </w:pPr>
            <w:r>
              <w:rPr>
                <w:rFonts w:hint="eastAsia" w:ascii="宋体" w:hAnsi="宋体" w:cs="宋体"/>
                <w:sz w:val="21"/>
                <w:szCs w:val="21"/>
                <w:highlight w:val="none"/>
              </w:rPr>
              <w:t>主控机柜（含数据采集及无线传输）</w:t>
            </w:r>
          </w:p>
        </w:tc>
        <w:tc>
          <w:tcPr>
            <w:tcW w:w="570" w:type="pct"/>
            <w:tcBorders>
              <w:top w:val="single" w:color="000000" w:sz="4" w:space="0"/>
              <w:left w:val="single" w:color="000000" w:sz="4" w:space="0"/>
              <w:bottom w:val="single" w:color="000000" w:sz="4" w:space="0"/>
              <w:right w:val="single" w:color="000000" w:sz="4" w:space="0"/>
            </w:tcBorders>
            <w:vAlign w:val="center"/>
          </w:tcPr>
          <w:p w14:paraId="264D88DF">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0B40FFC3">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38085086">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44F1EEC">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15</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1ECFB0B2">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68BF7A44">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51133660">
            <w:pPr>
              <w:pStyle w:val="27"/>
              <w:ind w:left="0" w:firstLine="0"/>
              <w:rPr>
                <w:rFonts w:ascii="宋体" w:hAnsi="宋体" w:cs="宋体"/>
                <w:sz w:val="21"/>
                <w:szCs w:val="21"/>
                <w:highlight w:val="none"/>
              </w:rPr>
            </w:pPr>
            <w:r>
              <w:rPr>
                <w:rFonts w:hint="eastAsia" w:ascii="宋体" w:hAnsi="宋体" w:cs="宋体"/>
                <w:sz w:val="21"/>
                <w:szCs w:val="21"/>
                <w:highlight w:val="none"/>
              </w:rPr>
              <w:t>多参数监测单元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11A6A31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0505E00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2D43F8E2">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7A29BA7">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16</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0DA1834C">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E120C83">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11B2EE87">
            <w:pPr>
              <w:pStyle w:val="27"/>
              <w:ind w:left="0" w:firstLine="0"/>
              <w:rPr>
                <w:rFonts w:ascii="宋体" w:hAnsi="宋体" w:cs="宋体"/>
                <w:sz w:val="21"/>
                <w:szCs w:val="21"/>
                <w:highlight w:val="none"/>
              </w:rPr>
            </w:pPr>
            <w:r>
              <w:rPr>
                <w:rFonts w:hint="eastAsia" w:ascii="宋体" w:hAnsi="宋体" w:cs="宋体"/>
                <w:sz w:val="21"/>
                <w:szCs w:val="21"/>
                <w:highlight w:val="none"/>
              </w:rPr>
              <w:t>总氮监测单元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555E08D8">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00185AB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31CC7528">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26BAE55">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17</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08EA6117">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24F8ECF">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225538D2">
            <w:pPr>
              <w:pStyle w:val="27"/>
              <w:ind w:left="0" w:firstLine="0"/>
              <w:rPr>
                <w:rFonts w:ascii="宋体" w:hAnsi="宋体" w:cs="宋体"/>
                <w:sz w:val="21"/>
                <w:szCs w:val="21"/>
                <w:highlight w:val="none"/>
              </w:rPr>
            </w:pPr>
            <w:r>
              <w:rPr>
                <w:rFonts w:hint="eastAsia" w:ascii="宋体" w:hAnsi="宋体" w:cs="宋体"/>
                <w:sz w:val="21"/>
                <w:szCs w:val="21"/>
                <w:highlight w:val="none"/>
              </w:rPr>
              <w:t>总磷监测单元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4D9CFCD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71DA3BB3">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7DE5A7AB">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6705476A">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18</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71A01EF0">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5927C04A">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2C2BE950">
            <w:pPr>
              <w:pStyle w:val="27"/>
              <w:ind w:left="0" w:firstLine="0"/>
              <w:rPr>
                <w:rFonts w:ascii="宋体" w:hAnsi="宋体" w:cs="宋体"/>
                <w:sz w:val="21"/>
                <w:szCs w:val="21"/>
                <w:highlight w:val="none"/>
              </w:rPr>
            </w:pPr>
            <w:r>
              <w:rPr>
                <w:rFonts w:hint="eastAsia" w:ascii="宋体" w:hAnsi="宋体" w:cs="宋体"/>
                <w:sz w:val="21"/>
                <w:szCs w:val="21"/>
                <w:highlight w:val="none"/>
              </w:rPr>
              <w:t>氨氮监测单元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3CC7953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7078123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4EA31002">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0816459">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19</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1A099ADF">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1C84ECC">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7CB52077">
            <w:pPr>
              <w:pStyle w:val="27"/>
              <w:ind w:left="0" w:firstLine="0"/>
              <w:rPr>
                <w:rFonts w:ascii="宋体" w:hAnsi="宋体" w:cs="宋体"/>
                <w:sz w:val="21"/>
                <w:szCs w:val="21"/>
                <w:highlight w:val="none"/>
              </w:rPr>
            </w:pPr>
            <w:r>
              <w:rPr>
                <w:rFonts w:hint="eastAsia" w:ascii="宋体" w:hAnsi="宋体" w:cs="宋体"/>
                <w:sz w:val="21"/>
                <w:szCs w:val="21"/>
                <w:highlight w:val="none"/>
              </w:rPr>
              <w:t>供电单元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35DC858B">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7B98005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1E50E41E">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9130685">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20</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1B953080">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1AE7B10B">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49824E52">
            <w:pPr>
              <w:pStyle w:val="27"/>
              <w:ind w:left="0" w:firstLine="0"/>
              <w:rPr>
                <w:rFonts w:ascii="宋体" w:hAnsi="宋体" w:cs="宋体"/>
                <w:sz w:val="21"/>
                <w:szCs w:val="21"/>
                <w:highlight w:val="none"/>
              </w:rPr>
            </w:pPr>
            <w:r>
              <w:rPr>
                <w:rFonts w:hint="eastAsia" w:ascii="宋体" w:hAnsi="宋体" w:cs="宋体"/>
                <w:sz w:val="21"/>
                <w:szCs w:val="21"/>
                <w:highlight w:val="none"/>
              </w:rPr>
              <w:t>取水单元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6E19781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1F055BCD">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2D0087EE">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7C555B3">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21</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25CBC23A">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7971BD49">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24C607B5">
            <w:pPr>
              <w:pStyle w:val="27"/>
              <w:ind w:left="0" w:firstLine="0"/>
              <w:rPr>
                <w:rFonts w:ascii="宋体" w:hAnsi="宋体" w:cs="宋体"/>
                <w:sz w:val="21"/>
                <w:szCs w:val="21"/>
                <w:highlight w:val="none"/>
              </w:rPr>
            </w:pPr>
            <w:r>
              <w:rPr>
                <w:rFonts w:hint="eastAsia" w:ascii="宋体" w:hAnsi="宋体" w:cs="宋体"/>
                <w:sz w:val="21"/>
                <w:szCs w:val="21"/>
                <w:highlight w:val="none"/>
              </w:rPr>
              <w:t>室外站房</w:t>
            </w:r>
          </w:p>
        </w:tc>
        <w:tc>
          <w:tcPr>
            <w:tcW w:w="570" w:type="pct"/>
            <w:tcBorders>
              <w:top w:val="single" w:color="000000" w:sz="4" w:space="0"/>
              <w:left w:val="single" w:color="000000" w:sz="4" w:space="0"/>
              <w:bottom w:val="single" w:color="000000" w:sz="4" w:space="0"/>
              <w:right w:val="single" w:color="000000" w:sz="4" w:space="0"/>
            </w:tcBorders>
            <w:vAlign w:val="center"/>
          </w:tcPr>
          <w:p w14:paraId="39C245F7">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座</w:t>
            </w:r>
          </w:p>
        </w:tc>
        <w:tc>
          <w:tcPr>
            <w:tcW w:w="441" w:type="pct"/>
            <w:tcBorders>
              <w:top w:val="single" w:color="000000" w:sz="4" w:space="0"/>
              <w:left w:val="single" w:color="000000" w:sz="4" w:space="0"/>
              <w:bottom w:val="single" w:color="000000" w:sz="4" w:space="0"/>
              <w:right w:val="single" w:color="000000" w:sz="4" w:space="0"/>
            </w:tcBorders>
            <w:vAlign w:val="center"/>
          </w:tcPr>
          <w:p w14:paraId="2CC7C2C8">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312A2418">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995A657">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22</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1F513436">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1088C084">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3EEDBCA1">
            <w:pPr>
              <w:pStyle w:val="27"/>
              <w:ind w:left="0" w:firstLine="0"/>
              <w:rPr>
                <w:rFonts w:ascii="宋体" w:hAnsi="宋体" w:cs="宋体"/>
                <w:sz w:val="21"/>
                <w:szCs w:val="21"/>
                <w:highlight w:val="none"/>
              </w:rPr>
            </w:pPr>
            <w:r>
              <w:rPr>
                <w:rFonts w:hint="eastAsia" w:ascii="宋体" w:hAnsi="宋体" w:cs="宋体"/>
                <w:sz w:val="21"/>
                <w:szCs w:val="21"/>
                <w:highlight w:val="none"/>
              </w:rPr>
              <w:t>安装维护</w:t>
            </w:r>
          </w:p>
        </w:tc>
        <w:tc>
          <w:tcPr>
            <w:tcW w:w="570" w:type="pct"/>
            <w:tcBorders>
              <w:top w:val="single" w:color="000000" w:sz="4" w:space="0"/>
              <w:left w:val="single" w:color="000000" w:sz="4" w:space="0"/>
              <w:bottom w:val="single" w:color="000000" w:sz="4" w:space="0"/>
              <w:right w:val="single" w:color="000000" w:sz="4" w:space="0"/>
            </w:tcBorders>
            <w:vAlign w:val="center"/>
          </w:tcPr>
          <w:p w14:paraId="7205441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年</w:t>
            </w:r>
          </w:p>
        </w:tc>
        <w:tc>
          <w:tcPr>
            <w:tcW w:w="441" w:type="pct"/>
            <w:tcBorders>
              <w:top w:val="single" w:color="000000" w:sz="4" w:space="0"/>
              <w:left w:val="single" w:color="000000" w:sz="4" w:space="0"/>
              <w:bottom w:val="single" w:color="000000" w:sz="4" w:space="0"/>
              <w:right w:val="single" w:color="000000" w:sz="4" w:space="0"/>
            </w:tcBorders>
            <w:vAlign w:val="center"/>
          </w:tcPr>
          <w:p w14:paraId="5A9C43FE">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5</w:t>
            </w:r>
          </w:p>
        </w:tc>
      </w:tr>
      <w:tr w14:paraId="669DF864">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04C37A4">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23</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2185A2F0">
            <w:pPr>
              <w:pStyle w:val="27"/>
              <w:ind w:left="0" w:firstLine="0"/>
              <w:jc w:val="center"/>
              <w:rPr>
                <w:rFonts w:ascii="宋体" w:hAnsi="宋体" w:cs="宋体"/>
                <w:sz w:val="21"/>
                <w:szCs w:val="21"/>
                <w:highlight w:val="none"/>
              </w:rPr>
            </w:pP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75C988CA">
            <w:pPr>
              <w:pStyle w:val="27"/>
              <w:ind w:left="0" w:firstLine="0"/>
              <w:rPr>
                <w:rFonts w:ascii="宋体" w:hAnsi="宋体" w:cs="宋体"/>
                <w:sz w:val="21"/>
                <w:szCs w:val="21"/>
                <w:highlight w:val="none"/>
              </w:rPr>
            </w:pPr>
            <w:r>
              <w:rPr>
                <w:rFonts w:hint="eastAsia" w:ascii="宋体" w:hAnsi="宋体" w:cs="宋体"/>
                <w:sz w:val="21"/>
                <w:szCs w:val="21"/>
                <w:highlight w:val="none"/>
              </w:rPr>
              <w:t>生态数字影像站</w:t>
            </w:r>
          </w:p>
        </w:tc>
        <w:tc>
          <w:tcPr>
            <w:tcW w:w="1817" w:type="pct"/>
            <w:tcBorders>
              <w:top w:val="single" w:color="000000" w:sz="4" w:space="0"/>
              <w:left w:val="single" w:color="000000" w:sz="4" w:space="0"/>
              <w:bottom w:val="single" w:color="000000" w:sz="4" w:space="0"/>
              <w:right w:val="single" w:color="000000" w:sz="4" w:space="0"/>
            </w:tcBorders>
            <w:vAlign w:val="center"/>
          </w:tcPr>
          <w:p w14:paraId="798A5230">
            <w:pPr>
              <w:pStyle w:val="27"/>
              <w:ind w:left="0" w:firstLine="0"/>
              <w:rPr>
                <w:rFonts w:ascii="宋体" w:hAnsi="宋体" w:cs="宋体"/>
                <w:sz w:val="21"/>
                <w:szCs w:val="21"/>
                <w:highlight w:val="none"/>
              </w:rPr>
            </w:pPr>
            <w:r>
              <w:rPr>
                <w:rFonts w:hint="eastAsia" w:ascii="宋体" w:hAnsi="宋体" w:cs="宋体"/>
                <w:sz w:val="21"/>
                <w:szCs w:val="21"/>
                <w:highlight w:val="none"/>
              </w:rPr>
              <w:t>高清数字网络摄像机</w:t>
            </w:r>
          </w:p>
        </w:tc>
        <w:tc>
          <w:tcPr>
            <w:tcW w:w="570" w:type="pct"/>
            <w:tcBorders>
              <w:top w:val="single" w:color="000000" w:sz="4" w:space="0"/>
              <w:left w:val="single" w:color="000000" w:sz="4" w:space="0"/>
              <w:bottom w:val="single" w:color="000000" w:sz="4" w:space="0"/>
              <w:right w:val="single" w:color="000000" w:sz="4" w:space="0"/>
            </w:tcBorders>
            <w:vAlign w:val="center"/>
          </w:tcPr>
          <w:p w14:paraId="443A5D4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067B090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6</w:t>
            </w:r>
          </w:p>
        </w:tc>
      </w:tr>
      <w:tr w14:paraId="3EE71639">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AEB9E23">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24</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18DC4DEB">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65C11074">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60D44ECE">
            <w:pPr>
              <w:pStyle w:val="27"/>
              <w:ind w:left="0" w:firstLine="0"/>
              <w:rPr>
                <w:rFonts w:ascii="宋体" w:hAnsi="宋体" w:cs="宋体"/>
                <w:sz w:val="21"/>
                <w:szCs w:val="21"/>
                <w:highlight w:val="none"/>
              </w:rPr>
            </w:pPr>
            <w:r>
              <w:rPr>
                <w:rFonts w:hint="eastAsia" w:ascii="宋体" w:hAnsi="宋体" w:cs="宋体"/>
                <w:sz w:val="21"/>
                <w:szCs w:val="21"/>
                <w:highlight w:val="none"/>
              </w:rPr>
              <w:t>一体化气象站</w:t>
            </w:r>
          </w:p>
        </w:tc>
        <w:tc>
          <w:tcPr>
            <w:tcW w:w="570" w:type="pct"/>
            <w:tcBorders>
              <w:top w:val="single" w:color="000000" w:sz="4" w:space="0"/>
              <w:left w:val="single" w:color="000000" w:sz="4" w:space="0"/>
              <w:bottom w:val="single" w:color="000000" w:sz="4" w:space="0"/>
              <w:right w:val="single" w:color="000000" w:sz="4" w:space="0"/>
            </w:tcBorders>
            <w:vAlign w:val="center"/>
          </w:tcPr>
          <w:p w14:paraId="79BD916E">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4004B99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6</w:t>
            </w:r>
          </w:p>
        </w:tc>
      </w:tr>
      <w:tr w14:paraId="667B101F">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69DE53B4">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25</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41E1D57F">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10FF5564">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5F30A93C">
            <w:pPr>
              <w:pStyle w:val="27"/>
              <w:ind w:left="0" w:firstLine="0"/>
              <w:rPr>
                <w:rFonts w:ascii="宋体" w:hAnsi="宋体" w:cs="宋体"/>
                <w:sz w:val="21"/>
                <w:szCs w:val="21"/>
                <w:highlight w:val="none"/>
              </w:rPr>
            </w:pPr>
            <w:r>
              <w:rPr>
                <w:rFonts w:hint="eastAsia" w:ascii="宋体" w:hAnsi="宋体" w:cs="宋体"/>
                <w:sz w:val="21"/>
                <w:szCs w:val="21"/>
                <w:highlight w:val="none"/>
              </w:rPr>
              <w:t>数据采集器</w:t>
            </w:r>
          </w:p>
        </w:tc>
        <w:tc>
          <w:tcPr>
            <w:tcW w:w="570" w:type="pct"/>
            <w:tcBorders>
              <w:top w:val="single" w:color="000000" w:sz="4" w:space="0"/>
              <w:left w:val="single" w:color="000000" w:sz="4" w:space="0"/>
              <w:bottom w:val="single" w:color="000000" w:sz="4" w:space="0"/>
              <w:right w:val="single" w:color="000000" w:sz="4" w:space="0"/>
            </w:tcBorders>
            <w:vAlign w:val="center"/>
          </w:tcPr>
          <w:p w14:paraId="3AE3976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226F874B">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6</w:t>
            </w:r>
          </w:p>
        </w:tc>
      </w:tr>
      <w:tr w14:paraId="6975A114">
        <w:tblPrEx>
          <w:tblCellMar>
            <w:top w:w="0" w:type="dxa"/>
            <w:left w:w="108" w:type="dxa"/>
            <w:bottom w:w="0" w:type="dxa"/>
            <w:right w:w="108" w:type="dxa"/>
          </w:tblCellMar>
        </w:tblPrEx>
        <w:trPr>
          <w:trHeight w:val="48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43E2F4AB">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26</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68DC6F49">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1D7097A">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074569AE">
            <w:pPr>
              <w:pStyle w:val="27"/>
              <w:ind w:left="0" w:firstLine="0"/>
              <w:rPr>
                <w:rFonts w:ascii="宋体" w:hAnsi="宋体" w:cs="宋体"/>
                <w:sz w:val="21"/>
                <w:szCs w:val="21"/>
                <w:highlight w:val="none"/>
              </w:rPr>
            </w:pPr>
            <w:r>
              <w:rPr>
                <w:rFonts w:hint="eastAsia" w:ascii="宋体" w:hAnsi="宋体" w:cs="宋体"/>
                <w:sz w:val="21"/>
                <w:szCs w:val="21"/>
                <w:highlight w:val="none"/>
              </w:rPr>
              <w:t>风光互补供电单元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04AB2B1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273B0A0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6</w:t>
            </w:r>
          </w:p>
        </w:tc>
      </w:tr>
      <w:tr w14:paraId="0DFCA641">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B767701">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27</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2F538343">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26EFA581">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04B3A45A">
            <w:pPr>
              <w:pStyle w:val="27"/>
              <w:ind w:left="0" w:firstLine="0"/>
              <w:rPr>
                <w:rFonts w:ascii="宋体" w:hAnsi="宋体" w:cs="宋体"/>
                <w:sz w:val="21"/>
                <w:szCs w:val="21"/>
                <w:highlight w:val="none"/>
              </w:rPr>
            </w:pPr>
            <w:r>
              <w:rPr>
                <w:rFonts w:hint="eastAsia" w:ascii="宋体" w:hAnsi="宋体" w:cs="宋体"/>
                <w:sz w:val="21"/>
                <w:szCs w:val="21"/>
                <w:highlight w:val="none"/>
              </w:rPr>
              <w:t>无线信号传输单元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282FA233">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51E9738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6</w:t>
            </w:r>
          </w:p>
        </w:tc>
      </w:tr>
      <w:tr w14:paraId="579D66A3">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3B6F0CE9">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28</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5F0F6D04">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00D276B9">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4B5E6BE1">
            <w:pPr>
              <w:pStyle w:val="27"/>
              <w:ind w:left="0" w:firstLine="0"/>
              <w:rPr>
                <w:rFonts w:ascii="宋体" w:hAnsi="宋体" w:cs="宋体"/>
                <w:sz w:val="21"/>
                <w:szCs w:val="21"/>
                <w:highlight w:val="none"/>
              </w:rPr>
            </w:pPr>
            <w:r>
              <w:rPr>
                <w:rFonts w:hint="eastAsia" w:ascii="宋体" w:hAnsi="宋体" w:cs="宋体"/>
                <w:sz w:val="21"/>
                <w:szCs w:val="21"/>
                <w:highlight w:val="none"/>
              </w:rPr>
              <w:t>立杆及支架</w:t>
            </w:r>
          </w:p>
        </w:tc>
        <w:tc>
          <w:tcPr>
            <w:tcW w:w="570" w:type="pct"/>
            <w:tcBorders>
              <w:top w:val="single" w:color="000000" w:sz="4" w:space="0"/>
              <w:left w:val="single" w:color="000000" w:sz="4" w:space="0"/>
              <w:bottom w:val="single" w:color="000000" w:sz="4" w:space="0"/>
              <w:right w:val="single" w:color="000000" w:sz="4" w:space="0"/>
            </w:tcBorders>
            <w:vAlign w:val="center"/>
          </w:tcPr>
          <w:p w14:paraId="2A84B36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7B585EA8">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6</w:t>
            </w:r>
          </w:p>
        </w:tc>
      </w:tr>
      <w:tr w14:paraId="2A9CD18A">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54005E10">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29</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0155A68E">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509D14D">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283EA33D">
            <w:pPr>
              <w:pStyle w:val="27"/>
              <w:ind w:left="0" w:firstLine="0"/>
              <w:rPr>
                <w:rFonts w:ascii="宋体" w:hAnsi="宋体" w:cs="宋体"/>
                <w:sz w:val="21"/>
                <w:szCs w:val="21"/>
                <w:highlight w:val="none"/>
              </w:rPr>
            </w:pPr>
            <w:r>
              <w:rPr>
                <w:rFonts w:hint="eastAsia" w:ascii="宋体" w:hAnsi="宋体" w:cs="宋体"/>
                <w:sz w:val="21"/>
                <w:szCs w:val="21"/>
                <w:highlight w:val="none"/>
              </w:rPr>
              <w:t>安装维护</w:t>
            </w:r>
          </w:p>
        </w:tc>
        <w:tc>
          <w:tcPr>
            <w:tcW w:w="570" w:type="pct"/>
            <w:tcBorders>
              <w:top w:val="single" w:color="000000" w:sz="4" w:space="0"/>
              <w:left w:val="single" w:color="000000" w:sz="4" w:space="0"/>
              <w:bottom w:val="single" w:color="000000" w:sz="4" w:space="0"/>
              <w:right w:val="single" w:color="000000" w:sz="4" w:space="0"/>
            </w:tcBorders>
            <w:vAlign w:val="center"/>
          </w:tcPr>
          <w:p w14:paraId="3F2E9C6B">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年</w:t>
            </w:r>
          </w:p>
        </w:tc>
        <w:tc>
          <w:tcPr>
            <w:tcW w:w="441" w:type="pct"/>
            <w:tcBorders>
              <w:top w:val="single" w:color="000000" w:sz="4" w:space="0"/>
              <w:left w:val="single" w:color="000000" w:sz="4" w:space="0"/>
              <w:bottom w:val="single" w:color="000000" w:sz="4" w:space="0"/>
              <w:right w:val="single" w:color="000000" w:sz="4" w:space="0"/>
            </w:tcBorders>
            <w:vAlign w:val="center"/>
          </w:tcPr>
          <w:p w14:paraId="38623E5D">
            <w:pPr>
              <w:pStyle w:val="27"/>
              <w:ind w:left="0" w:firstLine="0"/>
              <w:jc w:val="center"/>
              <w:rPr>
                <w:rFonts w:ascii="宋体" w:hAnsi="宋体" w:cs="宋体"/>
                <w:sz w:val="21"/>
                <w:szCs w:val="21"/>
                <w:highlight w:val="none"/>
              </w:rPr>
            </w:pPr>
            <w:r>
              <w:rPr>
                <w:rFonts w:hint="eastAsia" w:hAnsi="宋体" w:cs="宋体"/>
                <w:sz w:val="21"/>
                <w:szCs w:val="21"/>
                <w:highlight w:val="none"/>
              </w:rPr>
              <w:t>5</w:t>
            </w:r>
          </w:p>
        </w:tc>
      </w:tr>
      <w:tr w14:paraId="0709E647">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53F257C9">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30</w:t>
            </w:r>
          </w:p>
        </w:tc>
        <w:tc>
          <w:tcPr>
            <w:tcW w:w="757" w:type="pct"/>
            <w:vMerge w:val="restart"/>
            <w:tcBorders>
              <w:top w:val="single" w:color="000000" w:sz="4" w:space="0"/>
              <w:left w:val="single" w:color="000000" w:sz="4" w:space="0"/>
              <w:bottom w:val="single" w:color="000000" w:sz="4" w:space="0"/>
              <w:right w:val="single" w:color="000000" w:sz="4" w:space="0"/>
            </w:tcBorders>
            <w:vAlign w:val="center"/>
          </w:tcPr>
          <w:p w14:paraId="3D6519FF">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民兴河长效能力建设</w:t>
            </w: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0C691BF0">
            <w:pPr>
              <w:pStyle w:val="27"/>
              <w:ind w:left="0" w:firstLine="0"/>
              <w:rPr>
                <w:rFonts w:ascii="宋体" w:hAnsi="宋体" w:cs="宋体"/>
                <w:sz w:val="21"/>
                <w:szCs w:val="21"/>
                <w:highlight w:val="none"/>
              </w:rPr>
            </w:pPr>
            <w:r>
              <w:rPr>
                <w:rFonts w:hint="eastAsia" w:ascii="宋体" w:hAnsi="宋体" w:cs="宋体"/>
                <w:sz w:val="21"/>
                <w:szCs w:val="21"/>
                <w:highlight w:val="none"/>
              </w:rPr>
              <w:t>岸基水动力监测系统</w:t>
            </w:r>
          </w:p>
        </w:tc>
        <w:tc>
          <w:tcPr>
            <w:tcW w:w="1817" w:type="pct"/>
            <w:tcBorders>
              <w:top w:val="single" w:color="000000" w:sz="4" w:space="0"/>
              <w:left w:val="single" w:color="000000" w:sz="4" w:space="0"/>
              <w:bottom w:val="single" w:color="000000" w:sz="4" w:space="0"/>
              <w:right w:val="single" w:color="000000" w:sz="4" w:space="0"/>
            </w:tcBorders>
            <w:vAlign w:val="center"/>
          </w:tcPr>
          <w:p w14:paraId="3A3A5340">
            <w:pPr>
              <w:pStyle w:val="27"/>
              <w:ind w:left="0" w:firstLine="0"/>
              <w:rPr>
                <w:rFonts w:ascii="宋体" w:hAnsi="宋体" w:cs="宋体"/>
                <w:sz w:val="21"/>
                <w:szCs w:val="21"/>
                <w:highlight w:val="none"/>
              </w:rPr>
            </w:pPr>
            <w:r>
              <w:rPr>
                <w:rFonts w:hint="eastAsia" w:ascii="宋体" w:hAnsi="宋体" w:cs="宋体"/>
                <w:sz w:val="21"/>
                <w:szCs w:val="21"/>
                <w:highlight w:val="none"/>
              </w:rPr>
              <w:t>雷达流量计</w:t>
            </w:r>
          </w:p>
        </w:tc>
        <w:tc>
          <w:tcPr>
            <w:tcW w:w="570" w:type="pct"/>
            <w:tcBorders>
              <w:top w:val="single" w:color="000000" w:sz="4" w:space="0"/>
              <w:left w:val="single" w:color="000000" w:sz="4" w:space="0"/>
              <w:bottom w:val="single" w:color="000000" w:sz="4" w:space="0"/>
              <w:right w:val="single" w:color="000000" w:sz="4" w:space="0"/>
            </w:tcBorders>
            <w:vAlign w:val="center"/>
          </w:tcPr>
          <w:p w14:paraId="2FCDD893">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02FA12E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27DED516">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636B5F50">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31</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71430AE2">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056D9F7B">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15FA62B9">
            <w:pPr>
              <w:pStyle w:val="27"/>
              <w:ind w:left="0" w:firstLine="0"/>
              <w:rPr>
                <w:rFonts w:ascii="宋体" w:hAnsi="宋体" w:cs="宋体"/>
                <w:sz w:val="21"/>
                <w:szCs w:val="21"/>
                <w:highlight w:val="none"/>
              </w:rPr>
            </w:pPr>
            <w:r>
              <w:rPr>
                <w:rFonts w:hint="eastAsia" w:ascii="宋体" w:hAnsi="宋体" w:cs="宋体"/>
                <w:sz w:val="21"/>
                <w:szCs w:val="21"/>
                <w:highlight w:val="none"/>
              </w:rPr>
              <w:t>雨量计</w:t>
            </w:r>
          </w:p>
        </w:tc>
        <w:tc>
          <w:tcPr>
            <w:tcW w:w="570" w:type="pct"/>
            <w:tcBorders>
              <w:top w:val="single" w:color="000000" w:sz="4" w:space="0"/>
              <w:left w:val="single" w:color="000000" w:sz="4" w:space="0"/>
              <w:bottom w:val="single" w:color="000000" w:sz="4" w:space="0"/>
              <w:right w:val="single" w:color="000000" w:sz="4" w:space="0"/>
            </w:tcBorders>
            <w:vAlign w:val="center"/>
          </w:tcPr>
          <w:p w14:paraId="615F1A6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56E650D8">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3412B7CA">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46DF2BF5">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32</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64812974">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AC499EF">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5EAF2A92">
            <w:pPr>
              <w:pStyle w:val="27"/>
              <w:ind w:left="0" w:firstLine="0"/>
              <w:rPr>
                <w:rFonts w:ascii="宋体" w:hAnsi="宋体" w:cs="宋体"/>
                <w:sz w:val="21"/>
                <w:szCs w:val="21"/>
                <w:highlight w:val="none"/>
              </w:rPr>
            </w:pPr>
            <w:r>
              <w:rPr>
                <w:rFonts w:hint="eastAsia" w:ascii="宋体" w:hAnsi="宋体" w:cs="宋体"/>
                <w:sz w:val="21"/>
                <w:szCs w:val="21"/>
                <w:highlight w:val="none"/>
              </w:rPr>
              <w:t>数据采集器</w:t>
            </w:r>
          </w:p>
        </w:tc>
        <w:tc>
          <w:tcPr>
            <w:tcW w:w="570" w:type="pct"/>
            <w:tcBorders>
              <w:top w:val="single" w:color="000000" w:sz="4" w:space="0"/>
              <w:left w:val="single" w:color="000000" w:sz="4" w:space="0"/>
              <w:bottom w:val="single" w:color="000000" w:sz="4" w:space="0"/>
              <w:right w:val="single" w:color="000000" w:sz="4" w:space="0"/>
            </w:tcBorders>
            <w:vAlign w:val="center"/>
          </w:tcPr>
          <w:p w14:paraId="2BDCFC67">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6220A04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19123FC1">
        <w:tblPrEx>
          <w:tblCellMar>
            <w:top w:w="0" w:type="dxa"/>
            <w:left w:w="108" w:type="dxa"/>
            <w:bottom w:w="0" w:type="dxa"/>
            <w:right w:w="108" w:type="dxa"/>
          </w:tblCellMar>
        </w:tblPrEx>
        <w:trPr>
          <w:trHeight w:val="48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99C9F0D">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33</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488A7C21">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049F2B2">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6A6335DE">
            <w:pPr>
              <w:pStyle w:val="27"/>
              <w:ind w:left="0" w:firstLine="0"/>
              <w:rPr>
                <w:rFonts w:ascii="宋体" w:hAnsi="宋体" w:cs="宋体"/>
                <w:sz w:val="21"/>
                <w:szCs w:val="21"/>
                <w:highlight w:val="none"/>
              </w:rPr>
            </w:pPr>
            <w:r>
              <w:rPr>
                <w:rFonts w:hint="eastAsia" w:ascii="宋体" w:hAnsi="宋体" w:cs="宋体"/>
                <w:sz w:val="21"/>
                <w:szCs w:val="21"/>
                <w:highlight w:val="none"/>
              </w:rPr>
              <w:t>太阳能供电单元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6F4773AB">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5621DC98">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191CC8E7">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6F4986B">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34</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1AFF9D1C">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5E47A6CF">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7486D23F">
            <w:pPr>
              <w:pStyle w:val="27"/>
              <w:ind w:left="0" w:firstLine="0"/>
              <w:rPr>
                <w:rFonts w:ascii="宋体" w:hAnsi="宋体" w:cs="宋体"/>
                <w:sz w:val="21"/>
                <w:szCs w:val="21"/>
                <w:highlight w:val="none"/>
              </w:rPr>
            </w:pPr>
            <w:r>
              <w:rPr>
                <w:rFonts w:hint="eastAsia" w:ascii="宋体" w:hAnsi="宋体" w:cs="宋体"/>
                <w:sz w:val="21"/>
                <w:szCs w:val="21"/>
                <w:highlight w:val="none"/>
              </w:rPr>
              <w:t>安装立杆及支架</w:t>
            </w:r>
          </w:p>
        </w:tc>
        <w:tc>
          <w:tcPr>
            <w:tcW w:w="570" w:type="pct"/>
            <w:tcBorders>
              <w:top w:val="single" w:color="000000" w:sz="4" w:space="0"/>
              <w:left w:val="single" w:color="000000" w:sz="4" w:space="0"/>
              <w:bottom w:val="single" w:color="000000" w:sz="4" w:space="0"/>
              <w:right w:val="single" w:color="000000" w:sz="4" w:space="0"/>
            </w:tcBorders>
            <w:vAlign w:val="center"/>
          </w:tcPr>
          <w:p w14:paraId="59225B4F">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32C0C6FB">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367FF2A2">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00D01E23">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35</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2708FC1B">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D6ECF6F">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58854673">
            <w:pPr>
              <w:pStyle w:val="27"/>
              <w:ind w:left="0" w:firstLine="0"/>
              <w:rPr>
                <w:rFonts w:ascii="宋体" w:hAnsi="宋体" w:cs="宋体"/>
                <w:sz w:val="21"/>
                <w:szCs w:val="21"/>
                <w:highlight w:val="none"/>
              </w:rPr>
            </w:pPr>
            <w:r>
              <w:rPr>
                <w:rFonts w:hint="eastAsia" w:ascii="宋体" w:hAnsi="宋体" w:cs="宋体"/>
                <w:sz w:val="21"/>
                <w:szCs w:val="21"/>
                <w:highlight w:val="none"/>
              </w:rPr>
              <w:t>安装维护</w:t>
            </w:r>
          </w:p>
        </w:tc>
        <w:tc>
          <w:tcPr>
            <w:tcW w:w="570" w:type="pct"/>
            <w:tcBorders>
              <w:top w:val="single" w:color="000000" w:sz="4" w:space="0"/>
              <w:left w:val="single" w:color="000000" w:sz="4" w:space="0"/>
              <w:bottom w:val="single" w:color="000000" w:sz="4" w:space="0"/>
              <w:right w:val="single" w:color="000000" w:sz="4" w:space="0"/>
            </w:tcBorders>
            <w:vAlign w:val="center"/>
          </w:tcPr>
          <w:p w14:paraId="3E9AACD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年</w:t>
            </w:r>
          </w:p>
        </w:tc>
        <w:tc>
          <w:tcPr>
            <w:tcW w:w="441" w:type="pct"/>
            <w:tcBorders>
              <w:top w:val="single" w:color="000000" w:sz="4" w:space="0"/>
              <w:left w:val="single" w:color="000000" w:sz="4" w:space="0"/>
              <w:bottom w:val="single" w:color="000000" w:sz="4" w:space="0"/>
              <w:right w:val="single" w:color="000000" w:sz="4" w:space="0"/>
            </w:tcBorders>
            <w:vAlign w:val="center"/>
          </w:tcPr>
          <w:p w14:paraId="30B85FB8">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5</w:t>
            </w:r>
          </w:p>
        </w:tc>
      </w:tr>
      <w:tr w14:paraId="6D00DD67">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4A263857">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36</w:t>
            </w:r>
          </w:p>
        </w:tc>
        <w:tc>
          <w:tcPr>
            <w:tcW w:w="757" w:type="pct"/>
            <w:vMerge w:val="restart"/>
            <w:tcBorders>
              <w:top w:val="single" w:color="000000" w:sz="4" w:space="0"/>
              <w:left w:val="single" w:color="000000" w:sz="4" w:space="0"/>
              <w:right w:val="single" w:color="000000" w:sz="4" w:space="0"/>
            </w:tcBorders>
            <w:vAlign w:val="center"/>
          </w:tcPr>
          <w:p w14:paraId="4CB83BF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团山长效能力建设</w:t>
            </w: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19D9A223">
            <w:pPr>
              <w:pStyle w:val="27"/>
              <w:ind w:left="0" w:firstLine="0"/>
              <w:rPr>
                <w:rFonts w:ascii="宋体" w:hAnsi="宋体" w:cs="宋体"/>
                <w:sz w:val="21"/>
                <w:szCs w:val="21"/>
                <w:highlight w:val="none"/>
              </w:rPr>
            </w:pPr>
            <w:r>
              <w:rPr>
                <w:rFonts w:hint="eastAsia" w:ascii="宋体" w:hAnsi="宋体" w:cs="宋体"/>
                <w:sz w:val="21"/>
                <w:szCs w:val="21"/>
                <w:highlight w:val="none"/>
              </w:rPr>
              <w:t>海基水动力监测系统</w:t>
            </w:r>
          </w:p>
        </w:tc>
        <w:tc>
          <w:tcPr>
            <w:tcW w:w="1817" w:type="pct"/>
            <w:tcBorders>
              <w:top w:val="single" w:color="000000" w:sz="4" w:space="0"/>
              <w:left w:val="single" w:color="000000" w:sz="4" w:space="0"/>
              <w:bottom w:val="single" w:color="000000" w:sz="4" w:space="0"/>
              <w:right w:val="single" w:color="000000" w:sz="4" w:space="0"/>
            </w:tcBorders>
            <w:vAlign w:val="center"/>
          </w:tcPr>
          <w:p w14:paraId="583409B6">
            <w:pPr>
              <w:pStyle w:val="27"/>
              <w:ind w:left="0" w:firstLine="0"/>
              <w:rPr>
                <w:rFonts w:ascii="宋体" w:hAnsi="宋体" w:cs="宋体"/>
                <w:sz w:val="21"/>
                <w:szCs w:val="21"/>
                <w:highlight w:val="none"/>
              </w:rPr>
            </w:pPr>
            <w:r>
              <w:rPr>
                <w:rFonts w:hint="eastAsia" w:ascii="宋体" w:hAnsi="宋体" w:cs="宋体"/>
                <w:sz w:val="21"/>
                <w:szCs w:val="21"/>
                <w:highlight w:val="none"/>
              </w:rPr>
              <w:t>海床基</w:t>
            </w:r>
          </w:p>
        </w:tc>
        <w:tc>
          <w:tcPr>
            <w:tcW w:w="570" w:type="pct"/>
            <w:tcBorders>
              <w:top w:val="single" w:color="000000" w:sz="4" w:space="0"/>
              <w:left w:val="single" w:color="000000" w:sz="4" w:space="0"/>
              <w:bottom w:val="single" w:color="000000" w:sz="4" w:space="0"/>
              <w:right w:val="single" w:color="000000" w:sz="4" w:space="0"/>
            </w:tcBorders>
            <w:vAlign w:val="center"/>
          </w:tcPr>
          <w:p w14:paraId="1A581DE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49D68D8D">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652DF428">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401A6E71">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37</w:t>
            </w:r>
          </w:p>
        </w:tc>
        <w:tc>
          <w:tcPr>
            <w:tcW w:w="757" w:type="pct"/>
            <w:vMerge w:val="continue"/>
            <w:tcBorders>
              <w:left w:val="single" w:color="000000" w:sz="4" w:space="0"/>
              <w:right w:val="single" w:color="000000" w:sz="4" w:space="0"/>
            </w:tcBorders>
            <w:vAlign w:val="center"/>
          </w:tcPr>
          <w:p w14:paraId="36857B03">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B6DDDCD">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09FB20AB">
            <w:pPr>
              <w:pStyle w:val="27"/>
              <w:ind w:left="0" w:firstLine="0"/>
              <w:rPr>
                <w:rFonts w:ascii="宋体" w:hAnsi="宋体" w:cs="宋体"/>
                <w:sz w:val="21"/>
                <w:szCs w:val="21"/>
                <w:highlight w:val="none"/>
              </w:rPr>
            </w:pPr>
            <w:r>
              <w:rPr>
                <w:rFonts w:hint="eastAsia" w:ascii="宋体" w:hAnsi="宋体" w:cs="宋体"/>
                <w:sz w:val="21"/>
                <w:szCs w:val="21"/>
                <w:highlight w:val="none"/>
              </w:rPr>
              <w:t>ADCP</w:t>
            </w:r>
          </w:p>
        </w:tc>
        <w:tc>
          <w:tcPr>
            <w:tcW w:w="570" w:type="pct"/>
            <w:tcBorders>
              <w:top w:val="single" w:color="000000" w:sz="4" w:space="0"/>
              <w:left w:val="single" w:color="000000" w:sz="4" w:space="0"/>
              <w:bottom w:val="single" w:color="000000" w:sz="4" w:space="0"/>
              <w:right w:val="single" w:color="000000" w:sz="4" w:space="0"/>
            </w:tcBorders>
            <w:vAlign w:val="center"/>
          </w:tcPr>
          <w:p w14:paraId="32004FBA">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5F6A57A8">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26664799">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67D73024">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38</w:t>
            </w:r>
          </w:p>
        </w:tc>
        <w:tc>
          <w:tcPr>
            <w:tcW w:w="757" w:type="pct"/>
            <w:vMerge w:val="continue"/>
            <w:tcBorders>
              <w:left w:val="single" w:color="000000" w:sz="4" w:space="0"/>
              <w:right w:val="single" w:color="000000" w:sz="4" w:space="0"/>
            </w:tcBorders>
            <w:vAlign w:val="center"/>
          </w:tcPr>
          <w:p w14:paraId="2D7CB938">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C214DE1">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03E91BE2">
            <w:pPr>
              <w:pStyle w:val="27"/>
              <w:ind w:left="0" w:firstLine="0"/>
              <w:rPr>
                <w:rFonts w:ascii="宋体" w:hAnsi="宋体" w:cs="宋体"/>
                <w:sz w:val="21"/>
                <w:szCs w:val="21"/>
                <w:highlight w:val="none"/>
              </w:rPr>
            </w:pPr>
            <w:r>
              <w:rPr>
                <w:rFonts w:hint="eastAsia" w:ascii="宋体" w:hAnsi="宋体" w:cs="宋体"/>
                <w:sz w:val="21"/>
                <w:szCs w:val="21"/>
                <w:highlight w:val="none"/>
              </w:rPr>
              <w:t>压力式潮位仪</w:t>
            </w:r>
          </w:p>
        </w:tc>
        <w:tc>
          <w:tcPr>
            <w:tcW w:w="570" w:type="pct"/>
            <w:tcBorders>
              <w:top w:val="single" w:color="000000" w:sz="4" w:space="0"/>
              <w:left w:val="single" w:color="000000" w:sz="4" w:space="0"/>
              <w:bottom w:val="single" w:color="000000" w:sz="4" w:space="0"/>
              <w:right w:val="single" w:color="000000" w:sz="4" w:space="0"/>
            </w:tcBorders>
            <w:vAlign w:val="center"/>
          </w:tcPr>
          <w:p w14:paraId="7350185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5939800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5E298741">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0F04C95E">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39</w:t>
            </w:r>
          </w:p>
        </w:tc>
        <w:tc>
          <w:tcPr>
            <w:tcW w:w="757" w:type="pct"/>
            <w:vMerge w:val="continue"/>
            <w:tcBorders>
              <w:left w:val="single" w:color="000000" w:sz="4" w:space="0"/>
              <w:right w:val="single" w:color="000000" w:sz="4" w:space="0"/>
            </w:tcBorders>
            <w:vAlign w:val="center"/>
          </w:tcPr>
          <w:p w14:paraId="3C5272B8">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0B07902">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6888105C">
            <w:pPr>
              <w:pStyle w:val="27"/>
              <w:ind w:left="0" w:firstLine="0"/>
              <w:rPr>
                <w:rFonts w:ascii="宋体" w:hAnsi="宋体" w:cs="宋体"/>
                <w:sz w:val="21"/>
                <w:szCs w:val="21"/>
                <w:highlight w:val="none"/>
              </w:rPr>
            </w:pPr>
            <w:r>
              <w:rPr>
                <w:rFonts w:hint="eastAsia" w:ascii="宋体" w:hAnsi="宋体" w:cs="宋体"/>
                <w:sz w:val="21"/>
                <w:szCs w:val="21"/>
                <w:highlight w:val="none"/>
              </w:rPr>
              <w:t>加速度波浪仪</w:t>
            </w:r>
          </w:p>
        </w:tc>
        <w:tc>
          <w:tcPr>
            <w:tcW w:w="570" w:type="pct"/>
            <w:tcBorders>
              <w:top w:val="single" w:color="000000" w:sz="4" w:space="0"/>
              <w:left w:val="single" w:color="000000" w:sz="4" w:space="0"/>
              <w:bottom w:val="single" w:color="000000" w:sz="4" w:space="0"/>
              <w:right w:val="single" w:color="000000" w:sz="4" w:space="0"/>
            </w:tcBorders>
            <w:vAlign w:val="center"/>
          </w:tcPr>
          <w:p w14:paraId="5561B2AB">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37E5C98D">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11E81D2A">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3948F817">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40</w:t>
            </w:r>
          </w:p>
        </w:tc>
        <w:tc>
          <w:tcPr>
            <w:tcW w:w="757" w:type="pct"/>
            <w:vMerge w:val="continue"/>
            <w:tcBorders>
              <w:left w:val="single" w:color="000000" w:sz="4" w:space="0"/>
              <w:right w:val="single" w:color="000000" w:sz="4" w:space="0"/>
            </w:tcBorders>
            <w:vAlign w:val="center"/>
          </w:tcPr>
          <w:p w14:paraId="06BC6B85">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18A71819">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1E9399AC">
            <w:pPr>
              <w:pStyle w:val="27"/>
              <w:ind w:left="0" w:firstLine="0"/>
              <w:rPr>
                <w:rFonts w:ascii="宋体" w:hAnsi="宋体" w:cs="宋体"/>
                <w:sz w:val="21"/>
                <w:szCs w:val="21"/>
                <w:highlight w:val="none"/>
              </w:rPr>
            </w:pPr>
            <w:r>
              <w:rPr>
                <w:rFonts w:hint="eastAsia" w:ascii="宋体" w:hAnsi="宋体" w:cs="宋体"/>
                <w:sz w:val="21"/>
                <w:szCs w:val="21"/>
                <w:highlight w:val="none"/>
              </w:rPr>
              <w:t>标记浮标(含通讯、供电）</w:t>
            </w:r>
          </w:p>
        </w:tc>
        <w:tc>
          <w:tcPr>
            <w:tcW w:w="570" w:type="pct"/>
            <w:tcBorders>
              <w:top w:val="single" w:color="000000" w:sz="4" w:space="0"/>
              <w:left w:val="single" w:color="000000" w:sz="4" w:space="0"/>
              <w:bottom w:val="single" w:color="000000" w:sz="4" w:space="0"/>
              <w:right w:val="single" w:color="000000" w:sz="4" w:space="0"/>
            </w:tcBorders>
            <w:vAlign w:val="center"/>
          </w:tcPr>
          <w:p w14:paraId="0261172E">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6AD56C4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5D5B5BB4">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1C563B7">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41</w:t>
            </w:r>
          </w:p>
        </w:tc>
        <w:tc>
          <w:tcPr>
            <w:tcW w:w="757" w:type="pct"/>
            <w:vMerge w:val="continue"/>
            <w:tcBorders>
              <w:left w:val="single" w:color="000000" w:sz="4" w:space="0"/>
              <w:right w:val="single" w:color="000000" w:sz="4" w:space="0"/>
            </w:tcBorders>
            <w:vAlign w:val="center"/>
          </w:tcPr>
          <w:p w14:paraId="0E67F3A5">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77272DF1">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45C6F335">
            <w:pPr>
              <w:pStyle w:val="27"/>
              <w:ind w:left="0" w:firstLine="0"/>
              <w:rPr>
                <w:rFonts w:ascii="宋体" w:hAnsi="宋体" w:cs="宋体"/>
                <w:sz w:val="21"/>
                <w:szCs w:val="21"/>
                <w:highlight w:val="none"/>
              </w:rPr>
            </w:pPr>
            <w:r>
              <w:rPr>
                <w:rFonts w:hint="eastAsia" w:ascii="宋体" w:hAnsi="宋体" w:cs="宋体"/>
                <w:sz w:val="21"/>
                <w:szCs w:val="21"/>
                <w:highlight w:val="none"/>
              </w:rPr>
              <w:t>数据采集器</w:t>
            </w:r>
          </w:p>
        </w:tc>
        <w:tc>
          <w:tcPr>
            <w:tcW w:w="570" w:type="pct"/>
            <w:tcBorders>
              <w:top w:val="single" w:color="000000" w:sz="4" w:space="0"/>
              <w:left w:val="single" w:color="000000" w:sz="4" w:space="0"/>
              <w:bottom w:val="single" w:color="000000" w:sz="4" w:space="0"/>
              <w:right w:val="single" w:color="000000" w:sz="4" w:space="0"/>
            </w:tcBorders>
            <w:vAlign w:val="center"/>
          </w:tcPr>
          <w:p w14:paraId="3DD61C98">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3A62E1BB">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0EF74E7D">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387AE6DB">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42</w:t>
            </w:r>
          </w:p>
        </w:tc>
        <w:tc>
          <w:tcPr>
            <w:tcW w:w="757" w:type="pct"/>
            <w:vMerge w:val="continue"/>
            <w:tcBorders>
              <w:left w:val="single" w:color="000000" w:sz="4" w:space="0"/>
              <w:right w:val="single" w:color="000000" w:sz="4" w:space="0"/>
            </w:tcBorders>
            <w:vAlign w:val="center"/>
          </w:tcPr>
          <w:p w14:paraId="24F76B19">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567339C0">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07F09510">
            <w:pPr>
              <w:pStyle w:val="27"/>
              <w:ind w:left="0" w:firstLine="0"/>
              <w:rPr>
                <w:rFonts w:ascii="宋体" w:hAnsi="宋体" w:cs="宋体"/>
                <w:sz w:val="21"/>
                <w:szCs w:val="21"/>
                <w:highlight w:val="none"/>
              </w:rPr>
            </w:pPr>
            <w:r>
              <w:rPr>
                <w:rFonts w:hint="eastAsia" w:ascii="宋体" w:hAnsi="宋体" w:cs="宋体"/>
                <w:sz w:val="21"/>
                <w:szCs w:val="21"/>
                <w:highlight w:val="none"/>
              </w:rPr>
              <w:t>安装维护（含校准、布放、回收等）</w:t>
            </w:r>
          </w:p>
        </w:tc>
        <w:tc>
          <w:tcPr>
            <w:tcW w:w="570" w:type="pct"/>
            <w:tcBorders>
              <w:top w:val="single" w:color="000000" w:sz="4" w:space="0"/>
              <w:left w:val="single" w:color="000000" w:sz="4" w:space="0"/>
              <w:bottom w:val="single" w:color="000000" w:sz="4" w:space="0"/>
              <w:right w:val="single" w:color="000000" w:sz="4" w:space="0"/>
            </w:tcBorders>
            <w:vAlign w:val="center"/>
          </w:tcPr>
          <w:p w14:paraId="2423852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年</w:t>
            </w:r>
          </w:p>
        </w:tc>
        <w:tc>
          <w:tcPr>
            <w:tcW w:w="441" w:type="pct"/>
            <w:tcBorders>
              <w:top w:val="single" w:color="000000" w:sz="4" w:space="0"/>
              <w:left w:val="single" w:color="000000" w:sz="4" w:space="0"/>
              <w:bottom w:val="single" w:color="000000" w:sz="4" w:space="0"/>
              <w:right w:val="single" w:color="000000" w:sz="4" w:space="0"/>
            </w:tcBorders>
            <w:vAlign w:val="center"/>
          </w:tcPr>
          <w:p w14:paraId="438469B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8</w:t>
            </w:r>
          </w:p>
        </w:tc>
      </w:tr>
      <w:tr w14:paraId="6475DB31">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235A90B">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43</w:t>
            </w:r>
          </w:p>
        </w:tc>
        <w:tc>
          <w:tcPr>
            <w:tcW w:w="757" w:type="pct"/>
            <w:vMerge w:val="continue"/>
            <w:tcBorders>
              <w:left w:val="single" w:color="000000" w:sz="4" w:space="0"/>
              <w:right w:val="single" w:color="000000" w:sz="4" w:space="0"/>
            </w:tcBorders>
            <w:vAlign w:val="center"/>
          </w:tcPr>
          <w:p w14:paraId="46CB1330">
            <w:pPr>
              <w:pStyle w:val="27"/>
              <w:ind w:left="0" w:firstLine="0"/>
              <w:jc w:val="center"/>
              <w:rPr>
                <w:rFonts w:ascii="宋体" w:hAnsi="宋体" w:cs="宋体"/>
                <w:sz w:val="21"/>
                <w:szCs w:val="21"/>
                <w:highlight w:val="none"/>
              </w:rPr>
            </w:pP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6AAEAED2">
            <w:pPr>
              <w:pStyle w:val="27"/>
              <w:ind w:left="0" w:firstLine="0"/>
              <w:rPr>
                <w:rFonts w:ascii="宋体" w:hAnsi="宋体" w:cs="宋体"/>
                <w:sz w:val="21"/>
                <w:szCs w:val="21"/>
                <w:highlight w:val="none"/>
              </w:rPr>
            </w:pPr>
            <w:r>
              <w:rPr>
                <w:rFonts w:hint="eastAsia" w:ascii="宋体" w:hAnsi="宋体" w:cs="宋体"/>
                <w:sz w:val="21"/>
                <w:szCs w:val="21"/>
                <w:highlight w:val="none"/>
              </w:rPr>
              <w:t>沙滩视频观测系统</w:t>
            </w:r>
          </w:p>
        </w:tc>
        <w:tc>
          <w:tcPr>
            <w:tcW w:w="1817" w:type="pct"/>
            <w:tcBorders>
              <w:top w:val="single" w:color="000000" w:sz="4" w:space="0"/>
              <w:left w:val="single" w:color="000000" w:sz="4" w:space="0"/>
              <w:bottom w:val="single" w:color="000000" w:sz="4" w:space="0"/>
              <w:right w:val="single" w:color="000000" w:sz="4" w:space="0"/>
            </w:tcBorders>
            <w:vAlign w:val="center"/>
          </w:tcPr>
          <w:p w14:paraId="6EC9D798">
            <w:pPr>
              <w:pStyle w:val="27"/>
              <w:ind w:left="0" w:firstLine="0"/>
              <w:rPr>
                <w:rFonts w:ascii="宋体" w:hAnsi="宋体" w:cs="宋体"/>
                <w:sz w:val="21"/>
                <w:szCs w:val="21"/>
                <w:highlight w:val="none"/>
              </w:rPr>
            </w:pPr>
            <w:r>
              <w:rPr>
                <w:rFonts w:hint="eastAsia" w:ascii="宋体" w:hAnsi="宋体" w:cs="宋体"/>
                <w:sz w:val="21"/>
                <w:szCs w:val="21"/>
                <w:highlight w:val="none"/>
              </w:rPr>
              <w:t>高清数字网络摄像机</w:t>
            </w:r>
          </w:p>
        </w:tc>
        <w:tc>
          <w:tcPr>
            <w:tcW w:w="570" w:type="pct"/>
            <w:tcBorders>
              <w:top w:val="single" w:color="000000" w:sz="4" w:space="0"/>
              <w:left w:val="single" w:color="000000" w:sz="4" w:space="0"/>
              <w:bottom w:val="single" w:color="000000" w:sz="4" w:space="0"/>
              <w:right w:val="single" w:color="000000" w:sz="4" w:space="0"/>
            </w:tcBorders>
            <w:vAlign w:val="center"/>
          </w:tcPr>
          <w:p w14:paraId="0CE263A0">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77DE0D9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43B79517">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0A6E3B06">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44</w:t>
            </w:r>
          </w:p>
        </w:tc>
        <w:tc>
          <w:tcPr>
            <w:tcW w:w="757" w:type="pct"/>
            <w:vMerge w:val="continue"/>
            <w:tcBorders>
              <w:left w:val="single" w:color="000000" w:sz="4" w:space="0"/>
              <w:right w:val="single" w:color="000000" w:sz="4" w:space="0"/>
            </w:tcBorders>
            <w:vAlign w:val="center"/>
          </w:tcPr>
          <w:p w14:paraId="4582FAED">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893E049">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759D47E6">
            <w:pPr>
              <w:pStyle w:val="27"/>
              <w:ind w:left="0" w:firstLine="0"/>
              <w:rPr>
                <w:rFonts w:ascii="宋体" w:hAnsi="宋体" w:cs="宋体"/>
                <w:sz w:val="21"/>
                <w:szCs w:val="21"/>
                <w:highlight w:val="none"/>
              </w:rPr>
            </w:pPr>
            <w:r>
              <w:rPr>
                <w:rFonts w:hint="eastAsia" w:ascii="宋体" w:hAnsi="宋体" w:cs="宋体"/>
                <w:sz w:val="21"/>
                <w:szCs w:val="21"/>
                <w:highlight w:val="none"/>
              </w:rPr>
              <w:t>影像数据采集器</w:t>
            </w:r>
          </w:p>
        </w:tc>
        <w:tc>
          <w:tcPr>
            <w:tcW w:w="570" w:type="pct"/>
            <w:tcBorders>
              <w:top w:val="single" w:color="000000" w:sz="4" w:space="0"/>
              <w:left w:val="single" w:color="000000" w:sz="4" w:space="0"/>
              <w:bottom w:val="single" w:color="000000" w:sz="4" w:space="0"/>
              <w:right w:val="single" w:color="000000" w:sz="4" w:space="0"/>
            </w:tcBorders>
            <w:vAlign w:val="center"/>
          </w:tcPr>
          <w:p w14:paraId="34EE518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692095A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65846CEF">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3439554">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45</w:t>
            </w:r>
          </w:p>
        </w:tc>
        <w:tc>
          <w:tcPr>
            <w:tcW w:w="757" w:type="pct"/>
            <w:vMerge w:val="continue"/>
            <w:tcBorders>
              <w:left w:val="single" w:color="000000" w:sz="4" w:space="0"/>
              <w:right w:val="single" w:color="000000" w:sz="4" w:space="0"/>
            </w:tcBorders>
            <w:vAlign w:val="center"/>
          </w:tcPr>
          <w:p w14:paraId="0F94ED01">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65FE0F8F">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6C0A9A0D">
            <w:pPr>
              <w:pStyle w:val="27"/>
              <w:ind w:left="0" w:firstLine="0"/>
              <w:rPr>
                <w:rFonts w:ascii="宋体" w:hAnsi="宋体" w:cs="宋体"/>
                <w:sz w:val="21"/>
                <w:szCs w:val="21"/>
                <w:highlight w:val="none"/>
              </w:rPr>
            </w:pPr>
            <w:r>
              <w:rPr>
                <w:rFonts w:hint="eastAsia" w:ascii="宋体" w:hAnsi="宋体" w:cs="宋体"/>
                <w:sz w:val="21"/>
                <w:szCs w:val="21"/>
                <w:highlight w:val="none"/>
              </w:rPr>
              <w:t>影像数据存储处理服务器</w:t>
            </w:r>
          </w:p>
        </w:tc>
        <w:tc>
          <w:tcPr>
            <w:tcW w:w="570" w:type="pct"/>
            <w:tcBorders>
              <w:top w:val="single" w:color="000000" w:sz="4" w:space="0"/>
              <w:left w:val="single" w:color="000000" w:sz="4" w:space="0"/>
              <w:bottom w:val="single" w:color="000000" w:sz="4" w:space="0"/>
              <w:right w:val="single" w:color="000000" w:sz="4" w:space="0"/>
            </w:tcBorders>
            <w:vAlign w:val="center"/>
          </w:tcPr>
          <w:p w14:paraId="230A60B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35B06C43">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07C80F9F">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045A2F07">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46</w:t>
            </w:r>
          </w:p>
        </w:tc>
        <w:tc>
          <w:tcPr>
            <w:tcW w:w="757" w:type="pct"/>
            <w:vMerge w:val="continue"/>
            <w:tcBorders>
              <w:left w:val="single" w:color="000000" w:sz="4" w:space="0"/>
              <w:right w:val="single" w:color="000000" w:sz="4" w:space="0"/>
            </w:tcBorders>
            <w:vAlign w:val="center"/>
          </w:tcPr>
          <w:p w14:paraId="74C35DC7">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25F39FA6">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200F094F">
            <w:pPr>
              <w:pStyle w:val="27"/>
              <w:ind w:left="0" w:firstLine="0"/>
              <w:rPr>
                <w:rFonts w:ascii="宋体" w:hAnsi="宋体" w:cs="宋体"/>
                <w:sz w:val="21"/>
                <w:szCs w:val="21"/>
                <w:highlight w:val="none"/>
              </w:rPr>
            </w:pPr>
            <w:r>
              <w:rPr>
                <w:rFonts w:hint="eastAsia" w:ascii="宋体" w:hAnsi="宋体" w:cs="宋体"/>
                <w:sz w:val="21"/>
                <w:szCs w:val="21"/>
                <w:highlight w:val="none"/>
              </w:rPr>
              <w:t>数据处理系统</w:t>
            </w:r>
          </w:p>
        </w:tc>
        <w:tc>
          <w:tcPr>
            <w:tcW w:w="570" w:type="pct"/>
            <w:tcBorders>
              <w:top w:val="single" w:color="000000" w:sz="4" w:space="0"/>
              <w:left w:val="single" w:color="000000" w:sz="4" w:space="0"/>
              <w:bottom w:val="single" w:color="000000" w:sz="4" w:space="0"/>
              <w:right w:val="single" w:color="000000" w:sz="4" w:space="0"/>
            </w:tcBorders>
            <w:vAlign w:val="center"/>
          </w:tcPr>
          <w:p w14:paraId="3B109F4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41D8C23B">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0F11C545">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C0ACEFC">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47</w:t>
            </w:r>
          </w:p>
        </w:tc>
        <w:tc>
          <w:tcPr>
            <w:tcW w:w="757" w:type="pct"/>
            <w:vMerge w:val="continue"/>
            <w:tcBorders>
              <w:left w:val="single" w:color="000000" w:sz="4" w:space="0"/>
              <w:right w:val="single" w:color="000000" w:sz="4" w:space="0"/>
            </w:tcBorders>
            <w:vAlign w:val="center"/>
          </w:tcPr>
          <w:p w14:paraId="695A35C2">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773080F">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169C1A3B">
            <w:pPr>
              <w:pStyle w:val="27"/>
              <w:ind w:left="0" w:firstLine="0"/>
              <w:rPr>
                <w:rFonts w:ascii="宋体" w:hAnsi="宋体" w:cs="宋体"/>
                <w:sz w:val="21"/>
                <w:szCs w:val="21"/>
                <w:highlight w:val="none"/>
              </w:rPr>
            </w:pPr>
            <w:r>
              <w:rPr>
                <w:rFonts w:hint="eastAsia" w:ascii="宋体" w:hAnsi="宋体" w:cs="宋体"/>
                <w:sz w:val="21"/>
                <w:szCs w:val="21"/>
                <w:highlight w:val="none"/>
              </w:rPr>
              <w:t>交换器</w:t>
            </w:r>
          </w:p>
        </w:tc>
        <w:tc>
          <w:tcPr>
            <w:tcW w:w="570" w:type="pct"/>
            <w:tcBorders>
              <w:top w:val="single" w:color="000000" w:sz="4" w:space="0"/>
              <w:left w:val="single" w:color="000000" w:sz="4" w:space="0"/>
              <w:bottom w:val="single" w:color="000000" w:sz="4" w:space="0"/>
              <w:right w:val="single" w:color="000000" w:sz="4" w:space="0"/>
            </w:tcBorders>
            <w:vAlign w:val="center"/>
          </w:tcPr>
          <w:p w14:paraId="5305E647">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2066F11E">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3ED570AE">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3F1F51A6">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48</w:t>
            </w:r>
          </w:p>
        </w:tc>
        <w:tc>
          <w:tcPr>
            <w:tcW w:w="757" w:type="pct"/>
            <w:vMerge w:val="continue"/>
            <w:tcBorders>
              <w:left w:val="single" w:color="000000" w:sz="4" w:space="0"/>
              <w:right w:val="single" w:color="000000" w:sz="4" w:space="0"/>
            </w:tcBorders>
            <w:vAlign w:val="center"/>
          </w:tcPr>
          <w:p w14:paraId="2968EDFD">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CBB5E21">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72DA83AA">
            <w:pPr>
              <w:pStyle w:val="27"/>
              <w:ind w:left="0" w:firstLine="0"/>
              <w:rPr>
                <w:rFonts w:ascii="宋体" w:hAnsi="宋体" w:cs="宋体"/>
                <w:sz w:val="21"/>
                <w:szCs w:val="21"/>
                <w:highlight w:val="none"/>
              </w:rPr>
            </w:pPr>
            <w:r>
              <w:rPr>
                <w:rFonts w:hint="eastAsia" w:ascii="宋体" w:hAnsi="宋体" w:cs="宋体"/>
                <w:sz w:val="21"/>
                <w:szCs w:val="21"/>
                <w:highlight w:val="none"/>
              </w:rPr>
              <w:t>路由器</w:t>
            </w:r>
          </w:p>
        </w:tc>
        <w:tc>
          <w:tcPr>
            <w:tcW w:w="570" w:type="pct"/>
            <w:tcBorders>
              <w:top w:val="single" w:color="000000" w:sz="4" w:space="0"/>
              <w:left w:val="single" w:color="000000" w:sz="4" w:space="0"/>
              <w:bottom w:val="single" w:color="000000" w:sz="4" w:space="0"/>
              <w:right w:val="single" w:color="000000" w:sz="4" w:space="0"/>
            </w:tcBorders>
            <w:vAlign w:val="center"/>
          </w:tcPr>
          <w:p w14:paraId="56A6E3B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64ED9C8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25AE76A6">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050712FC">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49</w:t>
            </w:r>
          </w:p>
        </w:tc>
        <w:tc>
          <w:tcPr>
            <w:tcW w:w="757" w:type="pct"/>
            <w:vMerge w:val="continue"/>
            <w:tcBorders>
              <w:left w:val="single" w:color="000000" w:sz="4" w:space="0"/>
              <w:right w:val="single" w:color="000000" w:sz="4" w:space="0"/>
            </w:tcBorders>
            <w:vAlign w:val="center"/>
          </w:tcPr>
          <w:p w14:paraId="257D3743">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5B84D0CD">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4011F5AF">
            <w:pPr>
              <w:pStyle w:val="27"/>
              <w:ind w:left="0" w:firstLine="0"/>
              <w:rPr>
                <w:rFonts w:ascii="宋体" w:hAnsi="宋体" w:cs="宋体"/>
                <w:sz w:val="21"/>
                <w:szCs w:val="21"/>
                <w:highlight w:val="none"/>
              </w:rPr>
            </w:pPr>
            <w:r>
              <w:rPr>
                <w:rFonts w:hint="eastAsia" w:ascii="宋体" w:hAnsi="宋体" w:cs="宋体"/>
                <w:sz w:val="21"/>
                <w:szCs w:val="21"/>
                <w:highlight w:val="none"/>
              </w:rPr>
              <w:t>供电单元（含UPS）</w:t>
            </w:r>
          </w:p>
        </w:tc>
        <w:tc>
          <w:tcPr>
            <w:tcW w:w="570" w:type="pct"/>
            <w:tcBorders>
              <w:top w:val="single" w:color="000000" w:sz="4" w:space="0"/>
              <w:left w:val="single" w:color="000000" w:sz="4" w:space="0"/>
              <w:bottom w:val="single" w:color="000000" w:sz="4" w:space="0"/>
              <w:right w:val="single" w:color="000000" w:sz="4" w:space="0"/>
            </w:tcBorders>
            <w:vAlign w:val="center"/>
          </w:tcPr>
          <w:p w14:paraId="132F221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367B10CE">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58FA843F">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535736F">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50</w:t>
            </w:r>
          </w:p>
        </w:tc>
        <w:tc>
          <w:tcPr>
            <w:tcW w:w="757" w:type="pct"/>
            <w:vMerge w:val="continue"/>
            <w:tcBorders>
              <w:left w:val="single" w:color="000000" w:sz="4" w:space="0"/>
              <w:right w:val="single" w:color="000000" w:sz="4" w:space="0"/>
            </w:tcBorders>
            <w:vAlign w:val="center"/>
          </w:tcPr>
          <w:p w14:paraId="336871DF">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7E5BF6CE">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1219B846">
            <w:pPr>
              <w:pStyle w:val="27"/>
              <w:ind w:left="0" w:firstLine="0"/>
              <w:rPr>
                <w:rFonts w:ascii="宋体" w:hAnsi="宋体" w:cs="宋体"/>
                <w:sz w:val="21"/>
                <w:szCs w:val="21"/>
                <w:highlight w:val="none"/>
              </w:rPr>
            </w:pPr>
            <w:r>
              <w:rPr>
                <w:rFonts w:hint="eastAsia" w:ascii="宋体" w:hAnsi="宋体" w:cs="宋体"/>
                <w:sz w:val="21"/>
                <w:szCs w:val="21"/>
                <w:highlight w:val="none"/>
              </w:rPr>
              <w:t>立杆及支架</w:t>
            </w:r>
          </w:p>
        </w:tc>
        <w:tc>
          <w:tcPr>
            <w:tcW w:w="570" w:type="pct"/>
            <w:tcBorders>
              <w:top w:val="single" w:color="000000" w:sz="4" w:space="0"/>
              <w:left w:val="single" w:color="000000" w:sz="4" w:space="0"/>
              <w:bottom w:val="single" w:color="000000" w:sz="4" w:space="0"/>
              <w:right w:val="single" w:color="000000" w:sz="4" w:space="0"/>
            </w:tcBorders>
            <w:vAlign w:val="center"/>
          </w:tcPr>
          <w:p w14:paraId="1E5DE2E3">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0D21C35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14F590F3">
        <w:tblPrEx>
          <w:tblCellMar>
            <w:top w:w="0" w:type="dxa"/>
            <w:left w:w="108" w:type="dxa"/>
            <w:bottom w:w="0" w:type="dxa"/>
            <w:right w:w="108" w:type="dxa"/>
          </w:tblCellMar>
        </w:tblPrEx>
        <w:trPr>
          <w:trHeight w:val="48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6474693C">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51</w:t>
            </w:r>
          </w:p>
        </w:tc>
        <w:tc>
          <w:tcPr>
            <w:tcW w:w="757" w:type="pct"/>
            <w:vMerge w:val="continue"/>
            <w:tcBorders>
              <w:left w:val="single" w:color="000000" w:sz="4" w:space="0"/>
              <w:right w:val="single" w:color="000000" w:sz="4" w:space="0"/>
            </w:tcBorders>
            <w:vAlign w:val="center"/>
          </w:tcPr>
          <w:p w14:paraId="55CEE283">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5285BF0C">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772FC2CF">
            <w:pPr>
              <w:pStyle w:val="27"/>
              <w:ind w:left="0" w:firstLine="0"/>
              <w:rPr>
                <w:rFonts w:ascii="宋体" w:hAnsi="宋体" w:cs="宋体"/>
                <w:sz w:val="21"/>
                <w:szCs w:val="21"/>
                <w:highlight w:val="none"/>
              </w:rPr>
            </w:pPr>
            <w:r>
              <w:rPr>
                <w:rFonts w:hint="eastAsia" w:ascii="宋体" w:hAnsi="宋体" w:cs="宋体"/>
                <w:sz w:val="21"/>
                <w:szCs w:val="21"/>
                <w:highlight w:val="none"/>
              </w:rPr>
              <w:t>安装维护（含测站选址、设备安装、基准点校准等）</w:t>
            </w:r>
          </w:p>
        </w:tc>
        <w:tc>
          <w:tcPr>
            <w:tcW w:w="570" w:type="pct"/>
            <w:tcBorders>
              <w:top w:val="single" w:color="000000" w:sz="4" w:space="0"/>
              <w:left w:val="single" w:color="000000" w:sz="4" w:space="0"/>
              <w:bottom w:val="single" w:color="000000" w:sz="4" w:space="0"/>
              <w:right w:val="single" w:color="000000" w:sz="4" w:space="0"/>
            </w:tcBorders>
            <w:vAlign w:val="center"/>
          </w:tcPr>
          <w:p w14:paraId="2C20D14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年</w:t>
            </w:r>
          </w:p>
        </w:tc>
        <w:tc>
          <w:tcPr>
            <w:tcW w:w="441" w:type="pct"/>
            <w:tcBorders>
              <w:top w:val="single" w:color="000000" w:sz="4" w:space="0"/>
              <w:left w:val="single" w:color="000000" w:sz="4" w:space="0"/>
              <w:bottom w:val="single" w:color="000000" w:sz="4" w:space="0"/>
              <w:right w:val="single" w:color="000000" w:sz="4" w:space="0"/>
            </w:tcBorders>
            <w:vAlign w:val="center"/>
          </w:tcPr>
          <w:p w14:paraId="2F647AB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8</w:t>
            </w:r>
          </w:p>
        </w:tc>
      </w:tr>
      <w:tr w14:paraId="5DE6E801">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6D75C4A">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52</w:t>
            </w:r>
          </w:p>
        </w:tc>
        <w:tc>
          <w:tcPr>
            <w:tcW w:w="757" w:type="pct"/>
            <w:vMerge w:val="continue"/>
            <w:tcBorders>
              <w:left w:val="single" w:color="000000" w:sz="4" w:space="0"/>
              <w:right w:val="single" w:color="000000" w:sz="4" w:space="0"/>
            </w:tcBorders>
            <w:vAlign w:val="center"/>
          </w:tcPr>
          <w:p w14:paraId="2FF04DE4">
            <w:pPr>
              <w:pStyle w:val="27"/>
              <w:ind w:left="0" w:firstLine="0"/>
              <w:jc w:val="center"/>
              <w:rPr>
                <w:rFonts w:ascii="宋体" w:hAnsi="宋体" w:cs="宋体"/>
                <w:sz w:val="21"/>
                <w:szCs w:val="21"/>
                <w:highlight w:val="none"/>
              </w:rPr>
            </w:pP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6F575ECE">
            <w:pPr>
              <w:pStyle w:val="27"/>
              <w:ind w:left="0" w:firstLine="0"/>
              <w:rPr>
                <w:rFonts w:ascii="宋体" w:hAnsi="宋体" w:cs="宋体"/>
                <w:sz w:val="21"/>
                <w:szCs w:val="21"/>
                <w:highlight w:val="none"/>
              </w:rPr>
            </w:pPr>
            <w:r>
              <w:rPr>
                <w:rFonts w:hint="eastAsia" w:ascii="宋体" w:hAnsi="宋体" w:cs="宋体"/>
                <w:sz w:val="21"/>
                <w:szCs w:val="21"/>
                <w:highlight w:val="none"/>
              </w:rPr>
              <w:t>生态数字影像站</w:t>
            </w:r>
          </w:p>
        </w:tc>
        <w:tc>
          <w:tcPr>
            <w:tcW w:w="1817" w:type="pct"/>
            <w:tcBorders>
              <w:top w:val="single" w:color="000000" w:sz="4" w:space="0"/>
              <w:left w:val="single" w:color="000000" w:sz="4" w:space="0"/>
              <w:bottom w:val="single" w:color="000000" w:sz="4" w:space="0"/>
              <w:right w:val="single" w:color="000000" w:sz="4" w:space="0"/>
            </w:tcBorders>
            <w:vAlign w:val="center"/>
          </w:tcPr>
          <w:p w14:paraId="429E3D01">
            <w:pPr>
              <w:pStyle w:val="27"/>
              <w:ind w:left="0" w:firstLine="0"/>
              <w:rPr>
                <w:rFonts w:ascii="宋体" w:hAnsi="宋体" w:cs="宋体"/>
                <w:sz w:val="21"/>
                <w:szCs w:val="21"/>
                <w:highlight w:val="none"/>
              </w:rPr>
            </w:pPr>
            <w:r>
              <w:rPr>
                <w:rFonts w:hint="eastAsia" w:ascii="宋体" w:hAnsi="宋体" w:cs="宋体"/>
                <w:sz w:val="21"/>
                <w:szCs w:val="21"/>
                <w:highlight w:val="none"/>
              </w:rPr>
              <w:t>高清数字网络摄像机</w:t>
            </w:r>
          </w:p>
        </w:tc>
        <w:tc>
          <w:tcPr>
            <w:tcW w:w="570" w:type="pct"/>
            <w:tcBorders>
              <w:top w:val="single" w:color="000000" w:sz="4" w:space="0"/>
              <w:left w:val="single" w:color="000000" w:sz="4" w:space="0"/>
              <w:bottom w:val="single" w:color="000000" w:sz="4" w:space="0"/>
              <w:right w:val="single" w:color="000000" w:sz="4" w:space="0"/>
            </w:tcBorders>
            <w:vAlign w:val="center"/>
          </w:tcPr>
          <w:p w14:paraId="56279578">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29F3D48F">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434A1577">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16D87D6">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53</w:t>
            </w:r>
          </w:p>
        </w:tc>
        <w:tc>
          <w:tcPr>
            <w:tcW w:w="757" w:type="pct"/>
            <w:vMerge w:val="continue"/>
            <w:tcBorders>
              <w:left w:val="single" w:color="000000" w:sz="4" w:space="0"/>
              <w:right w:val="single" w:color="000000" w:sz="4" w:space="0"/>
            </w:tcBorders>
            <w:vAlign w:val="center"/>
          </w:tcPr>
          <w:p w14:paraId="487D7FF7">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784F337">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45532FB1">
            <w:pPr>
              <w:pStyle w:val="27"/>
              <w:ind w:left="0" w:firstLine="0"/>
              <w:rPr>
                <w:rFonts w:ascii="宋体" w:hAnsi="宋体" w:cs="宋体"/>
                <w:sz w:val="21"/>
                <w:szCs w:val="21"/>
                <w:highlight w:val="none"/>
              </w:rPr>
            </w:pPr>
            <w:r>
              <w:rPr>
                <w:rFonts w:hint="eastAsia" w:ascii="宋体" w:hAnsi="宋体" w:cs="宋体"/>
                <w:sz w:val="21"/>
                <w:szCs w:val="21"/>
                <w:highlight w:val="none"/>
              </w:rPr>
              <w:t>一体化气象站</w:t>
            </w:r>
          </w:p>
        </w:tc>
        <w:tc>
          <w:tcPr>
            <w:tcW w:w="570" w:type="pct"/>
            <w:tcBorders>
              <w:top w:val="single" w:color="000000" w:sz="4" w:space="0"/>
              <w:left w:val="single" w:color="000000" w:sz="4" w:space="0"/>
              <w:bottom w:val="single" w:color="000000" w:sz="4" w:space="0"/>
              <w:right w:val="single" w:color="000000" w:sz="4" w:space="0"/>
            </w:tcBorders>
            <w:vAlign w:val="center"/>
          </w:tcPr>
          <w:p w14:paraId="70C21FB0">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0658114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0BB62FFE">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3244D542">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54</w:t>
            </w:r>
          </w:p>
        </w:tc>
        <w:tc>
          <w:tcPr>
            <w:tcW w:w="757" w:type="pct"/>
            <w:vMerge w:val="continue"/>
            <w:tcBorders>
              <w:left w:val="single" w:color="000000" w:sz="4" w:space="0"/>
              <w:right w:val="single" w:color="000000" w:sz="4" w:space="0"/>
            </w:tcBorders>
            <w:vAlign w:val="center"/>
          </w:tcPr>
          <w:p w14:paraId="30313007">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6F0414F7">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065E5FAE">
            <w:pPr>
              <w:pStyle w:val="27"/>
              <w:ind w:left="0" w:firstLine="0"/>
              <w:rPr>
                <w:rFonts w:ascii="宋体" w:hAnsi="宋体" w:cs="宋体"/>
                <w:sz w:val="21"/>
                <w:szCs w:val="21"/>
                <w:highlight w:val="none"/>
              </w:rPr>
            </w:pPr>
            <w:r>
              <w:rPr>
                <w:rFonts w:hint="eastAsia" w:ascii="宋体" w:hAnsi="宋体" w:cs="宋体"/>
                <w:sz w:val="21"/>
                <w:szCs w:val="21"/>
                <w:highlight w:val="none"/>
              </w:rPr>
              <w:t>数据采集器</w:t>
            </w:r>
          </w:p>
        </w:tc>
        <w:tc>
          <w:tcPr>
            <w:tcW w:w="570" w:type="pct"/>
            <w:tcBorders>
              <w:top w:val="single" w:color="000000" w:sz="4" w:space="0"/>
              <w:left w:val="single" w:color="000000" w:sz="4" w:space="0"/>
              <w:bottom w:val="single" w:color="000000" w:sz="4" w:space="0"/>
              <w:right w:val="single" w:color="000000" w:sz="4" w:space="0"/>
            </w:tcBorders>
            <w:vAlign w:val="center"/>
          </w:tcPr>
          <w:p w14:paraId="0D0A07C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7F6AF3E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745702E8">
        <w:tblPrEx>
          <w:tblCellMar>
            <w:top w:w="0" w:type="dxa"/>
            <w:left w:w="108" w:type="dxa"/>
            <w:bottom w:w="0" w:type="dxa"/>
            <w:right w:w="108" w:type="dxa"/>
          </w:tblCellMar>
        </w:tblPrEx>
        <w:trPr>
          <w:trHeight w:val="48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0CA76204">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55</w:t>
            </w:r>
          </w:p>
        </w:tc>
        <w:tc>
          <w:tcPr>
            <w:tcW w:w="757" w:type="pct"/>
            <w:vMerge w:val="continue"/>
            <w:tcBorders>
              <w:left w:val="single" w:color="000000" w:sz="4" w:space="0"/>
              <w:right w:val="single" w:color="000000" w:sz="4" w:space="0"/>
            </w:tcBorders>
            <w:vAlign w:val="center"/>
          </w:tcPr>
          <w:p w14:paraId="328862FD">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3B73AD7">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78D957D4">
            <w:pPr>
              <w:pStyle w:val="27"/>
              <w:ind w:left="0" w:firstLine="0"/>
              <w:rPr>
                <w:rFonts w:ascii="宋体" w:hAnsi="宋体" w:cs="宋体"/>
                <w:sz w:val="21"/>
                <w:szCs w:val="21"/>
                <w:highlight w:val="none"/>
              </w:rPr>
            </w:pPr>
            <w:r>
              <w:rPr>
                <w:rFonts w:hint="eastAsia" w:ascii="宋体" w:hAnsi="宋体" w:cs="宋体"/>
                <w:sz w:val="21"/>
                <w:szCs w:val="21"/>
                <w:highlight w:val="none"/>
              </w:rPr>
              <w:t>风光互补供电单元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0028B2A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7EA2C42F">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79EE5121">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3A40D607">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56</w:t>
            </w:r>
          </w:p>
        </w:tc>
        <w:tc>
          <w:tcPr>
            <w:tcW w:w="757" w:type="pct"/>
            <w:vMerge w:val="continue"/>
            <w:tcBorders>
              <w:left w:val="single" w:color="000000" w:sz="4" w:space="0"/>
              <w:right w:val="single" w:color="000000" w:sz="4" w:space="0"/>
            </w:tcBorders>
            <w:vAlign w:val="center"/>
          </w:tcPr>
          <w:p w14:paraId="48312C55">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768D5F9C">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432A05D1">
            <w:pPr>
              <w:pStyle w:val="27"/>
              <w:ind w:left="0" w:firstLine="0"/>
              <w:rPr>
                <w:rFonts w:ascii="宋体" w:hAnsi="宋体" w:cs="宋体"/>
                <w:sz w:val="21"/>
                <w:szCs w:val="21"/>
                <w:highlight w:val="none"/>
              </w:rPr>
            </w:pPr>
            <w:r>
              <w:rPr>
                <w:rFonts w:hint="eastAsia" w:ascii="宋体" w:hAnsi="宋体" w:cs="宋体"/>
                <w:sz w:val="21"/>
                <w:szCs w:val="21"/>
                <w:highlight w:val="none"/>
              </w:rPr>
              <w:t>无线信号传输单元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6A461B3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70A6E49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712782F9">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19B6030">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57</w:t>
            </w:r>
          </w:p>
        </w:tc>
        <w:tc>
          <w:tcPr>
            <w:tcW w:w="757" w:type="pct"/>
            <w:vMerge w:val="continue"/>
            <w:tcBorders>
              <w:left w:val="single" w:color="000000" w:sz="4" w:space="0"/>
              <w:right w:val="single" w:color="000000" w:sz="4" w:space="0"/>
            </w:tcBorders>
            <w:vAlign w:val="center"/>
          </w:tcPr>
          <w:p w14:paraId="52F54F5C">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576ACA26">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5E567C23">
            <w:pPr>
              <w:pStyle w:val="27"/>
              <w:ind w:left="0" w:firstLine="0"/>
              <w:rPr>
                <w:rFonts w:ascii="宋体" w:hAnsi="宋体" w:cs="宋体"/>
                <w:sz w:val="21"/>
                <w:szCs w:val="21"/>
                <w:highlight w:val="none"/>
              </w:rPr>
            </w:pPr>
            <w:r>
              <w:rPr>
                <w:rFonts w:hint="eastAsia" w:ascii="宋体" w:hAnsi="宋体" w:cs="宋体"/>
                <w:sz w:val="21"/>
                <w:szCs w:val="21"/>
                <w:highlight w:val="none"/>
              </w:rPr>
              <w:t>立杆及支架</w:t>
            </w:r>
          </w:p>
        </w:tc>
        <w:tc>
          <w:tcPr>
            <w:tcW w:w="570" w:type="pct"/>
            <w:tcBorders>
              <w:top w:val="single" w:color="000000" w:sz="4" w:space="0"/>
              <w:left w:val="single" w:color="000000" w:sz="4" w:space="0"/>
              <w:bottom w:val="single" w:color="000000" w:sz="4" w:space="0"/>
              <w:right w:val="single" w:color="000000" w:sz="4" w:space="0"/>
            </w:tcBorders>
            <w:vAlign w:val="center"/>
          </w:tcPr>
          <w:p w14:paraId="5B2006B7">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4241175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05EBCFBA">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68697AF">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58</w:t>
            </w:r>
          </w:p>
        </w:tc>
        <w:tc>
          <w:tcPr>
            <w:tcW w:w="757" w:type="pct"/>
            <w:vMerge w:val="continue"/>
            <w:tcBorders>
              <w:left w:val="single" w:color="000000" w:sz="4" w:space="0"/>
              <w:bottom w:val="single" w:color="000000" w:sz="4" w:space="0"/>
              <w:right w:val="single" w:color="000000" w:sz="4" w:space="0"/>
            </w:tcBorders>
            <w:vAlign w:val="center"/>
          </w:tcPr>
          <w:p w14:paraId="32716EE3">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0B3DD43E">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6B287ACC">
            <w:pPr>
              <w:pStyle w:val="27"/>
              <w:ind w:left="0" w:firstLine="0"/>
              <w:rPr>
                <w:rFonts w:ascii="宋体" w:hAnsi="宋体" w:cs="宋体"/>
                <w:sz w:val="21"/>
                <w:szCs w:val="21"/>
                <w:highlight w:val="none"/>
              </w:rPr>
            </w:pPr>
            <w:r>
              <w:rPr>
                <w:rFonts w:hint="eastAsia" w:ascii="宋体" w:hAnsi="宋体" w:cs="宋体"/>
                <w:sz w:val="21"/>
                <w:szCs w:val="21"/>
                <w:highlight w:val="none"/>
              </w:rPr>
              <w:t>安装维护</w:t>
            </w:r>
          </w:p>
        </w:tc>
        <w:tc>
          <w:tcPr>
            <w:tcW w:w="570" w:type="pct"/>
            <w:tcBorders>
              <w:top w:val="single" w:color="000000" w:sz="4" w:space="0"/>
              <w:left w:val="single" w:color="000000" w:sz="4" w:space="0"/>
              <w:bottom w:val="single" w:color="000000" w:sz="4" w:space="0"/>
              <w:right w:val="single" w:color="000000" w:sz="4" w:space="0"/>
            </w:tcBorders>
            <w:vAlign w:val="center"/>
          </w:tcPr>
          <w:p w14:paraId="31B8C5BA">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年</w:t>
            </w:r>
          </w:p>
        </w:tc>
        <w:tc>
          <w:tcPr>
            <w:tcW w:w="441" w:type="pct"/>
            <w:tcBorders>
              <w:top w:val="single" w:color="000000" w:sz="4" w:space="0"/>
              <w:left w:val="single" w:color="000000" w:sz="4" w:space="0"/>
              <w:bottom w:val="single" w:color="000000" w:sz="4" w:space="0"/>
              <w:right w:val="single" w:color="000000" w:sz="4" w:space="0"/>
            </w:tcBorders>
            <w:vAlign w:val="center"/>
          </w:tcPr>
          <w:p w14:paraId="4ABEB66D">
            <w:pPr>
              <w:pStyle w:val="27"/>
              <w:ind w:left="0" w:firstLine="0"/>
              <w:jc w:val="center"/>
              <w:rPr>
                <w:rFonts w:ascii="宋体" w:hAnsi="宋体" w:cs="宋体"/>
                <w:sz w:val="21"/>
                <w:szCs w:val="21"/>
                <w:highlight w:val="none"/>
              </w:rPr>
            </w:pPr>
            <w:r>
              <w:rPr>
                <w:rFonts w:hint="eastAsia" w:hAnsi="宋体" w:cs="宋体"/>
                <w:sz w:val="21"/>
                <w:szCs w:val="21"/>
                <w:highlight w:val="none"/>
              </w:rPr>
              <w:t>8</w:t>
            </w:r>
          </w:p>
        </w:tc>
      </w:tr>
      <w:tr w14:paraId="5B041B07">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4FAFBEBB">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59</w:t>
            </w:r>
          </w:p>
        </w:tc>
        <w:tc>
          <w:tcPr>
            <w:tcW w:w="757" w:type="pct"/>
            <w:vMerge w:val="restart"/>
            <w:tcBorders>
              <w:top w:val="single" w:color="000000" w:sz="4" w:space="0"/>
              <w:left w:val="single" w:color="000000" w:sz="4" w:space="0"/>
              <w:bottom w:val="single" w:color="000000" w:sz="4" w:space="0"/>
              <w:right w:val="single" w:color="000000" w:sz="4" w:space="0"/>
            </w:tcBorders>
            <w:vAlign w:val="center"/>
          </w:tcPr>
          <w:p w14:paraId="01313A2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月亮湾长效能力建设</w:t>
            </w: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5A6DB08A">
            <w:pPr>
              <w:pStyle w:val="27"/>
              <w:ind w:left="0" w:firstLine="0"/>
              <w:rPr>
                <w:rFonts w:ascii="宋体" w:hAnsi="宋体" w:cs="宋体"/>
                <w:sz w:val="21"/>
                <w:szCs w:val="21"/>
                <w:highlight w:val="none"/>
              </w:rPr>
            </w:pPr>
            <w:r>
              <w:rPr>
                <w:rFonts w:hint="eastAsia" w:ascii="宋体" w:hAnsi="宋体" w:cs="宋体"/>
                <w:sz w:val="21"/>
                <w:szCs w:val="21"/>
                <w:highlight w:val="none"/>
              </w:rPr>
              <w:t>海基水动力监测系统</w:t>
            </w:r>
          </w:p>
        </w:tc>
        <w:tc>
          <w:tcPr>
            <w:tcW w:w="1817" w:type="pct"/>
            <w:tcBorders>
              <w:top w:val="single" w:color="000000" w:sz="4" w:space="0"/>
              <w:left w:val="single" w:color="000000" w:sz="4" w:space="0"/>
              <w:bottom w:val="single" w:color="000000" w:sz="4" w:space="0"/>
              <w:right w:val="single" w:color="000000" w:sz="4" w:space="0"/>
            </w:tcBorders>
            <w:vAlign w:val="center"/>
          </w:tcPr>
          <w:p w14:paraId="36128D17">
            <w:pPr>
              <w:pStyle w:val="27"/>
              <w:ind w:left="0" w:firstLine="0"/>
              <w:rPr>
                <w:rFonts w:ascii="宋体" w:hAnsi="宋体" w:cs="宋体"/>
                <w:sz w:val="21"/>
                <w:szCs w:val="21"/>
                <w:highlight w:val="none"/>
              </w:rPr>
            </w:pPr>
            <w:r>
              <w:rPr>
                <w:rFonts w:hint="eastAsia" w:ascii="宋体" w:hAnsi="宋体" w:cs="宋体"/>
                <w:sz w:val="21"/>
                <w:szCs w:val="21"/>
                <w:highlight w:val="none"/>
              </w:rPr>
              <w:t>海床基</w:t>
            </w:r>
          </w:p>
        </w:tc>
        <w:tc>
          <w:tcPr>
            <w:tcW w:w="570" w:type="pct"/>
            <w:tcBorders>
              <w:top w:val="single" w:color="000000" w:sz="4" w:space="0"/>
              <w:left w:val="single" w:color="000000" w:sz="4" w:space="0"/>
              <w:bottom w:val="single" w:color="000000" w:sz="4" w:space="0"/>
              <w:right w:val="single" w:color="000000" w:sz="4" w:space="0"/>
            </w:tcBorders>
            <w:vAlign w:val="center"/>
          </w:tcPr>
          <w:p w14:paraId="0B06387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5A3A977F">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7175BD21">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13F43C6">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60</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5861E579">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0845AD75">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2854E7CF">
            <w:pPr>
              <w:pStyle w:val="27"/>
              <w:ind w:left="0" w:firstLine="0"/>
              <w:rPr>
                <w:rFonts w:ascii="宋体" w:hAnsi="宋体" w:cs="宋体"/>
                <w:sz w:val="21"/>
                <w:szCs w:val="21"/>
                <w:highlight w:val="none"/>
              </w:rPr>
            </w:pPr>
            <w:r>
              <w:rPr>
                <w:rFonts w:hint="eastAsia" w:ascii="宋体" w:hAnsi="宋体" w:cs="宋体"/>
                <w:sz w:val="21"/>
                <w:szCs w:val="21"/>
                <w:highlight w:val="none"/>
              </w:rPr>
              <w:t>ADCP</w:t>
            </w:r>
          </w:p>
        </w:tc>
        <w:tc>
          <w:tcPr>
            <w:tcW w:w="570" w:type="pct"/>
            <w:tcBorders>
              <w:top w:val="single" w:color="000000" w:sz="4" w:space="0"/>
              <w:left w:val="single" w:color="000000" w:sz="4" w:space="0"/>
              <w:bottom w:val="single" w:color="000000" w:sz="4" w:space="0"/>
              <w:right w:val="single" w:color="000000" w:sz="4" w:space="0"/>
            </w:tcBorders>
            <w:vAlign w:val="center"/>
          </w:tcPr>
          <w:p w14:paraId="2826869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29B0FD5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6A67988C">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0C4D4EB8">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61</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66FFC9EA">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893A9D8">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62C7AF93">
            <w:pPr>
              <w:pStyle w:val="27"/>
              <w:ind w:left="0" w:firstLine="0"/>
              <w:rPr>
                <w:rFonts w:ascii="宋体" w:hAnsi="宋体" w:cs="宋体"/>
                <w:sz w:val="21"/>
                <w:szCs w:val="21"/>
                <w:highlight w:val="none"/>
              </w:rPr>
            </w:pPr>
            <w:r>
              <w:rPr>
                <w:rFonts w:hint="eastAsia" w:ascii="宋体" w:hAnsi="宋体" w:cs="宋体"/>
                <w:sz w:val="21"/>
                <w:szCs w:val="21"/>
                <w:highlight w:val="none"/>
              </w:rPr>
              <w:t>压力式潮位仪</w:t>
            </w:r>
          </w:p>
        </w:tc>
        <w:tc>
          <w:tcPr>
            <w:tcW w:w="570" w:type="pct"/>
            <w:tcBorders>
              <w:top w:val="single" w:color="000000" w:sz="4" w:space="0"/>
              <w:left w:val="single" w:color="000000" w:sz="4" w:space="0"/>
              <w:bottom w:val="single" w:color="000000" w:sz="4" w:space="0"/>
              <w:right w:val="single" w:color="000000" w:sz="4" w:space="0"/>
            </w:tcBorders>
            <w:vAlign w:val="center"/>
          </w:tcPr>
          <w:p w14:paraId="413C10FF">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46F9537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1C65208A">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116136E">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62</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577C3DFF">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0CF601A5">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7B9CEA2D">
            <w:pPr>
              <w:pStyle w:val="27"/>
              <w:ind w:left="0" w:firstLine="0"/>
              <w:rPr>
                <w:rFonts w:ascii="宋体" w:hAnsi="宋体" w:cs="宋体"/>
                <w:sz w:val="21"/>
                <w:szCs w:val="21"/>
                <w:highlight w:val="none"/>
              </w:rPr>
            </w:pPr>
            <w:r>
              <w:rPr>
                <w:rFonts w:hint="eastAsia" w:ascii="宋体" w:hAnsi="宋体" w:cs="宋体"/>
                <w:sz w:val="21"/>
                <w:szCs w:val="21"/>
                <w:highlight w:val="none"/>
              </w:rPr>
              <w:t>加速度波浪仪</w:t>
            </w:r>
          </w:p>
        </w:tc>
        <w:tc>
          <w:tcPr>
            <w:tcW w:w="570" w:type="pct"/>
            <w:tcBorders>
              <w:top w:val="single" w:color="000000" w:sz="4" w:space="0"/>
              <w:left w:val="single" w:color="000000" w:sz="4" w:space="0"/>
              <w:bottom w:val="single" w:color="000000" w:sz="4" w:space="0"/>
              <w:right w:val="single" w:color="000000" w:sz="4" w:space="0"/>
            </w:tcBorders>
            <w:vAlign w:val="center"/>
          </w:tcPr>
          <w:p w14:paraId="6B2E9280">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41F0FF6E">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6622B25F">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37A78355">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63</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3CC3E400">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54EE0C59">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3709394B">
            <w:pPr>
              <w:pStyle w:val="27"/>
              <w:ind w:left="0" w:firstLine="0"/>
              <w:rPr>
                <w:rFonts w:ascii="宋体" w:hAnsi="宋体" w:cs="宋体"/>
                <w:sz w:val="21"/>
                <w:szCs w:val="21"/>
                <w:highlight w:val="none"/>
              </w:rPr>
            </w:pPr>
            <w:r>
              <w:rPr>
                <w:rFonts w:hint="eastAsia" w:ascii="宋体" w:hAnsi="宋体" w:cs="宋体"/>
                <w:sz w:val="21"/>
                <w:szCs w:val="21"/>
                <w:highlight w:val="none"/>
              </w:rPr>
              <w:t>标记浮标(含通讯、供电）</w:t>
            </w:r>
          </w:p>
        </w:tc>
        <w:tc>
          <w:tcPr>
            <w:tcW w:w="570" w:type="pct"/>
            <w:tcBorders>
              <w:top w:val="single" w:color="000000" w:sz="4" w:space="0"/>
              <w:left w:val="single" w:color="000000" w:sz="4" w:space="0"/>
              <w:bottom w:val="single" w:color="000000" w:sz="4" w:space="0"/>
              <w:right w:val="single" w:color="000000" w:sz="4" w:space="0"/>
            </w:tcBorders>
            <w:vAlign w:val="center"/>
          </w:tcPr>
          <w:p w14:paraId="7D8C5633">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6B1BEF33">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06D141CB">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EF3C54A">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64</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46B0B0E4">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92ED598">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6E54785A">
            <w:pPr>
              <w:pStyle w:val="27"/>
              <w:ind w:left="0" w:firstLine="0"/>
              <w:rPr>
                <w:rFonts w:ascii="宋体" w:hAnsi="宋体" w:cs="宋体"/>
                <w:sz w:val="21"/>
                <w:szCs w:val="21"/>
                <w:highlight w:val="none"/>
              </w:rPr>
            </w:pPr>
            <w:r>
              <w:rPr>
                <w:rFonts w:hint="eastAsia" w:ascii="宋体" w:hAnsi="宋体" w:cs="宋体"/>
                <w:sz w:val="21"/>
                <w:szCs w:val="21"/>
                <w:highlight w:val="none"/>
              </w:rPr>
              <w:t>数据采集器</w:t>
            </w:r>
          </w:p>
        </w:tc>
        <w:tc>
          <w:tcPr>
            <w:tcW w:w="570" w:type="pct"/>
            <w:tcBorders>
              <w:top w:val="single" w:color="000000" w:sz="4" w:space="0"/>
              <w:left w:val="single" w:color="000000" w:sz="4" w:space="0"/>
              <w:bottom w:val="single" w:color="000000" w:sz="4" w:space="0"/>
              <w:right w:val="single" w:color="000000" w:sz="4" w:space="0"/>
            </w:tcBorders>
            <w:vAlign w:val="center"/>
          </w:tcPr>
          <w:p w14:paraId="47F36D6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014047D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2FBEF72A">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105F404">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65</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466015E2">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C371100">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1921DD9D">
            <w:pPr>
              <w:pStyle w:val="27"/>
              <w:ind w:left="0" w:firstLine="0"/>
              <w:rPr>
                <w:rFonts w:ascii="宋体" w:hAnsi="宋体" w:cs="宋体"/>
                <w:sz w:val="21"/>
                <w:szCs w:val="21"/>
                <w:highlight w:val="none"/>
              </w:rPr>
            </w:pPr>
            <w:r>
              <w:rPr>
                <w:rFonts w:hint="eastAsia" w:ascii="宋体" w:hAnsi="宋体" w:cs="宋体"/>
                <w:sz w:val="21"/>
                <w:szCs w:val="21"/>
                <w:highlight w:val="none"/>
              </w:rPr>
              <w:t>安装维护（含校准、布放、回收等）</w:t>
            </w:r>
          </w:p>
        </w:tc>
        <w:tc>
          <w:tcPr>
            <w:tcW w:w="570" w:type="pct"/>
            <w:tcBorders>
              <w:top w:val="single" w:color="000000" w:sz="4" w:space="0"/>
              <w:left w:val="single" w:color="000000" w:sz="4" w:space="0"/>
              <w:bottom w:val="single" w:color="000000" w:sz="4" w:space="0"/>
              <w:right w:val="single" w:color="000000" w:sz="4" w:space="0"/>
            </w:tcBorders>
            <w:vAlign w:val="center"/>
          </w:tcPr>
          <w:p w14:paraId="2B64AE9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年</w:t>
            </w:r>
          </w:p>
        </w:tc>
        <w:tc>
          <w:tcPr>
            <w:tcW w:w="441" w:type="pct"/>
            <w:tcBorders>
              <w:top w:val="single" w:color="000000" w:sz="4" w:space="0"/>
              <w:left w:val="single" w:color="000000" w:sz="4" w:space="0"/>
              <w:bottom w:val="single" w:color="000000" w:sz="4" w:space="0"/>
              <w:right w:val="single" w:color="000000" w:sz="4" w:space="0"/>
            </w:tcBorders>
            <w:vAlign w:val="center"/>
          </w:tcPr>
          <w:p w14:paraId="35945B2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5</w:t>
            </w:r>
          </w:p>
        </w:tc>
      </w:tr>
      <w:tr w14:paraId="4A45F989">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6B9FA9AB">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66</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43205E4E">
            <w:pPr>
              <w:pStyle w:val="27"/>
              <w:ind w:left="0" w:firstLine="0"/>
              <w:jc w:val="center"/>
              <w:rPr>
                <w:rFonts w:ascii="宋体" w:hAnsi="宋体" w:cs="宋体"/>
                <w:sz w:val="21"/>
                <w:szCs w:val="21"/>
                <w:highlight w:val="none"/>
              </w:rPr>
            </w:pP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7477C3E2">
            <w:pPr>
              <w:pStyle w:val="27"/>
              <w:ind w:left="0" w:firstLine="0"/>
              <w:rPr>
                <w:rFonts w:ascii="宋体" w:hAnsi="宋体" w:cs="宋体"/>
                <w:sz w:val="21"/>
                <w:szCs w:val="21"/>
                <w:highlight w:val="none"/>
              </w:rPr>
            </w:pPr>
            <w:r>
              <w:rPr>
                <w:rFonts w:hint="eastAsia" w:ascii="宋体" w:hAnsi="宋体" w:cs="宋体"/>
                <w:sz w:val="21"/>
                <w:szCs w:val="21"/>
                <w:highlight w:val="none"/>
              </w:rPr>
              <w:t>岸基水质监测系统</w:t>
            </w:r>
          </w:p>
        </w:tc>
        <w:tc>
          <w:tcPr>
            <w:tcW w:w="1817" w:type="pct"/>
            <w:tcBorders>
              <w:top w:val="single" w:color="000000" w:sz="4" w:space="0"/>
              <w:left w:val="single" w:color="000000" w:sz="4" w:space="0"/>
              <w:bottom w:val="single" w:color="000000" w:sz="4" w:space="0"/>
              <w:right w:val="single" w:color="000000" w:sz="4" w:space="0"/>
            </w:tcBorders>
            <w:vAlign w:val="center"/>
          </w:tcPr>
          <w:p w14:paraId="0A607032">
            <w:pPr>
              <w:pStyle w:val="27"/>
              <w:ind w:left="0" w:firstLine="0"/>
              <w:rPr>
                <w:rFonts w:ascii="宋体" w:hAnsi="宋体" w:cs="宋体"/>
                <w:sz w:val="21"/>
                <w:szCs w:val="21"/>
                <w:highlight w:val="none"/>
              </w:rPr>
            </w:pPr>
            <w:r>
              <w:rPr>
                <w:rFonts w:hint="eastAsia" w:ascii="宋体" w:hAnsi="宋体" w:cs="宋体"/>
                <w:sz w:val="21"/>
                <w:szCs w:val="21"/>
                <w:highlight w:val="none"/>
              </w:rPr>
              <w:t>主控机柜（含数据采集及无线传输）</w:t>
            </w:r>
          </w:p>
        </w:tc>
        <w:tc>
          <w:tcPr>
            <w:tcW w:w="570" w:type="pct"/>
            <w:tcBorders>
              <w:top w:val="single" w:color="000000" w:sz="4" w:space="0"/>
              <w:left w:val="single" w:color="000000" w:sz="4" w:space="0"/>
              <w:bottom w:val="single" w:color="000000" w:sz="4" w:space="0"/>
              <w:right w:val="single" w:color="000000" w:sz="4" w:space="0"/>
            </w:tcBorders>
            <w:vAlign w:val="center"/>
          </w:tcPr>
          <w:p w14:paraId="38F739E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103418F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01B58AB8">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7A347D5">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67</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3AC59B03">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B94B2A1">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5E7ECD3F">
            <w:pPr>
              <w:pStyle w:val="27"/>
              <w:ind w:left="0" w:firstLine="0"/>
              <w:rPr>
                <w:rFonts w:ascii="宋体" w:hAnsi="宋体" w:cs="宋体"/>
                <w:sz w:val="21"/>
                <w:szCs w:val="21"/>
                <w:highlight w:val="none"/>
              </w:rPr>
            </w:pPr>
            <w:r>
              <w:rPr>
                <w:rFonts w:hint="eastAsia" w:ascii="宋体" w:hAnsi="宋体" w:cs="宋体"/>
                <w:sz w:val="21"/>
                <w:szCs w:val="21"/>
                <w:highlight w:val="none"/>
              </w:rPr>
              <w:t>多参数监测单元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4813E3B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61D7178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567F03D5">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F827D77">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68</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34AF11FA">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99B16EA">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2261D0DE">
            <w:pPr>
              <w:pStyle w:val="27"/>
              <w:ind w:left="0" w:firstLine="0"/>
              <w:rPr>
                <w:rFonts w:ascii="宋体" w:hAnsi="宋体" w:cs="宋体"/>
                <w:sz w:val="21"/>
                <w:szCs w:val="21"/>
                <w:highlight w:val="none"/>
              </w:rPr>
            </w:pPr>
            <w:r>
              <w:rPr>
                <w:rFonts w:hint="eastAsia" w:ascii="宋体" w:hAnsi="宋体" w:cs="宋体"/>
                <w:sz w:val="21"/>
                <w:szCs w:val="21"/>
                <w:highlight w:val="none"/>
              </w:rPr>
              <w:t>总氮监测单元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5DA6C88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1016B79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18E3E9C2">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53986C31">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69</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0119FEE6">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7F36BC1D">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350E4EC8">
            <w:pPr>
              <w:pStyle w:val="27"/>
              <w:ind w:left="0" w:firstLine="0"/>
              <w:rPr>
                <w:rFonts w:ascii="宋体" w:hAnsi="宋体" w:cs="宋体"/>
                <w:sz w:val="21"/>
                <w:szCs w:val="21"/>
                <w:highlight w:val="none"/>
              </w:rPr>
            </w:pPr>
            <w:r>
              <w:rPr>
                <w:rFonts w:hint="eastAsia" w:ascii="宋体" w:hAnsi="宋体" w:cs="宋体"/>
                <w:sz w:val="21"/>
                <w:szCs w:val="21"/>
                <w:highlight w:val="none"/>
              </w:rPr>
              <w:t>总磷监测单元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551791B0">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32176168">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4A4D1C35">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4C1EE6B8">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70</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2EECEBC8">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75EB6D3">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74968218">
            <w:pPr>
              <w:pStyle w:val="27"/>
              <w:ind w:left="0" w:firstLine="0"/>
              <w:rPr>
                <w:rFonts w:ascii="宋体" w:hAnsi="宋体" w:cs="宋体"/>
                <w:sz w:val="21"/>
                <w:szCs w:val="21"/>
                <w:highlight w:val="none"/>
              </w:rPr>
            </w:pPr>
            <w:r>
              <w:rPr>
                <w:rFonts w:hint="eastAsia" w:ascii="宋体" w:hAnsi="宋体" w:cs="宋体"/>
                <w:sz w:val="21"/>
                <w:szCs w:val="21"/>
                <w:highlight w:val="none"/>
              </w:rPr>
              <w:t>氨氮监测单元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0014695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1FBCE37C">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3D45AD98">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65D86156">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71</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1248904D">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2BC80B96">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5C1B1C63">
            <w:pPr>
              <w:pStyle w:val="27"/>
              <w:ind w:left="0" w:firstLine="0"/>
              <w:rPr>
                <w:rFonts w:ascii="宋体" w:hAnsi="宋体" w:cs="宋体"/>
                <w:sz w:val="21"/>
                <w:szCs w:val="21"/>
                <w:highlight w:val="none"/>
              </w:rPr>
            </w:pPr>
            <w:r>
              <w:rPr>
                <w:rFonts w:hint="eastAsia" w:ascii="宋体" w:hAnsi="宋体" w:cs="宋体"/>
                <w:sz w:val="21"/>
                <w:szCs w:val="21"/>
                <w:highlight w:val="none"/>
              </w:rPr>
              <w:t>供电单元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3B2B3837">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356F0D4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6C3C8E18">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577D657D">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72</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61C7CB1E">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1663F591">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091DDEE9">
            <w:pPr>
              <w:pStyle w:val="27"/>
              <w:ind w:left="0" w:firstLine="0"/>
              <w:rPr>
                <w:rFonts w:ascii="宋体" w:hAnsi="宋体" w:cs="宋体"/>
                <w:sz w:val="21"/>
                <w:szCs w:val="21"/>
                <w:highlight w:val="none"/>
              </w:rPr>
            </w:pPr>
            <w:r>
              <w:rPr>
                <w:rFonts w:hint="eastAsia" w:ascii="宋体" w:hAnsi="宋体" w:cs="宋体"/>
                <w:sz w:val="21"/>
                <w:szCs w:val="21"/>
                <w:highlight w:val="none"/>
              </w:rPr>
              <w:t>取水单元</w:t>
            </w:r>
          </w:p>
        </w:tc>
        <w:tc>
          <w:tcPr>
            <w:tcW w:w="570" w:type="pct"/>
            <w:tcBorders>
              <w:top w:val="single" w:color="000000" w:sz="4" w:space="0"/>
              <w:left w:val="single" w:color="000000" w:sz="4" w:space="0"/>
              <w:bottom w:val="single" w:color="000000" w:sz="4" w:space="0"/>
              <w:right w:val="single" w:color="000000" w:sz="4" w:space="0"/>
            </w:tcBorders>
            <w:vAlign w:val="center"/>
          </w:tcPr>
          <w:p w14:paraId="4E5E789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5B0ADAB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4F459759">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4F1E44D8">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73</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276CD55D">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164580DC">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43FF5B27">
            <w:pPr>
              <w:pStyle w:val="27"/>
              <w:ind w:left="0" w:firstLine="0"/>
              <w:rPr>
                <w:rFonts w:ascii="宋体" w:hAnsi="宋体" w:cs="宋体"/>
                <w:sz w:val="21"/>
                <w:szCs w:val="21"/>
                <w:highlight w:val="none"/>
              </w:rPr>
            </w:pPr>
            <w:r>
              <w:rPr>
                <w:rFonts w:hint="eastAsia" w:ascii="宋体" w:hAnsi="宋体" w:cs="宋体"/>
                <w:sz w:val="21"/>
                <w:szCs w:val="21"/>
                <w:highlight w:val="none"/>
              </w:rPr>
              <w:t>室外站房</w:t>
            </w:r>
          </w:p>
        </w:tc>
        <w:tc>
          <w:tcPr>
            <w:tcW w:w="570" w:type="pct"/>
            <w:tcBorders>
              <w:top w:val="single" w:color="000000" w:sz="4" w:space="0"/>
              <w:left w:val="single" w:color="000000" w:sz="4" w:space="0"/>
              <w:bottom w:val="single" w:color="000000" w:sz="4" w:space="0"/>
              <w:right w:val="single" w:color="000000" w:sz="4" w:space="0"/>
            </w:tcBorders>
            <w:vAlign w:val="center"/>
          </w:tcPr>
          <w:p w14:paraId="38898E75">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座</w:t>
            </w:r>
          </w:p>
        </w:tc>
        <w:tc>
          <w:tcPr>
            <w:tcW w:w="441" w:type="pct"/>
            <w:tcBorders>
              <w:top w:val="single" w:color="000000" w:sz="4" w:space="0"/>
              <w:left w:val="single" w:color="000000" w:sz="4" w:space="0"/>
              <w:bottom w:val="single" w:color="000000" w:sz="4" w:space="0"/>
              <w:right w:val="single" w:color="000000" w:sz="4" w:space="0"/>
            </w:tcBorders>
            <w:vAlign w:val="center"/>
          </w:tcPr>
          <w:p w14:paraId="3C465D64">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2</w:t>
            </w:r>
          </w:p>
        </w:tc>
      </w:tr>
      <w:tr w14:paraId="5B64C1DD">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C6D8E89">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74</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7774E48B">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0B337FFE">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7650027F">
            <w:pPr>
              <w:pStyle w:val="27"/>
              <w:ind w:left="0" w:firstLine="0"/>
              <w:rPr>
                <w:rFonts w:ascii="宋体" w:hAnsi="宋体" w:cs="宋体"/>
                <w:sz w:val="21"/>
                <w:szCs w:val="21"/>
                <w:highlight w:val="none"/>
              </w:rPr>
            </w:pPr>
            <w:r>
              <w:rPr>
                <w:rFonts w:hint="eastAsia" w:ascii="宋体" w:hAnsi="宋体" w:cs="宋体"/>
                <w:sz w:val="21"/>
                <w:szCs w:val="21"/>
                <w:highlight w:val="none"/>
              </w:rPr>
              <w:t>安装维护</w:t>
            </w:r>
          </w:p>
        </w:tc>
        <w:tc>
          <w:tcPr>
            <w:tcW w:w="570" w:type="pct"/>
            <w:tcBorders>
              <w:top w:val="single" w:color="000000" w:sz="4" w:space="0"/>
              <w:left w:val="single" w:color="000000" w:sz="4" w:space="0"/>
              <w:bottom w:val="single" w:color="000000" w:sz="4" w:space="0"/>
              <w:right w:val="single" w:color="000000" w:sz="4" w:space="0"/>
            </w:tcBorders>
            <w:vAlign w:val="center"/>
          </w:tcPr>
          <w:p w14:paraId="1E179D1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年</w:t>
            </w:r>
          </w:p>
        </w:tc>
        <w:tc>
          <w:tcPr>
            <w:tcW w:w="441" w:type="pct"/>
            <w:tcBorders>
              <w:top w:val="single" w:color="000000" w:sz="4" w:space="0"/>
              <w:left w:val="single" w:color="000000" w:sz="4" w:space="0"/>
              <w:bottom w:val="single" w:color="000000" w:sz="4" w:space="0"/>
              <w:right w:val="single" w:color="000000" w:sz="4" w:space="0"/>
            </w:tcBorders>
            <w:vAlign w:val="center"/>
          </w:tcPr>
          <w:p w14:paraId="65D1AC66">
            <w:pPr>
              <w:pStyle w:val="27"/>
              <w:ind w:left="0" w:firstLine="0"/>
              <w:jc w:val="center"/>
              <w:rPr>
                <w:rFonts w:ascii="宋体" w:hAnsi="宋体" w:cs="宋体"/>
                <w:sz w:val="21"/>
                <w:szCs w:val="21"/>
                <w:highlight w:val="none"/>
              </w:rPr>
            </w:pPr>
            <w:r>
              <w:rPr>
                <w:rFonts w:hint="eastAsia" w:hAnsi="宋体" w:cs="宋体"/>
                <w:sz w:val="21"/>
                <w:szCs w:val="21"/>
                <w:highlight w:val="none"/>
              </w:rPr>
              <w:t>5</w:t>
            </w:r>
          </w:p>
        </w:tc>
      </w:tr>
      <w:tr w14:paraId="422AFD99">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1DF7A9EF">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75</w:t>
            </w:r>
          </w:p>
        </w:tc>
        <w:tc>
          <w:tcPr>
            <w:tcW w:w="757" w:type="pct"/>
            <w:vMerge w:val="restart"/>
            <w:tcBorders>
              <w:top w:val="single" w:color="000000" w:sz="4" w:space="0"/>
              <w:left w:val="single" w:color="000000" w:sz="4" w:space="0"/>
              <w:bottom w:val="single" w:color="000000" w:sz="4" w:space="0"/>
              <w:right w:val="single" w:color="000000" w:sz="4" w:space="0"/>
            </w:tcBorders>
            <w:vAlign w:val="center"/>
          </w:tcPr>
          <w:p w14:paraId="72D219A7">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生态监测预警与修复管理平台</w:t>
            </w: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2EEF56EE">
            <w:pPr>
              <w:pStyle w:val="27"/>
              <w:ind w:left="0" w:firstLine="0"/>
              <w:rPr>
                <w:rFonts w:ascii="宋体" w:hAnsi="宋体" w:cs="宋体"/>
                <w:sz w:val="21"/>
                <w:szCs w:val="21"/>
                <w:highlight w:val="none"/>
              </w:rPr>
            </w:pPr>
            <w:r>
              <w:rPr>
                <w:rFonts w:hint="eastAsia" w:ascii="宋体" w:hAnsi="宋体" w:cs="宋体"/>
                <w:sz w:val="21"/>
                <w:szCs w:val="21"/>
                <w:highlight w:val="none"/>
              </w:rPr>
              <w:t>无人生态巡查系统</w:t>
            </w:r>
          </w:p>
        </w:tc>
        <w:tc>
          <w:tcPr>
            <w:tcW w:w="1817" w:type="pct"/>
            <w:tcBorders>
              <w:top w:val="single" w:color="000000" w:sz="4" w:space="0"/>
              <w:left w:val="single" w:color="000000" w:sz="4" w:space="0"/>
              <w:bottom w:val="single" w:color="000000" w:sz="4" w:space="0"/>
              <w:right w:val="single" w:color="000000" w:sz="4" w:space="0"/>
            </w:tcBorders>
            <w:vAlign w:val="center"/>
          </w:tcPr>
          <w:p w14:paraId="17708D77">
            <w:pPr>
              <w:pStyle w:val="27"/>
              <w:ind w:left="0" w:firstLine="0"/>
              <w:rPr>
                <w:rFonts w:ascii="宋体" w:hAnsi="宋体" w:cs="宋体"/>
                <w:sz w:val="21"/>
                <w:szCs w:val="21"/>
                <w:highlight w:val="none"/>
              </w:rPr>
            </w:pPr>
            <w:r>
              <w:rPr>
                <w:rFonts w:hint="eastAsia" w:ascii="宋体" w:hAnsi="宋体" w:cs="宋体"/>
                <w:sz w:val="21"/>
                <w:szCs w:val="21"/>
                <w:highlight w:val="none"/>
              </w:rPr>
              <w:t>航测无人机</w:t>
            </w:r>
          </w:p>
        </w:tc>
        <w:tc>
          <w:tcPr>
            <w:tcW w:w="570" w:type="pct"/>
            <w:tcBorders>
              <w:top w:val="single" w:color="000000" w:sz="4" w:space="0"/>
              <w:left w:val="single" w:color="000000" w:sz="4" w:space="0"/>
              <w:bottom w:val="single" w:color="000000" w:sz="4" w:space="0"/>
              <w:right w:val="single" w:color="000000" w:sz="4" w:space="0"/>
            </w:tcBorders>
            <w:vAlign w:val="center"/>
          </w:tcPr>
          <w:p w14:paraId="01AFEE5E">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5CA526DF">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bookmarkEnd w:id="127"/>
      <w:tr w14:paraId="7D740B53">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5B2D3DB">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76</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1AFA2C01">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47E0BB9">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32D05E75">
            <w:pPr>
              <w:pStyle w:val="27"/>
              <w:ind w:left="0" w:firstLine="0"/>
              <w:rPr>
                <w:rFonts w:ascii="宋体" w:hAnsi="宋体" w:cs="宋体"/>
                <w:sz w:val="21"/>
                <w:szCs w:val="21"/>
                <w:highlight w:val="none"/>
              </w:rPr>
            </w:pPr>
            <w:r>
              <w:rPr>
                <w:rFonts w:hint="eastAsia" w:ascii="宋体" w:hAnsi="宋体" w:cs="宋体"/>
                <w:sz w:val="21"/>
                <w:szCs w:val="21"/>
                <w:highlight w:val="none"/>
              </w:rPr>
              <w:t>三维激光扫描仪</w:t>
            </w:r>
          </w:p>
        </w:tc>
        <w:tc>
          <w:tcPr>
            <w:tcW w:w="570" w:type="pct"/>
            <w:tcBorders>
              <w:top w:val="single" w:color="000000" w:sz="4" w:space="0"/>
              <w:left w:val="single" w:color="000000" w:sz="4" w:space="0"/>
              <w:bottom w:val="single" w:color="000000" w:sz="4" w:space="0"/>
              <w:right w:val="single" w:color="000000" w:sz="4" w:space="0"/>
            </w:tcBorders>
            <w:vAlign w:val="center"/>
          </w:tcPr>
          <w:p w14:paraId="6581EBD3">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71E7F297">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13A1047C">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4BB88A32">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77</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3C4F705B">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782B5C42">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1963EA04">
            <w:pPr>
              <w:pStyle w:val="27"/>
              <w:ind w:left="0" w:firstLine="0"/>
              <w:rPr>
                <w:rFonts w:ascii="宋体" w:hAnsi="宋体" w:cs="宋体"/>
                <w:sz w:val="21"/>
                <w:szCs w:val="21"/>
                <w:highlight w:val="none"/>
              </w:rPr>
            </w:pPr>
            <w:r>
              <w:rPr>
                <w:rFonts w:hint="eastAsia" w:ascii="宋体" w:hAnsi="宋体" w:cs="宋体"/>
                <w:sz w:val="21"/>
                <w:szCs w:val="21"/>
                <w:highlight w:val="none"/>
              </w:rPr>
              <w:t>可见光摄像机</w:t>
            </w:r>
          </w:p>
        </w:tc>
        <w:tc>
          <w:tcPr>
            <w:tcW w:w="570" w:type="pct"/>
            <w:tcBorders>
              <w:top w:val="single" w:color="000000" w:sz="4" w:space="0"/>
              <w:left w:val="single" w:color="000000" w:sz="4" w:space="0"/>
              <w:bottom w:val="single" w:color="000000" w:sz="4" w:space="0"/>
              <w:right w:val="single" w:color="000000" w:sz="4" w:space="0"/>
            </w:tcBorders>
            <w:vAlign w:val="center"/>
          </w:tcPr>
          <w:p w14:paraId="4BEACEC7">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2C73BF20">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3BCD6E5C">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7FBACEE2">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78</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41D164D8">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399E101E">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09D0D282">
            <w:pPr>
              <w:pStyle w:val="27"/>
              <w:ind w:left="0" w:firstLine="0"/>
              <w:rPr>
                <w:rFonts w:ascii="宋体" w:hAnsi="宋体" w:cs="宋体"/>
                <w:sz w:val="21"/>
                <w:szCs w:val="21"/>
                <w:highlight w:val="none"/>
              </w:rPr>
            </w:pPr>
            <w:r>
              <w:rPr>
                <w:rFonts w:hint="eastAsia" w:ascii="宋体" w:hAnsi="宋体" w:cs="宋体"/>
                <w:sz w:val="21"/>
                <w:szCs w:val="21"/>
                <w:highlight w:val="none"/>
              </w:rPr>
              <w:t>小型监测无人船</w:t>
            </w:r>
          </w:p>
        </w:tc>
        <w:tc>
          <w:tcPr>
            <w:tcW w:w="570" w:type="pct"/>
            <w:tcBorders>
              <w:top w:val="single" w:color="000000" w:sz="4" w:space="0"/>
              <w:left w:val="single" w:color="000000" w:sz="4" w:space="0"/>
              <w:bottom w:val="single" w:color="000000" w:sz="4" w:space="0"/>
              <w:right w:val="single" w:color="000000" w:sz="4" w:space="0"/>
            </w:tcBorders>
            <w:vAlign w:val="center"/>
          </w:tcPr>
          <w:p w14:paraId="43FC5FC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63D9C9F8">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6AE31574">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4912BFC2">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79</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6197A243">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7803F561">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620BD912">
            <w:pPr>
              <w:pStyle w:val="27"/>
              <w:ind w:left="0" w:firstLine="0"/>
              <w:rPr>
                <w:rFonts w:ascii="宋体" w:hAnsi="宋体" w:cs="宋体"/>
                <w:sz w:val="21"/>
                <w:szCs w:val="21"/>
                <w:highlight w:val="none"/>
              </w:rPr>
            </w:pPr>
            <w:r>
              <w:rPr>
                <w:rFonts w:hint="eastAsia" w:ascii="宋体" w:hAnsi="宋体" w:cs="宋体"/>
                <w:sz w:val="21"/>
                <w:szCs w:val="21"/>
                <w:highlight w:val="none"/>
              </w:rPr>
              <w:t>多参数传感器</w:t>
            </w:r>
          </w:p>
        </w:tc>
        <w:tc>
          <w:tcPr>
            <w:tcW w:w="570" w:type="pct"/>
            <w:tcBorders>
              <w:top w:val="single" w:color="000000" w:sz="4" w:space="0"/>
              <w:left w:val="single" w:color="000000" w:sz="4" w:space="0"/>
              <w:bottom w:val="single" w:color="000000" w:sz="4" w:space="0"/>
              <w:right w:val="single" w:color="000000" w:sz="4" w:space="0"/>
            </w:tcBorders>
            <w:vAlign w:val="center"/>
          </w:tcPr>
          <w:p w14:paraId="09187B5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台</w:t>
            </w:r>
          </w:p>
        </w:tc>
        <w:tc>
          <w:tcPr>
            <w:tcW w:w="441" w:type="pct"/>
            <w:tcBorders>
              <w:top w:val="single" w:color="000000" w:sz="4" w:space="0"/>
              <w:left w:val="single" w:color="000000" w:sz="4" w:space="0"/>
              <w:bottom w:val="single" w:color="000000" w:sz="4" w:space="0"/>
              <w:right w:val="single" w:color="000000" w:sz="4" w:space="0"/>
            </w:tcBorders>
            <w:vAlign w:val="center"/>
          </w:tcPr>
          <w:p w14:paraId="2A77E57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3F4D618E">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358E082A">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80</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76211AB4">
            <w:pPr>
              <w:pStyle w:val="27"/>
              <w:ind w:left="0" w:firstLine="0"/>
              <w:jc w:val="center"/>
              <w:rPr>
                <w:rFonts w:ascii="宋体" w:hAnsi="宋体" w:cs="宋体"/>
                <w:sz w:val="21"/>
                <w:szCs w:val="21"/>
                <w:highlight w:val="none"/>
              </w:rPr>
            </w:pPr>
          </w:p>
        </w:tc>
        <w:tc>
          <w:tcPr>
            <w:tcW w:w="791" w:type="pct"/>
            <w:vMerge w:val="restart"/>
            <w:tcBorders>
              <w:top w:val="single" w:color="000000" w:sz="4" w:space="0"/>
              <w:left w:val="single" w:color="000000" w:sz="4" w:space="0"/>
              <w:bottom w:val="single" w:color="000000" w:sz="4" w:space="0"/>
              <w:right w:val="single" w:color="000000" w:sz="4" w:space="0"/>
            </w:tcBorders>
            <w:vAlign w:val="center"/>
          </w:tcPr>
          <w:p w14:paraId="643FD2EC">
            <w:pPr>
              <w:pStyle w:val="27"/>
              <w:ind w:left="0" w:firstLine="0"/>
              <w:rPr>
                <w:rFonts w:ascii="宋体" w:hAnsi="宋体" w:cs="宋体"/>
                <w:sz w:val="21"/>
                <w:szCs w:val="21"/>
                <w:highlight w:val="none"/>
              </w:rPr>
            </w:pPr>
            <w:r>
              <w:rPr>
                <w:rFonts w:hint="eastAsia" w:ascii="宋体" w:hAnsi="宋体" w:cs="宋体"/>
                <w:sz w:val="21"/>
                <w:szCs w:val="21"/>
                <w:highlight w:val="none"/>
              </w:rPr>
              <w:t>生态修复评估与预警监管系统</w:t>
            </w:r>
          </w:p>
        </w:tc>
        <w:tc>
          <w:tcPr>
            <w:tcW w:w="1817" w:type="pct"/>
            <w:tcBorders>
              <w:top w:val="single" w:color="000000" w:sz="4" w:space="0"/>
              <w:left w:val="single" w:color="000000" w:sz="4" w:space="0"/>
              <w:bottom w:val="single" w:color="000000" w:sz="4" w:space="0"/>
              <w:right w:val="single" w:color="000000" w:sz="4" w:space="0"/>
            </w:tcBorders>
            <w:vAlign w:val="center"/>
          </w:tcPr>
          <w:p w14:paraId="089856A1">
            <w:pPr>
              <w:pStyle w:val="27"/>
              <w:ind w:left="0" w:firstLine="0"/>
              <w:rPr>
                <w:rFonts w:ascii="宋体" w:hAnsi="宋体" w:cs="宋体"/>
                <w:sz w:val="21"/>
                <w:szCs w:val="21"/>
                <w:highlight w:val="none"/>
              </w:rPr>
            </w:pPr>
            <w:r>
              <w:rPr>
                <w:rFonts w:hint="eastAsia" w:ascii="宋体" w:hAnsi="宋体" w:cs="宋体"/>
                <w:sz w:val="21"/>
                <w:szCs w:val="21"/>
                <w:highlight w:val="none"/>
              </w:rPr>
              <w:t>生态环境状态评估系统</w:t>
            </w:r>
          </w:p>
        </w:tc>
        <w:tc>
          <w:tcPr>
            <w:tcW w:w="570" w:type="pct"/>
            <w:tcBorders>
              <w:top w:val="single" w:color="000000" w:sz="4" w:space="0"/>
              <w:left w:val="single" w:color="000000" w:sz="4" w:space="0"/>
              <w:bottom w:val="single" w:color="000000" w:sz="4" w:space="0"/>
              <w:right w:val="single" w:color="000000" w:sz="4" w:space="0"/>
            </w:tcBorders>
            <w:vAlign w:val="center"/>
          </w:tcPr>
          <w:p w14:paraId="666B9AB9">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55E9E17F">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bookmarkEnd w:id="128"/>
      <w:tr w14:paraId="60521249">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393BEB09">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81</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7AA66AE4">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680CC67B">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704E195D">
            <w:pPr>
              <w:pStyle w:val="27"/>
              <w:ind w:left="0" w:firstLine="0"/>
              <w:rPr>
                <w:rFonts w:ascii="宋体" w:hAnsi="宋体" w:cs="宋体"/>
                <w:sz w:val="21"/>
                <w:szCs w:val="21"/>
                <w:highlight w:val="none"/>
              </w:rPr>
            </w:pPr>
            <w:r>
              <w:rPr>
                <w:rFonts w:hint="eastAsia" w:ascii="宋体" w:hAnsi="宋体" w:cs="宋体"/>
                <w:sz w:val="21"/>
                <w:szCs w:val="21"/>
                <w:highlight w:val="none"/>
              </w:rPr>
              <w:t>生态灾害预测预警系统</w:t>
            </w:r>
          </w:p>
        </w:tc>
        <w:tc>
          <w:tcPr>
            <w:tcW w:w="570" w:type="pct"/>
            <w:tcBorders>
              <w:top w:val="single" w:color="000000" w:sz="4" w:space="0"/>
              <w:left w:val="single" w:color="000000" w:sz="4" w:space="0"/>
              <w:bottom w:val="single" w:color="000000" w:sz="4" w:space="0"/>
              <w:right w:val="single" w:color="000000" w:sz="4" w:space="0"/>
            </w:tcBorders>
            <w:vAlign w:val="center"/>
          </w:tcPr>
          <w:p w14:paraId="6D798C8A">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2EADCC6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65A29420">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631A4990">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82</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0BA63A07">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4ECE970D">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639368B2">
            <w:pPr>
              <w:pStyle w:val="27"/>
              <w:ind w:left="0" w:firstLine="0"/>
              <w:rPr>
                <w:rFonts w:ascii="宋体" w:hAnsi="宋体" w:cs="宋体"/>
                <w:sz w:val="21"/>
                <w:szCs w:val="21"/>
                <w:highlight w:val="none"/>
              </w:rPr>
            </w:pPr>
            <w:r>
              <w:rPr>
                <w:rFonts w:hint="eastAsia" w:ascii="宋体" w:hAnsi="宋体" w:cs="宋体"/>
                <w:sz w:val="21"/>
                <w:szCs w:val="21"/>
                <w:highlight w:val="none"/>
              </w:rPr>
              <w:t>海岸生态仿真可视化系统</w:t>
            </w:r>
          </w:p>
        </w:tc>
        <w:tc>
          <w:tcPr>
            <w:tcW w:w="570" w:type="pct"/>
            <w:tcBorders>
              <w:top w:val="single" w:color="000000" w:sz="4" w:space="0"/>
              <w:left w:val="single" w:color="000000" w:sz="4" w:space="0"/>
              <w:bottom w:val="single" w:color="000000" w:sz="4" w:space="0"/>
              <w:right w:val="single" w:color="000000" w:sz="4" w:space="0"/>
            </w:tcBorders>
            <w:vAlign w:val="center"/>
          </w:tcPr>
          <w:p w14:paraId="1EF59826">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4EA8B2A1">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r w14:paraId="0A896528">
        <w:tblPrEx>
          <w:tblCellMar>
            <w:top w:w="0" w:type="dxa"/>
            <w:left w:w="108" w:type="dxa"/>
            <w:bottom w:w="0" w:type="dxa"/>
            <w:right w:w="108" w:type="dxa"/>
          </w:tblCellMar>
        </w:tblPrEx>
        <w:trPr>
          <w:trHeight w:val="270" w:hRule="atLeast"/>
          <w:jc w:val="center"/>
        </w:trPr>
        <w:tc>
          <w:tcPr>
            <w:tcW w:w="621" w:type="pct"/>
            <w:tcBorders>
              <w:top w:val="single" w:color="000000" w:sz="4" w:space="0"/>
              <w:left w:val="single" w:color="000000" w:sz="4" w:space="0"/>
              <w:bottom w:val="single" w:color="000000" w:sz="4" w:space="0"/>
              <w:right w:val="single" w:color="000000" w:sz="4" w:space="0"/>
            </w:tcBorders>
            <w:vAlign w:val="center"/>
          </w:tcPr>
          <w:p w14:paraId="20B1B158">
            <w:pPr>
              <w:widowControl/>
              <w:jc w:val="center"/>
              <w:textAlignment w:val="center"/>
              <w:rPr>
                <w:rFonts w:ascii="宋体" w:hAnsi="宋体" w:cs="宋体"/>
                <w:szCs w:val="21"/>
                <w:highlight w:val="none"/>
              </w:rPr>
            </w:pPr>
            <w:r>
              <w:rPr>
                <w:rFonts w:hint="eastAsia" w:ascii="宋体" w:hAnsi="宋体" w:cs="宋体"/>
                <w:color w:val="000000"/>
                <w:kern w:val="0"/>
                <w:szCs w:val="21"/>
                <w:highlight w:val="none"/>
              </w:rPr>
              <w:t>83</w:t>
            </w:r>
          </w:p>
        </w:tc>
        <w:tc>
          <w:tcPr>
            <w:tcW w:w="757" w:type="pct"/>
            <w:vMerge w:val="continue"/>
            <w:tcBorders>
              <w:top w:val="single" w:color="000000" w:sz="4" w:space="0"/>
              <w:left w:val="single" w:color="000000" w:sz="4" w:space="0"/>
              <w:bottom w:val="single" w:color="000000" w:sz="4" w:space="0"/>
              <w:right w:val="single" w:color="000000" w:sz="4" w:space="0"/>
            </w:tcBorders>
            <w:vAlign w:val="center"/>
          </w:tcPr>
          <w:p w14:paraId="6E135EE4">
            <w:pPr>
              <w:pStyle w:val="27"/>
              <w:ind w:left="0" w:firstLine="0"/>
              <w:jc w:val="center"/>
              <w:rPr>
                <w:rFonts w:ascii="宋体" w:hAnsi="宋体" w:cs="宋体"/>
                <w:sz w:val="21"/>
                <w:szCs w:val="21"/>
                <w:highlight w:val="none"/>
              </w:rPr>
            </w:pPr>
          </w:p>
        </w:tc>
        <w:tc>
          <w:tcPr>
            <w:tcW w:w="791" w:type="pct"/>
            <w:vMerge w:val="continue"/>
            <w:tcBorders>
              <w:top w:val="single" w:color="000000" w:sz="4" w:space="0"/>
              <w:left w:val="single" w:color="000000" w:sz="4" w:space="0"/>
              <w:bottom w:val="single" w:color="000000" w:sz="4" w:space="0"/>
              <w:right w:val="single" w:color="000000" w:sz="4" w:space="0"/>
            </w:tcBorders>
            <w:vAlign w:val="center"/>
          </w:tcPr>
          <w:p w14:paraId="5D4A487E">
            <w:pPr>
              <w:pStyle w:val="27"/>
              <w:ind w:left="0" w:firstLine="0"/>
              <w:rPr>
                <w:rFonts w:ascii="宋体" w:hAnsi="宋体" w:cs="宋体"/>
                <w:sz w:val="21"/>
                <w:szCs w:val="21"/>
                <w:highlight w:val="none"/>
              </w:rPr>
            </w:pPr>
          </w:p>
        </w:tc>
        <w:tc>
          <w:tcPr>
            <w:tcW w:w="1817" w:type="pct"/>
            <w:tcBorders>
              <w:top w:val="single" w:color="000000" w:sz="4" w:space="0"/>
              <w:left w:val="single" w:color="000000" w:sz="4" w:space="0"/>
              <w:bottom w:val="single" w:color="000000" w:sz="4" w:space="0"/>
              <w:right w:val="single" w:color="000000" w:sz="4" w:space="0"/>
            </w:tcBorders>
            <w:vAlign w:val="center"/>
          </w:tcPr>
          <w:p w14:paraId="461DC4A2">
            <w:pPr>
              <w:pStyle w:val="27"/>
              <w:ind w:left="0" w:firstLine="0"/>
              <w:rPr>
                <w:rFonts w:ascii="宋体" w:hAnsi="宋体" w:cs="宋体"/>
                <w:sz w:val="21"/>
                <w:szCs w:val="21"/>
                <w:highlight w:val="none"/>
              </w:rPr>
            </w:pPr>
            <w:r>
              <w:rPr>
                <w:rFonts w:hint="eastAsia" w:ascii="宋体" w:hAnsi="宋体" w:cs="宋体"/>
                <w:sz w:val="21"/>
                <w:szCs w:val="21"/>
                <w:highlight w:val="none"/>
              </w:rPr>
              <w:t>设备智能运维管理系统</w:t>
            </w:r>
          </w:p>
        </w:tc>
        <w:tc>
          <w:tcPr>
            <w:tcW w:w="570" w:type="pct"/>
            <w:tcBorders>
              <w:top w:val="single" w:color="000000" w:sz="4" w:space="0"/>
              <w:left w:val="single" w:color="000000" w:sz="4" w:space="0"/>
              <w:bottom w:val="single" w:color="000000" w:sz="4" w:space="0"/>
              <w:right w:val="single" w:color="000000" w:sz="4" w:space="0"/>
            </w:tcBorders>
            <w:vAlign w:val="center"/>
          </w:tcPr>
          <w:p w14:paraId="47873DD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套</w:t>
            </w:r>
          </w:p>
        </w:tc>
        <w:tc>
          <w:tcPr>
            <w:tcW w:w="441" w:type="pct"/>
            <w:tcBorders>
              <w:top w:val="single" w:color="000000" w:sz="4" w:space="0"/>
              <w:left w:val="single" w:color="000000" w:sz="4" w:space="0"/>
              <w:bottom w:val="single" w:color="000000" w:sz="4" w:space="0"/>
              <w:right w:val="single" w:color="000000" w:sz="4" w:space="0"/>
            </w:tcBorders>
            <w:vAlign w:val="center"/>
          </w:tcPr>
          <w:p w14:paraId="118F8CC2">
            <w:pPr>
              <w:pStyle w:val="27"/>
              <w:ind w:left="0" w:firstLine="0"/>
              <w:jc w:val="center"/>
              <w:rPr>
                <w:rFonts w:ascii="宋体" w:hAnsi="宋体" w:cs="宋体"/>
                <w:sz w:val="21"/>
                <w:szCs w:val="21"/>
                <w:highlight w:val="none"/>
              </w:rPr>
            </w:pPr>
            <w:r>
              <w:rPr>
                <w:rFonts w:hint="eastAsia" w:ascii="宋体" w:hAnsi="宋体" w:cs="宋体"/>
                <w:sz w:val="21"/>
                <w:szCs w:val="21"/>
                <w:highlight w:val="none"/>
              </w:rPr>
              <w:t>1</w:t>
            </w:r>
          </w:p>
        </w:tc>
      </w:tr>
    </w:tbl>
    <w:p w14:paraId="7813AC2C">
      <w:pPr>
        <w:pStyle w:val="4"/>
        <w:keepNext w:val="0"/>
        <w:keepLines w:val="0"/>
        <w:adjustRightInd w:val="0"/>
        <w:snapToGrid w:val="0"/>
        <w:textAlignment w:val="baseline"/>
        <w:rPr>
          <w:rFonts w:ascii="新宋体" w:hAnsi="新宋体" w:eastAsia="新宋体" w:cs="新宋体"/>
          <w:sz w:val="24"/>
          <w:szCs w:val="24"/>
          <w:highlight w:val="none"/>
        </w:rPr>
      </w:pPr>
    </w:p>
    <w:p w14:paraId="40F6D661">
      <w:pPr>
        <w:pStyle w:val="4"/>
        <w:keepNext w:val="0"/>
        <w:keepLines w:val="0"/>
        <w:adjustRightInd w:val="0"/>
        <w:snapToGrid w:val="0"/>
        <w:textAlignment w:val="baseline"/>
        <w:rPr>
          <w:rFonts w:ascii="新宋体" w:hAnsi="新宋体" w:eastAsia="新宋体" w:cs="新宋体"/>
          <w:sz w:val="24"/>
          <w:szCs w:val="24"/>
          <w:highlight w:val="none"/>
        </w:rPr>
      </w:pPr>
      <w:bookmarkStart w:id="129" w:name="_Toc26357"/>
      <w:bookmarkStart w:id="130" w:name="_Toc14439"/>
      <w:r>
        <w:rPr>
          <w:rFonts w:hint="eastAsia" w:ascii="新宋体" w:hAnsi="新宋体" w:eastAsia="新宋体" w:cs="新宋体"/>
          <w:sz w:val="24"/>
          <w:szCs w:val="24"/>
          <w:highlight w:val="none"/>
        </w:rPr>
        <w:t>7、</w:t>
      </w:r>
      <w:bookmarkStart w:id="131" w:name="OLE_LINK6"/>
      <w:r>
        <w:rPr>
          <w:rFonts w:hint="eastAsia" w:ascii="新宋体" w:hAnsi="新宋体" w:eastAsia="新宋体" w:cs="新宋体"/>
          <w:sz w:val="24"/>
          <w:szCs w:val="24"/>
          <w:highlight w:val="none"/>
        </w:rPr>
        <w:t>长效管护能力建设</w:t>
      </w:r>
      <w:bookmarkEnd w:id="131"/>
      <w:r>
        <w:rPr>
          <w:rFonts w:hint="eastAsia" w:ascii="新宋体" w:hAnsi="新宋体" w:eastAsia="新宋体" w:cs="新宋体"/>
          <w:sz w:val="24"/>
          <w:szCs w:val="24"/>
          <w:highlight w:val="none"/>
        </w:rPr>
        <w:t>考核指标</w:t>
      </w:r>
      <w:bookmarkEnd w:id="129"/>
    </w:p>
    <w:p w14:paraId="713B0AF4">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基于上述设备采购、系统集成及功能开发等工作，完成大辽河口长效能力建设、民兴河长效能力建设、团山长效能力建设、月亮湾长效能力建设以及生态监测预警与修复管理平台的建设内容，并形成包括设备（系统）以及</w:t>
      </w:r>
      <w:bookmarkStart w:id="132" w:name="OLE_LINK7"/>
      <w:r>
        <w:rPr>
          <w:rFonts w:hint="eastAsia" w:ascii="宋体" w:hAnsi="宋体" w:cs="宋体"/>
          <w:sz w:val="24"/>
          <w:szCs w:val="24"/>
          <w:highlight w:val="none"/>
        </w:rPr>
        <w:t>能力（监测及预警能力）的考核指标</w:t>
      </w:r>
      <w:bookmarkEnd w:id="132"/>
      <w:r>
        <w:rPr>
          <w:rFonts w:hint="eastAsia" w:ascii="宋体" w:hAnsi="宋体" w:cs="宋体"/>
          <w:sz w:val="24"/>
          <w:szCs w:val="24"/>
          <w:highlight w:val="none"/>
        </w:rPr>
        <w:t>，具体如下：</w:t>
      </w:r>
    </w:p>
    <w:p w14:paraId="0317ACB7">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通过长效管护能力建设，完成以下设备（系统）建设的考核要求：</w:t>
      </w:r>
    </w:p>
    <w:p w14:paraId="05D84D64">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1、海基水动力监测系统3套；（大辽河、团山、月亮湾）</w:t>
      </w:r>
    </w:p>
    <w:p w14:paraId="2615B3E1">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2、岸基水动力监测系统2套；（大辽河、民兴河）</w:t>
      </w:r>
    </w:p>
    <w:p w14:paraId="0CEC9DA0">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3、岸基水质监测系统3套；（大辽河、月亮湾2）</w:t>
      </w:r>
    </w:p>
    <w:p w14:paraId="6B337A5C">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4、生态数字影像站8套；（大辽河6、团山2）</w:t>
      </w:r>
    </w:p>
    <w:p w14:paraId="08948B92">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5、沙滩视频观测系统1套；（团山）</w:t>
      </w:r>
    </w:p>
    <w:p w14:paraId="2A59A412">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6、监测无人机、无人船系统1套；</w:t>
      </w:r>
    </w:p>
    <w:p w14:paraId="7FC69F47">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7、生态修复评估与预警监管系统1套。</w:t>
      </w:r>
    </w:p>
    <w:p w14:paraId="69153BE1">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基于上述设备布设、系统开发以及数据分析，完成以下能力（监测及预警功能）建设的考核要求：</w:t>
      </w:r>
    </w:p>
    <w:p w14:paraId="52088E40">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1、实现大辽河口流量、潮位、波浪三维水动力过程的观测、模拟及预测，实现大辽河口极端海况事件的风险预警；</w:t>
      </w:r>
    </w:p>
    <w:p w14:paraId="08506967">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2、实现大辽河口水质状况在线观测，实现大辽河口水质变化趋势预测，实现大辽河口盐沼植被生长过程在线监测分析；</w:t>
      </w:r>
    </w:p>
    <w:p w14:paraId="52E6C591">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3、实现民兴河口流量及潮流在线观测分析，实现民兴河口冲淤变化的趋势预测；</w:t>
      </w:r>
    </w:p>
    <w:p w14:paraId="620B54FF">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4、实现团山区域潮流、波浪过程的观测、模拟及预测，实现团山极端波浪过程的预测；</w:t>
      </w:r>
    </w:p>
    <w:p w14:paraId="224972C4">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5、实现团山地形地貌演化过程的在线观测分析，实现团山岸滩极端冲淤过程的风险预警；</w:t>
      </w:r>
    </w:p>
    <w:p w14:paraId="7A3F201B">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6、实现月亮湾海域水动力过程的观测、模拟及预测，实现月亮湾内水质状况的在线观测分析，实现月亮湾内水质变化趋势预测。</w:t>
      </w:r>
    </w:p>
    <w:p w14:paraId="44A53A28">
      <w:pPr>
        <w:pStyle w:val="4"/>
        <w:keepNext w:val="0"/>
        <w:keepLines w:val="0"/>
        <w:adjustRightInd w:val="0"/>
        <w:snapToGrid w:val="0"/>
        <w:ind w:firstLine="480" w:firstLineChars="200"/>
        <w:textAlignment w:val="baseline"/>
        <w:rPr>
          <w:rFonts w:ascii="微软雅黑" w:hAnsi="微软雅黑" w:eastAsia="微软雅黑" w:cs="微软雅黑"/>
          <w:sz w:val="24"/>
          <w:szCs w:val="24"/>
          <w:highlight w:val="none"/>
        </w:rPr>
      </w:pPr>
      <w:bookmarkStart w:id="133" w:name="_Toc29029"/>
      <w:r>
        <w:rPr>
          <w:rFonts w:hint="eastAsia" w:ascii="宋体" w:hAnsi="宋体" w:eastAsia="宋体" w:cs="宋体"/>
          <w:b w:val="0"/>
          <w:bCs w:val="0"/>
          <w:sz w:val="24"/>
          <w:szCs w:val="24"/>
          <w:highlight w:val="none"/>
        </w:rPr>
        <w:t>通过上述能力建设，可保障修复区生态系统管护以及风险防范工作，支撑修复后植被管护工作开展，保障修复区沙滩日常维护的方案制定，支撑月亮湾浒苔长期防控工作。</w:t>
      </w:r>
      <w:bookmarkEnd w:id="133"/>
    </w:p>
    <w:p w14:paraId="159228B1">
      <w:pPr>
        <w:pStyle w:val="4"/>
        <w:keepNext w:val="0"/>
        <w:keepLines w:val="0"/>
        <w:adjustRightInd w:val="0"/>
        <w:snapToGrid w:val="0"/>
        <w:textAlignment w:val="baseline"/>
        <w:rPr>
          <w:rFonts w:ascii="微软雅黑" w:hAnsi="微软雅黑" w:eastAsia="微软雅黑" w:cs="微软雅黑"/>
          <w:sz w:val="24"/>
          <w:szCs w:val="24"/>
          <w:highlight w:val="none"/>
        </w:rPr>
      </w:pPr>
    </w:p>
    <w:p w14:paraId="75A857C8">
      <w:pPr>
        <w:pStyle w:val="4"/>
        <w:keepNext w:val="0"/>
        <w:keepLines w:val="0"/>
        <w:adjustRightInd w:val="0"/>
        <w:snapToGrid w:val="0"/>
        <w:textAlignment w:val="baseline"/>
        <w:rPr>
          <w:rFonts w:ascii="微软雅黑" w:hAnsi="微软雅黑" w:eastAsia="微软雅黑" w:cs="微软雅黑"/>
          <w:sz w:val="24"/>
          <w:szCs w:val="24"/>
          <w:highlight w:val="none"/>
        </w:rPr>
      </w:pPr>
    </w:p>
    <w:p w14:paraId="28923E66">
      <w:pPr>
        <w:pStyle w:val="4"/>
        <w:keepNext w:val="0"/>
        <w:keepLines w:val="0"/>
        <w:adjustRightInd w:val="0"/>
        <w:snapToGrid w:val="0"/>
        <w:textAlignment w:val="baseline"/>
        <w:rPr>
          <w:rFonts w:ascii="微软雅黑" w:hAnsi="微软雅黑" w:eastAsia="微软雅黑" w:cs="微软雅黑"/>
          <w:sz w:val="24"/>
          <w:szCs w:val="24"/>
          <w:highlight w:val="none"/>
        </w:rPr>
      </w:pPr>
    </w:p>
    <w:p w14:paraId="1ABDD6D8">
      <w:pPr>
        <w:pStyle w:val="4"/>
        <w:keepNext w:val="0"/>
        <w:keepLines w:val="0"/>
        <w:adjustRightInd w:val="0"/>
        <w:snapToGrid w:val="0"/>
        <w:textAlignment w:val="baseline"/>
        <w:rPr>
          <w:rFonts w:ascii="微软雅黑" w:hAnsi="微软雅黑" w:eastAsia="微软雅黑" w:cs="微软雅黑"/>
          <w:sz w:val="24"/>
          <w:szCs w:val="24"/>
          <w:highlight w:val="none"/>
        </w:rPr>
      </w:pPr>
    </w:p>
    <w:p w14:paraId="2B5F5B6C">
      <w:pPr>
        <w:pStyle w:val="4"/>
        <w:keepNext w:val="0"/>
        <w:keepLines w:val="0"/>
        <w:adjustRightInd w:val="0"/>
        <w:snapToGrid w:val="0"/>
        <w:textAlignment w:val="baseline"/>
        <w:rPr>
          <w:rFonts w:ascii="微软雅黑" w:hAnsi="微软雅黑" w:eastAsia="微软雅黑" w:cs="微软雅黑"/>
          <w:sz w:val="24"/>
          <w:szCs w:val="24"/>
          <w:highlight w:val="none"/>
        </w:rPr>
      </w:pPr>
    </w:p>
    <w:p w14:paraId="4F074688">
      <w:pPr>
        <w:pStyle w:val="4"/>
        <w:keepNext w:val="0"/>
        <w:keepLines w:val="0"/>
        <w:adjustRightInd w:val="0"/>
        <w:snapToGrid w:val="0"/>
        <w:textAlignment w:val="baseline"/>
        <w:rPr>
          <w:rFonts w:ascii="新宋体" w:hAnsi="新宋体" w:eastAsia="新宋体" w:cs="新宋体"/>
          <w:sz w:val="24"/>
          <w:szCs w:val="24"/>
          <w:highlight w:val="none"/>
        </w:rPr>
      </w:pPr>
      <w:bookmarkStart w:id="134" w:name="_Toc10955"/>
      <w:r>
        <w:rPr>
          <w:rFonts w:hint="eastAsia" w:ascii="微软雅黑" w:hAnsi="微软雅黑" w:eastAsia="微软雅黑" w:cs="微软雅黑"/>
          <w:sz w:val="24"/>
          <w:szCs w:val="24"/>
          <w:highlight w:val="none"/>
        </w:rPr>
        <w:t>Ⅱ</w:t>
      </w:r>
      <w:r>
        <w:rPr>
          <w:rFonts w:hint="eastAsia" w:ascii="新宋体" w:hAnsi="新宋体" w:eastAsia="新宋体" w:cs="新宋体"/>
          <w:sz w:val="24"/>
          <w:szCs w:val="24"/>
          <w:highlight w:val="none"/>
        </w:rPr>
        <w:t>浒苔处置监测预报服务</w:t>
      </w:r>
      <w:bookmarkEnd w:id="134"/>
    </w:p>
    <w:p w14:paraId="7061240E">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本工程计划采用的监测手段主要有：卫星遥感监测、海洋水文监测、水体环境监测、海洋生物监测。</w:t>
      </w:r>
    </w:p>
    <w:p w14:paraId="3CB9E66E">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（一）遥感监测</w:t>
      </w:r>
    </w:p>
    <w:p w14:paraId="7424DDBE">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1）监测内容</w:t>
      </w:r>
    </w:p>
    <w:p w14:paraId="21522CFF">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借助遥感监测方式对浒苔的生长进行较大面积、24h不间断的精确监控。利用传统技术与遥感技术的结合，更加准确地掌握月亮湾内浒苔爆发的区域、范围及漂移路线等相关信息，预测浒苔登陆的时间、地点以及登陆数量。为打捞处理提供足够的准备时间，提高浒苔打捞工作的针对性。</w:t>
      </w:r>
    </w:p>
    <w:p w14:paraId="70F05844">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2）监测方式</w:t>
      </w:r>
    </w:p>
    <w:p w14:paraId="425FBA7C">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对于大面监测采用卫星遥感监测数据进行分析，对于月亮湾内浒苔爆发范围则主要采用无人机正射摄影，以支撑高频次监测。</w:t>
      </w:r>
    </w:p>
    <w:p w14:paraId="4A3CD497">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3）监测频次</w:t>
      </w:r>
    </w:p>
    <w:p w14:paraId="5EF2E692">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根据浒苔绿潮发展的一般规律，重点对浒苔爆发集中的7～9月进行监测，监测频率为每月监测2次，单次月亮内遥感监测面积为12km2，每年监测大约6次，合计监测面积72km2，完成无人机正射遥感后，开展数字正射影像（DOM）的制作，以及浒苔范围的解译。</w:t>
      </w:r>
    </w:p>
    <w:p w14:paraId="03667CA1">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（二）海洋水文监测</w:t>
      </w:r>
    </w:p>
    <w:p w14:paraId="55F9F638">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1）监测内容</w:t>
      </w:r>
    </w:p>
    <w:p w14:paraId="7E32478B">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针对浒苔生长和影响浒苔的水质情况分析，开展两方面的水文监测，一是针对气温、气压、风速、风向等气象信息开展监测，另一方面针对潮位变化的水文信息进行监测。其变化可有效的反应湾内水体的运动情况、并可以此为基础对水质、生物生长情况进行预测。</w:t>
      </w:r>
    </w:p>
    <w:p w14:paraId="45F937C3">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这些要素的变化反映了海洋环境的复杂性和动态性，对于理解海洋现象、预测海洋灾害以及评估海洋资源潜力具有重要作用。</w:t>
      </w:r>
    </w:p>
    <w:p w14:paraId="6AE61A65">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2）监测方式</w:t>
      </w:r>
    </w:p>
    <w:p w14:paraId="1D654077">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海洋水文监测的方式主要包括以下几种：</w:t>
      </w:r>
    </w:p>
    <w:p w14:paraId="70C97945">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a.大面观测：在调查海区布设若干观测站，每隔一定时间（如一个月或一个季度）在各观测站进行一次观测。这种方式可以获取海区整体的水文状况。</w:t>
      </w:r>
    </w:p>
    <w:p w14:paraId="07228D6F">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b.断面观测：在调查海区布设几条有代表性的观测断面，每个断面上设置若干观测站，每隔一定时间在各观测断面上进行巡回观测。这种方式有助于了解水文要素在特定方向上的分布和变化。</w:t>
      </w:r>
    </w:p>
    <w:p w14:paraId="1135BE7E">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c.连续观测：在调查海区布设若干有代表性的观测站，按任务要求在每一观测站上进行一昼夜以上的连续观测。这种方式可以获取水文要素的连续变化数据，对于分析海洋现象的成因和机制具有重要意义。</w:t>
      </w:r>
    </w:p>
    <w:p w14:paraId="22CAEF5F">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d.同步观测：在同一时间对多个水文参数进行观测。这种观测方式可以获取水文参数在空间上的分布情况，以及不同参数之间的相互关系。</w:t>
      </w:r>
    </w:p>
    <w:p w14:paraId="7F97E52F">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e.走航观测：沿着一定的航线对水文参数进行观测。这种观测方式可以获取水文参数在时间上的变化情况，以及不同参数之间的动态关系。</w:t>
      </w:r>
    </w:p>
    <w:p w14:paraId="0B394644">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此前，对月亮湾水域的水文情况已有一部分的掌握，因此采用大面观测方式，仅对部分重要区域布设站点，通过收集海洋水文信息，可对月亮湾整体水文情况进行预测。</w:t>
      </w:r>
    </w:p>
    <w:p w14:paraId="1EAE39D6">
      <w:pPr>
        <w:autoSpaceDE w:val="0"/>
        <w:autoSpaceDN w:val="0"/>
        <w:adjustRightInd w:val="0"/>
        <w:spacing w:line="360" w:lineRule="auto"/>
        <w:ind w:firstLine="480" w:firstLineChars="200"/>
        <w:jc w:val="left"/>
        <w:rPr>
          <w:rFonts w:ascii="宋体" w:hAnsi="宋体"/>
          <w:sz w:val="24"/>
          <w:highlight w:val="none"/>
        </w:rPr>
      </w:pPr>
      <w:r>
        <w:rPr>
          <w:rFonts w:hint="eastAsia" w:ascii="宋体" w:hAnsi="宋体"/>
          <w:sz w:val="24"/>
          <w:highlight w:val="none"/>
        </w:rPr>
        <w:t>3）站点布置</w:t>
      </w:r>
    </w:p>
    <w:p w14:paraId="53505AE7">
      <w:pPr>
        <w:autoSpaceDE w:val="0"/>
        <w:autoSpaceDN w:val="0"/>
        <w:adjustRightInd w:val="0"/>
        <w:spacing w:line="360" w:lineRule="auto"/>
        <w:ind w:firstLine="480" w:firstLineChars="200"/>
        <w:rPr>
          <w:rFonts w:ascii="宋体" w:hAnsi="宋体"/>
          <w:sz w:val="24"/>
          <w:highlight w:val="none"/>
        </w:rPr>
      </w:pPr>
      <w:r>
        <w:rPr>
          <w:rFonts w:hint="eastAsia" w:ascii="宋体" w:hAnsi="宋体"/>
          <w:sz w:val="24"/>
          <w:highlight w:val="none"/>
        </w:rPr>
        <w:t>根据月亮湾形态及此前浒苔爆发的情况，本次拟计划布置气象站位1个、潮位监测站位1个，对月亮湾内水文信息进行监测，具体点位初步选择下图位置：</w:t>
      </w:r>
    </w:p>
    <w:p w14:paraId="44A617F3">
      <w:pPr>
        <w:autoSpaceDE w:val="0"/>
        <w:autoSpaceDN w:val="0"/>
        <w:adjustRightInd w:val="0"/>
        <w:spacing w:line="360" w:lineRule="auto"/>
        <w:jc w:val="center"/>
        <w:rPr>
          <w:rFonts w:ascii="宋体" w:hAnsi="宋体"/>
          <w:sz w:val="24"/>
          <w:highlight w:val="none"/>
        </w:rPr>
      </w:pPr>
      <w:r>
        <w:rPr>
          <w:highlight w:val="none"/>
        </w:rPr>
        <w:drawing>
          <wp:inline distT="0" distB="0" distL="114300" distR="114300">
            <wp:extent cx="5274310" cy="40487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cstate="print"/>
                    <a:stretch>
                      <a:fillRect/>
                    </a:stretch>
                  </pic:blipFill>
                  <pic:spPr>
                    <a:xfrm>
                      <a:off x="0" y="0"/>
                      <a:ext cx="5274310" cy="4048760"/>
                    </a:xfrm>
                    <a:prstGeom prst="rect">
                      <a:avLst/>
                    </a:prstGeom>
                    <a:noFill/>
                    <a:ln>
                      <a:noFill/>
                    </a:ln>
                  </pic:spPr>
                </pic:pic>
              </a:graphicData>
            </a:graphic>
          </wp:inline>
        </w:drawing>
      </w:r>
    </w:p>
    <w:p w14:paraId="19125CF9">
      <w:pPr>
        <w:spacing w:line="360" w:lineRule="auto"/>
        <w:ind w:firstLine="482" w:firstLineChars="200"/>
        <w:jc w:val="center"/>
        <w:rPr>
          <w:rFonts w:ascii="宋体" w:hAnsi="宋体"/>
          <w:b/>
          <w:bCs/>
          <w:sz w:val="24"/>
          <w:highlight w:val="none"/>
        </w:rPr>
      </w:pPr>
      <w:r>
        <w:rPr>
          <w:rFonts w:hint="eastAsia" w:ascii="黑体" w:hAnsi="黑体" w:eastAsia="黑体" w:cs="仿宋"/>
          <w:b/>
          <w:kern w:val="0"/>
          <w:sz w:val="24"/>
          <w:szCs w:val="24"/>
          <w:highlight w:val="none"/>
        </w:rPr>
        <w:t>图3  月亮湾水文监测站点布置图</w:t>
      </w:r>
    </w:p>
    <w:p w14:paraId="60EF528A">
      <w:pPr>
        <w:spacing w:line="360" w:lineRule="auto"/>
        <w:ind w:firstLine="480" w:firstLineChars="200"/>
        <w:rPr>
          <w:rFonts w:ascii="宋体" w:hAnsi="宋体"/>
          <w:sz w:val="24"/>
          <w:highlight w:val="none"/>
        </w:rPr>
      </w:pPr>
      <w:r>
        <w:rPr>
          <w:rFonts w:hint="eastAsia" w:ascii="宋体" w:hAnsi="宋体"/>
          <w:sz w:val="24"/>
          <w:highlight w:val="none"/>
        </w:rPr>
        <w:t>4）监测频次</w:t>
      </w:r>
    </w:p>
    <w:p w14:paraId="7E761C33">
      <w:pPr>
        <w:spacing w:line="360" w:lineRule="auto"/>
        <w:ind w:firstLine="480" w:firstLineChars="200"/>
        <w:rPr>
          <w:rFonts w:ascii="宋体" w:hAnsi="宋体"/>
          <w:sz w:val="24"/>
          <w:highlight w:val="none"/>
        </w:rPr>
      </w:pPr>
      <w:r>
        <w:rPr>
          <w:rFonts w:hint="eastAsia" w:ascii="宋体" w:hAnsi="宋体"/>
          <w:sz w:val="24"/>
          <w:highlight w:val="none"/>
        </w:rPr>
        <w:t>根据浒苔绿潮发展的一般规律，重点对浒苔爆发集中的7～9月进行连续监测，每年的监测时长为3个月，气象及潮位监测各设置1个站位，监测频次为每10分钟一次。</w:t>
      </w:r>
    </w:p>
    <w:p w14:paraId="6F96ABE5">
      <w:pPr>
        <w:spacing w:line="360" w:lineRule="auto"/>
        <w:ind w:firstLine="480" w:firstLineChars="200"/>
        <w:rPr>
          <w:rFonts w:ascii="宋体" w:hAnsi="宋体"/>
          <w:sz w:val="24"/>
          <w:highlight w:val="none"/>
        </w:rPr>
      </w:pPr>
      <w:r>
        <w:rPr>
          <w:rFonts w:hint="eastAsia" w:ascii="宋体" w:hAnsi="宋体"/>
          <w:sz w:val="24"/>
          <w:highlight w:val="none"/>
        </w:rPr>
        <w:t>（三）环境监测</w:t>
      </w:r>
    </w:p>
    <w:p w14:paraId="7C46F3E1">
      <w:pPr>
        <w:spacing w:line="360" w:lineRule="auto"/>
        <w:ind w:firstLine="480" w:firstLineChars="200"/>
        <w:rPr>
          <w:rFonts w:ascii="宋体" w:hAnsi="宋体"/>
          <w:sz w:val="24"/>
          <w:highlight w:val="none"/>
        </w:rPr>
      </w:pPr>
      <w:r>
        <w:rPr>
          <w:rFonts w:hint="eastAsia" w:ascii="宋体" w:hAnsi="宋体"/>
          <w:sz w:val="24"/>
          <w:highlight w:val="none"/>
        </w:rPr>
        <w:t>1）监测内容</w:t>
      </w:r>
    </w:p>
    <w:p w14:paraId="381D1DC9">
      <w:pPr>
        <w:spacing w:line="360" w:lineRule="auto"/>
        <w:ind w:firstLine="480" w:firstLineChars="200"/>
        <w:rPr>
          <w:rFonts w:ascii="宋体" w:hAnsi="宋体"/>
          <w:sz w:val="24"/>
          <w:highlight w:val="none"/>
        </w:rPr>
      </w:pPr>
      <w:r>
        <w:rPr>
          <w:rFonts w:hint="eastAsia" w:ascii="宋体" w:hAnsi="宋体"/>
          <w:sz w:val="24"/>
          <w:highlight w:val="none"/>
        </w:rPr>
        <w:t>环境监测，是通过运用物理、化学及生物的技术手段，对水体中的污染物及其相关组成成分进行定性、定量和系统的综合分析，以探索研究水环境质量的变化规律。</w:t>
      </w:r>
    </w:p>
    <w:p w14:paraId="09CC3DAE">
      <w:pPr>
        <w:spacing w:line="360" w:lineRule="auto"/>
        <w:ind w:firstLine="480" w:firstLineChars="200"/>
        <w:rPr>
          <w:rFonts w:ascii="宋体" w:hAnsi="宋体"/>
          <w:sz w:val="24"/>
          <w:highlight w:val="none"/>
        </w:rPr>
      </w:pPr>
      <w:r>
        <w:rPr>
          <w:rFonts w:hint="eastAsia" w:ascii="宋体" w:hAnsi="宋体"/>
          <w:sz w:val="24"/>
          <w:highlight w:val="none"/>
        </w:rPr>
        <w:t>为了解浒苔爆发成因，环境监测包括两方面内容，一是针对月亮湾内水质状况开展监测，另一方面是针对月亮湾内的沉积物状况进行检测，水质监测指标包括：pH、盐度、溶解氧、化学需氧量、活性磷酸盐、活性硅酸盐、亚硝酸盐、硝酸盐、氨氮、总磷、总氮、叶绿素等，沉积物监测指标包括：有机碳、硫化物、石油类、重金属（铜、铅、锌、镉、总铬、汞、砷）等环境信息进行监测。其浓度及其变化对浒苔生长和爆发有着至关重要的影响。</w:t>
      </w:r>
    </w:p>
    <w:p w14:paraId="4434235D">
      <w:pPr>
        <w:spacing w:line="360" w:lineRule="auto"/>
        <w:ind w:firstLine="480" w:firstLineChars="200"/>
        <w:rPr>
          <w:rFonts w:ascii="宋体" w:hAnsi="宋体"/>
          <w:sz w:val="24"/>
          <w:highlight w:val="none"/>
        </w:rPr>
      </w:pPr>
      <w:r>
        <w:rPr>
          <w:rFonts w:hint="eastAsia" w:ascii="宋体" w:hAnsi="宋体"/>
          <w:sz w:val="24"/>
          <w:highlight w:val="none"/>
        </w:rPr>
        <w:t>2）监测方式</w:t>
      </w:r>
    </w:p>
    <w:p w14:paraId="0E022C5A">
      <w:pPr>
        <w:spacing w:line="360" w:lineRule="auto"/>
        <w:ind w:firstLine="480" w:firstLineChars="200"/>
        <w:rPr>
          <w:rFonts w:ascii="宋体" w:hAnsi="宋体"/>
          <w:sz w:val="24"/>
          <w:highlight w:val="none"/>
        </w:rPr>
      </w:pPr>
      <w:r>
        <w:rPr>
          <w:rFonts w:hint="eastAsia" w:ascii="宋体" w:hAnsi="宋体"/>
          <w:sz w:val="24"/>
          <w:highlight w:val="none"/>
        </w:rPr>
        <w:t>海洋环境监测的程序一般包括监测区域的水环境情况调查分析、监测点位的布设、样品的采集与保存、实验室分析测试、数据处理与结果评价等步骤。</w:t>
      </w:r>
    </w:p>
    <w:p w14:paraId="261FE0CD">
      <w:pPr>
        <w:spacing w:line="360" w:lineRule="auto"/>
        <w:ind w:firstLine="480" w:firstLineChars="200"/>
        <w:rPr>
          <w:rFonts w:ascii="宋体" w:hAnsi="宋体"/>
          <w:sz w:val="24"/>
          <w:highlight w:val="none"/>
        </w:rPr>
      </w:pPr>
      <w:r>
        <w:rPr>
          <w:rFonts w:hint="eastAsia" w:ascii="宋体" w:hAnsi="宋体"/>
          <w:sz w:val="24"/>
          <w:highlight w:val="none"/>
        </w:rPr>
        <w:t>方法主要通过采用物理、化学和生物等多种技术手段进行监测。物理法：如密度计法、电导率仪法和声速仪法等，通过测量液体的某种特性参数的变化，判断被测液体的种类及质量。化学法：如酸碱滴定法、络合滴定法和氧化还原滴定法等，利用化学反应原理，通过测定溶液中某些组分的含量来判断被测液体的种类及质量。</w:t>
      </w:r>
    </w:p>
    <w:p w14:paraId="7EA4E13F">
      <w:pPr>
        <w:spacing w:line="360" w:lineRule="auto"/>
        <w:ind w:firstLine="480" w:firstLineChars="200"/>
        <w:rPr>
          <w:rFonts w:ascii="宋体" w:hAnsi="宋体"/>
          <w:sz w:val="24"/>
          <w:highlight w:val="none"/>
        </w:rPr>
      </w:pPr>
      <w:r>
        <w:rPr>
          <w:rFonts w:hint="eastAsia" w:ascii="宋体" w:hAnsi="宋体"/>
          <w:sz w:val="24"/>
          <w:highlight w:val="none"/>
        </w:rPr>
        <w:t>3）站点布置</w:t>
      </w:r>
    </w:p>
    <w:p w14:paraId="6F81947A">
      <w:pPr>
        <w:spacing w:line="360" w:lineRule="auto"/>
        <w:ind w:firstLine="480" w:firstLineChars="200"/>
        <w:rPr>
          <w:rFonts w:ascii="宋体" w:hAnsi="宋体"/>
          <w:sz w:val="24"/>
          <w:highlight w:val="none"/>
        </w:rPr>
      </w:pPr>
      <w:r>
        <w:rPr>
          <w:rFonts w:hint="eastAsia" w:ascii="宋体" w:hAnsi="宋体"/>
          <w:sz w:val="24"/>
          <w:highlight w:val="none"/>
        </w:rPr>
        <w:t>根据月亮湾形态及此前浒苔爆发的情况，本次布置4个点位，其中海水水质及海洋沉积物的布置站位保持一致，见图4。</w:t>
      </w:r>
    </w:p>
    <w:p w14:paraId="75F0CFB9">
      <w:pPr>
        <w:pStyle w:val="27"/>
        <w:ind w:left="0" w:firstLine="0"/>
        <w:jc w:val="center"/>
        <w:rPr>
          <w:highlight w:val="none"/>
        </w:rPr>
      </w:pPr>
      <w:r>
        <w:rPr>
          <w:highlight w:val="none"/>
        </w:rPr>
        <w:drawing>
          <wp:inline distT="0" distB="0" distL="114300" distR="114300">
            <wp:extent cx="5219700" cy="38417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cstate="print"/>
                    <a:stretch>
                      <a:fillRect/>
                    </a:stretch>
                  </pic:blipFill>
                  <pic:spPr>
                    <a:xfrm>
                      <a:off x="0" y="0"/>
                      <a:ext cx="5219700" cy="3841750"/>
                    </a:xfrm>
                    <a:prstGeom prst="rect">
                      <a:avLst/>
                    </a:prstGeom>
                    <a:noFill/>
                    <a:ln>
                      <a:noFill/>
                    </a:ln>
                  </pic:spPr>
                </pic:pic>
              </a:graphicData>
            </a:graphic>
          </wp:inline>
        </w:drawing>
      </w:r>
    </w:p>
    <w:p w14:paraId="3A149D74">
      <w:pPr>
        <w:spacing w:line="360" w:lineRule="auto"/>
        <w:ind w:firstLine="482" w:firstLineChars="200"/>
        <w:jc w:val="center"/>
        <w:rPr>
          <w:rFonts w:ascii="宋体" w:hAnsi="宋体"/>
          <w:b/>
          <w:bCs/>
          <w:sz w:val="24"/>
          <w:highlight w:val="none"/>
        </w:rPr>
      </w:pPr>
      <w:r>
        <w:rPr>
          <w:rFonts w:hint="eastAsia" w:ascii="黑体" w:hAnsi="黑体" w:eastAsia="黑体" w:cs="仿宋"/>
          <w:b/>
          <w:kern w:val="0"/>
          <w:sz w:val="24"/>
          <w:szCs w:val="24"/>
          <w:highlight w:val="none"/>
        </w:rPr>
        <w:t>图4  月亮湾环境监测站点布置图</w:t>
      </w:r>
    </w:p>
    <w:p w14:paraId="6D629143">
      <w:pPr>
        <w:spacing w:line="360" w:lineRule="auto"/>
        <w:ind w:firstLine="480" w:firstLineChars="200"/>
        <w:rPr>
          <w:rFonts w:ascii="宋体" w:hAnsi="宋体"/>
          <w:sz w:val="24"/>
          <w:highlight w:val="none"/>
        </w:rPr>
      </w:pPr>
      <w:r>
        <w:rPr>
          <w:rFonts w:hint="eastAsia" w:ascii="宋体" w:hAnsi="宋体"/>
          <w:sz w:val="24"/>
          <w:highlight w:val="none"/>
        </w:rPr>
        <w:t>4）监测频次</w:t>
      </w:r>
    </w:p>
    <w:p w14:paraId="45E68A6B">
      <w:pPr>
        <w:spacing w:line="360" w:lineRule="auto"/>
        <w:ind w:firstLine="480" w:firstLineChars="200"/>
        <w:rPr>
          <w:rFonts w:ascii="宋体" w:hAnsi="宋体"/>
          <w:sz w:val="24"/>
          <w:highlight w:val="none"/>
        </w:rPr>
      </w:pPr>
      <w:r>
        <w:rPr>
          <w:rFonts w:hint="eastAsia" w:ascii="宋体" w:hAnsi="宋体"/>
          <w:sz w:val="24"/>
          <w:highlight w:val="none"/>
        </w:rPr>
        <w:t>由于环境参数对浒苔的生长和爆发有直接影响，采用较高频次进行监测。重点对浒苔爆发集中的7～9月进行监测，监测频率为每周一次；为预防浒苔的发生，对3～6月及10～11月也进行监测，监测频率为两周一次，每年约计24次；考虑4个测站，共计96次。</w:t>
      </w:r>
    </w:p>
    <w:p w14:paraId="330CB410">
      <w:pPr>
        <w:spacing w:line="360" w:lineRule="auto"/>
        <w:ind w:firstLine="480" w:firstLineChars="200"/>
        <w:rPr>
          <w:rFonts w:ascii="宋体" w:hAnsi="宋体"/>
          <w:sz w:val="24"/>
          <w:highlight w:val="none"/>
        </w:rPr>
      </w:pPr>
      <w:r>
        <w:rPr>
          <w:rFonts w:hint="eastAsia" w:ascii="宋体" w:hAnsi="宋体"/>
          <w:sz w:val="24"/>
          <w:highlight w:val="none"/>
        </w:rPr>
        <w:t>（四）海洋生物监测</w:t>
      </w:r>
    </w:p>
    <w:p w14:paraId="40D7B424">
      <w:pPr>
        <w:spacing w:line="360" w:lineRule="auto"/>
        <w:ind w:firstLine="480" w:firstLineChars="200"/>
        <w:rPr>
          <w:rFonts w:ascii="宋体" w:hAnsi="宋体"/>
          <w:sz w:val="24"/>
          <w:highlight w:val="none"/>
        </w:rPr>
      </w:pPr>
      <w:r>
        <w:rPr>
          <w:rFonts w:hint="eastAsia" w:ascii="宋体" w:hAnsi="宋体"/>
          <w:sz w:val="24"/>
          <w:highlight w:val="none"/>
        </w:rPr>
        <w:t>1）监测内容</w:t>
      </w:r>
    </w:p>
    <w:p w14:paraId="4B4952F2">
      <w:pPr>
        <w:spacing w:line="360" w:lineRule="auto"/>
        <w:ind w:firstLine="480" w:firstLineChars="200"/>
        <w:rPr>
          <w:rFonts w:ascii="宋体" w:hAnsi="宋体"/>
          <w:sz w:val="24"/>
          <w:highlight w:val="none"/>
        </w:rPr>
      </w:pPr>
      <w:r>
        <w:rPr>
          <w:rFonts w:hint="eastAsia" w:ascii="宋体" w:hAnsi="宋体"/>
          <w:sz w:val="24"/>
          <w:highlight w:val="none"/>
        </w:rPr>
        <w:t>海洋生物监测是指通过对海洋生物及其生态环境进行定期观测、分析和评估，以获取海洋生物种群数量、分布、生长、繁殖等方面的信息，进而评估海洋生态系统的健康状况和海洋环境的污染状况。</w:t>
      </w:r>
    </w:p>
    <w:p w14:paraId="6FE249B6">
      <w:pPr>
        <w:spacing w:line="360" w:lineRule="auto"/>
        <w:ind w:firstLine="480" w:firstLineChars="200"/>
        <w:rPr>
          <w:rFonts w:ascii="宋体" w:hAnsi="宋体"/>
          <w:sz w:val="24"/>
          <w:highlight w:val="none"/>
        </w:rPr>
      </w:pPr>
      <w:r>
        <w:rPr>
          <w:rFonts w:hint="eastAsia" w:ascii="宋体" w:hAnsi="宋体"/>
          <w:sz w:val="24"/>
          <w:highlight w:val="none"/>
        </w:rPr>
        <w:t>针对浒苔生长和影响浒苔的水质情况分析，对浮游植物、大型浮游藻类等海洋生物信息进行监测。其直接反应浒苔的生长情况，相较目视发现等传统方式，具有发现早、精度高等优势。</w:t>
      </w:r>
    </w:p>
    <w:p w14:paraId="357F2658">
      <w:pPr>
        <w:spacing w:line="360" w:lineRule="auto"/>
        <w:ind w:firstLine="480" w:firstLineChars="200"/>
        <w:rPr>
          <w:rFonts w:ascii="宋体" w:hAnsi="宋体"/>
          <w:sz w:val="24"/>
          <w:highlight w:val="none"/>
        </w:rPr>
      </w:pPr>
      <w:r>
        <w:rPr>
          <w:rFonts w:hint="eastAsia" w:ascii="宋体" w:hAnsi="宋体"/>
          <w:sz w:val="24"/>
          <w:highlight w:val="none"/>
        </w:rPr>
        <w:t>2）监测方式</w:t>
      </w:r>
    </w:p>
    <w:p w14:paraId="0D290350">
      <w:pPr>
        <w:spacing w:line="360" w:lineRule="auto"/>
        <w:ind w:firstLine="480" w:firstLineChars="200"/>
        <w:rPr>
          <w:rFonts w:ascii="宋体" w:hAnsi="宋体"/>
          <w:sz w:val="24"/>
          <w:highlight w:val="none"/>
        </w:rPr>
      </w:pPr>
      <w:r>
        <w:rPr>
          <w:rFonts w:hint="eastAsia" w:ascii="宋体" w:hAnsi="宋体"/>
          <w:sz w:val="24"/>
          <w:highlight w:val="none"/>
        </w:rPr>
        <w:t>海洋生物监测一般使用船只进行海洋调查，通过拖网、采水器等工具采集海洋生物样本，进行实验室分析。这种方法可以获得较为全面的海洋生物数据。</w:t>
      </w:r>
    </w:p>
    <w:p w14:paraId="25C9D52B">
      <w:pPr>
        <w:spacing w:line="360" w:lineRule="auto"/>
        <w:ind w:firstLine="480" w:firstLineChars="200"/>
        <w:rPr>
          <w:rFonts w:ascii="宋体" w:hAnsi="宋体"/>
          <w:sz w:val="24"/>
          <w:highlight w:val="none"/>
        </w:rPr>
      </w:pPr>
      <w:r>
        <w:rPr>
          <w:rFonts w:hint="eastAsia" w:ascii="宋体" w:hAnsi="宋体"/>
          <w:sz w:val="24"/>
          <w:highlight w:val="none"/>
        </w:rPr>
        <w:t>3）站点布置</w:t>
      </w:r>
    </w:p>
    <w:p w14:paraId="678F7986">
      <w:pPr>
        <w:spacing w:line="360" w:lineRule="auto"/>
        <w:ind w:firstLine="480" w:firstLineChars="200"/>
        <w:rPr>
          <w:rFonts w:ascii="宋体" w:hAnsi="宋体"/>
          <w:sz w:val="24"/>
          <w:highlight w:val="none"/>
        </w:rPr>
      </w:pPr>
      <w:r>
        <w:rPr>
          <w:rFonts w:hint="eastAsia" w:ascii="宋体" w:hAnsi="宋体"/>
          <w:sz w:val="24"/>
          <w:highlight w:val="none"/>
        </w:rPr>
        <w:t>根据月亮湾形态及此前浒苔爆发的情况，本次布置4个点位，与环境监测站点布置一致，见图4。</w:t>
      </w:r>
    </w:p>
    <w:p w14:paraId="640EABA6">
      <w:pPr>
        <w:spacing w:line="360" w:lineRule="auto"/>
        <w:ind w:firstLine="480" w:firstLineChars="200"/>
        <w:rPr>
          <w:rFonts w:ascii="宋体" w:hAnsi="宋体"/>
          <w:sz w:val="24"/>
          <w:highlight w:val="none"/>
        </w:rPr>
      </w:pPr>
      <w:r>
        <w:rPr>
          <w:rFonts w:hint="eastAsia" w:ascii="宋体" w:hAnsi="宋体"/>
          <w:sz w:val="24"/>
          <w:highlight w:val="none"/>
        </w:rPr>
        <w:t>4）监测频次</w:t>
      </w:r>
    </w:p>
    <w:p w14:paraId="28B33EBD">
      <w:pPr>
        <w:spacing w:line="360" w:lineRule="auto"/>
        <w:ind w:firstLine="480" w:firstLineChars="200"/>
        <w:rPr>
          <w:rFonts w:ascii="宋体" w:hAnsi="宋体"/>
          <w:sz w:val="24"/>
          <w:highlight w:val="none"/>
        </w:rPr>
      </w:pPr>
      <w:r>
        <w:rPr>
          <w:rFonts w:hint="eastAsia" w:ascii="宋体" w:hAnsi="宋体"/>
          <w:sz w:val="24"/>
          <w:highlight w:val="none"/>
        </w:rPr>
        <w:t>由于海洋生物监测直接反应浒苔的生长和爆发情况，采用较高频次进行监测。重点对浒苔爆发集中的7～9月进行监测，监测频率为每周一次；为预防浒苔的发生，对4～6月也进行监测，监测频率为每月一次，共计15次；考虑4个测站，共计60次。</w:t>
      </w:r>
    </w:p>
    <w:p w14:paraId="4AFB860D">
      <w:pPr>
        <w:spacing w:line="360" w:lineRule="auto"/>
        <w:ind w:firstLine="480" w:firstLineChars="200"/>
        <w:rPr>
          <w:rFonts w:ascii="宋体" w:hAnsi="宋体"/>
          <w:sz w:val="24"/>
          <w:highlight w:val="none"/>
        </w:rPr>
      </w:pPr>
      <w:r>
        <w:rPr>
          <w:rFonts w:hint="eastAsia" w:ascii="宋体" w:hAnsi="宋体"/>
          <w:sz w:val="24"/>
          <w:highlight w:val="none"/>
        </w:rPr>
        <w:t>（五）浒苔处置预报服务</w:t>
      </w:r>
    </w:p>
    <w:p w14:paraId="73E83868">
      <w:pPr>
        <w:spacing w:line="360" w:lineRule="auto"/>
        <w:ind w:firstLine="480" w:firstLineChars="200"/>
        <w:rPr>
          <w:rFonts w:ascii="宋体" w:hAnsi="宋体"/>
          <w:sz w:val="24"/>
          <w:highlight w:val="none"/>
        </w:rPr>
      </w:pPr>
      <w:r>
        <w:rPr>
          <w:rFonts w:hint="eastAsia" w:ascii="宋体" w:hAnsi="宋体"/>
          <w:sz w:val="24"/>
          <w:highlight w:val="none"/>
        </w:rPr>
        <w:t>针对外海输送漂移而来浒苔，主要采用拦截+打捞的治理方式；而月亮湾内浒苔主要为内源爆发，其在爆发后一方面受海湾形态影响聚集在月亮湾内，另一方面受湾内水动力较弱限制，大部分下沉、聚集在湾内水底，如何有效治理需要清晰了解月亮湾内的浒苔爆发时间、爆发范围及富集区域，并结合月亮湾内的水质预测实现月亮湾浒苔的预报。</w:t>
      </w:r>
    </w:p>
    <w:p w14:paraId="4C3BFE89">
      <w:pPr>
        <w:spacing w:line="360" w:lineRule="auto"/>
        <w:ind w:firstLine="480" w:firstLineChars="200"/>
        <w:rPr>
          <w:rFonts w:ascii="宋体" w:hAnsi="宋体"/>
          <w:sz w:val="24"/>
          <w:highlight w:val="none"/>
        </w:rPr>
      </w:pPr>
      <w:r>
        <w:rPr>
          <w:rFonts w:hint="eastAsia" w:ascii="宋体" w:hAnsi="宋体"/>
          <w:sz w:val="24"/>
          <w:highlight w:val="none"/>
        </w:rPr>
        <w:t>在月亮湾浒苔遥感、水文、环境、生物等跟踪监测完成后，分析浒苔爆发时期月亮湾内的生态环境演化过程；同时结合红海河、熊岳河的水质、流量在线观测数据，建立月亮湾水质演化数值模型，构建月亮湾水体环境预测平台，初步实现月亮湾浒苔的预报服务，给出浒苔爆发的可能概率、浒苔爆发的最大影响范围，支撑浒苔处置方案的制定。</w:t>
      </w:r>
    </w:p>
    <w:p w14:paraId="482D0FC5">
      <w:pPr>
        <w:pStyle w:val="4"/>
        <w:keepNext w:val="0"/>
        <w:keepLines w:val="0"/>
        <w:adjustRightInd w:val="0"/>
        <w:snapToGrid w:val="0"/>
        <w:ind w:firstLine="480" w:firstLineChars="200"/>
        <w:textAlignment w:val="baseline"/>
        <w:rPr>
          <w:rFonts w:ascii="新宋体" w:hAnsi="新宋体" w:eastAsia="新宋体" w:cs="新宋体"/>
          <w:sz w:val="24"/>
          <w:szCs w:val="24"/>
          <w:highlight w:val="none"/>
        </w:rPr>
      </w:pPr>
      <w:bookmarkStart w:id="135" w:name="_Toc30828"/>
      <w:bookmarkStart w:id="136" w:name="_Toc26849"/>
      <w:bookmarkStart w:id="137" w:name="_Toc29039"/>
      <w:r>
        <w:rPr>
          <w:rFonts w:hint="eastAsia" w:ascii="宋体" w:hAnsi="宋体" w:eastAsia="宋体"/>
          <w:b w:val="0"/>
          <w:bCs w:val="0"/>
          <w:sz w:val="24"/>
          <w:szCs w:val="20"/>
          <w:highlight w:val="none"/>
        </w:rPr>
        <w:t>构建月亮湾水质演化模拟预测模型及浒苔预报平台1项，完成月亮湾浒苔监测数据分析1项。</w:t>
      </w:r>
      <w:bookmarkEnd w:id="135"/>
      <w:bookmarkEnd w:id="136"/>
      <w:bookmarkEnd w:id="137"/>
    </w:p>
    <w:bookmarkEnd w:id="130"/>
    <w:p w14:paraId="23D5AE22">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 xml:space="preserve"> </w:t>
      </w:r>
    </w:p>
    <w:p w14:paraId="25635C4F">
      <w:pPr>
        <w:spacing w:line="324" w:lineRule="auto"/>
        <w:ind w:left="482"/>
        <w:rPr>
          <w:rFonts w:ascii="宋体" w:hAnsi="宋体" w:cs="宋体"/>
          <w:sz w:val="24"/>
          <w:highlight w:val="none"/>
        </w:rPr>
      </w:pPr>
      <w:r>
        <w:rPr>
          <w:rFonts w:hint="eastAsia" w:ascii="宋体" w:hAnsi="宋体" w:cs="宋体"/>
          <w:highlight w:val="none"/>
        </w:rPr>
        <w:br w:type="page"/>
      </w:r>
      <w:bookmarkEnd w:id="72"/>
    </w:p>
    <w:p w14:paraId="0E2DC4A3">
      <w:pPr>
        <w:rPr>
          <w:rFonts w:ascii="宋体" w:hAnsi="宋体" w:cs="宋体"/>
          <w:w w:val="90"/>
          <w:highlight w:val="none"/>
        </w:rPr>
      </w:pPr>
    </w:p>
    <w:p w14:paraId="5E94EE30">
      <w:pPr>
        <w:pStyle w:val="3"/>
        <w:numPr>
          <w:ilvl w:val="0"/>
          <w:numId w:val="2"/>
        </w:numPr>
        <w:spacing w:line="360" w:lineRule="auto"/>
        <w:jc w:val="center"/>
        <w:rPr>
          <w:rFonts w:ascii="宋体" w:hAnsi="宋体" w:cs="宋体"/>
          <w:w w:val="90"/>
          <w:highlight w:val="none"/>
        </w:rPr>
      </w:pPr>
      <w:r>
        <w:rPr>
          <w:rFonts w:hint="eastAsia" w:ascii="宋体" w:hAnsi="宋体" w:cs="宋体"/>
          <w:w w:val="90"/>
          <w:highlight w:val="none"/>
        </w:rPr>
        <w:t xml:space="preserve">  </w:t>
      </w:r>
      <w:bookmarkStart w:id="138" w:name="_Toc28352"/>
      <w:bookmarkStart w:id="139" w:name="_Toc344394210"/>
      <w:bookmarkStart w:id="140" w:name="_Toc349568733"/>
      <w:bookmarkStart w:id="141" w:name="_Toc10217"/>
      <w:bookmarkStart w:id="142" w:name="_Toc350515663"/>
      <w:bookmarkStart w:id="143" w:name="_Toc343510609"/>
      <w:r>
        <w:rPr>
          <w:rFonts w:hint="eastAsia" w:ascii="宋体" w:hAnsi="宋体" w:cs="宋体"/>
          <w:w w:val="90"/>
          <w:highlight w:val="none"/>
        </w:rPr>
        <w:t>附件（投标文件格式）</w:t>
      </w:r>
      <w:bookmarkEnd w:id="138"/>
      <w:bookmarkEnd w:id="139"/>
      <w:bookmarkEnd w:id="140"/>
      <w:bookmarkEnd w:id="141"/>
      <w:bookmarkEnd w:id="142"/>
      <w:bookmarkEnd w:id="143"/>
    </w:p>
    <w:p w14:paraId="4381566B">
      <w:pPr>
        <w:spacing w:line="360" w:lineRule="auto"/>
        <w:rPr>
          <w:rFonts w:ascii="宋体" w:hAnsi="宋体" w:cs="宋体"/>
          <w:highlight w:val="none"/>
        </w:rPr>
      </w:pPr>
    </w:p>
    <w:p w14:paraId="3B1B810E">
      <w:pPr>
        <w:spacing w:line="360" w:lineRule="auto"/>
        <w:rPr>
          <w:rFonts w:ascii="宋体" w:hAnsi="宋体" w:cs="宋体"/>
          <w:w w:val="90"/>
          <w:highlight w:val="none"/>
        </w:rPr>
      </w:pPr>
      <w:r>
        <w:rPr>
          <w:rFonts w:hint="eastAsia" w:ascii="宋体" w:hAnsi="宋体" w:cs="宋体"/>
          <w:w w:val="90"/>
          <w:highlight w:val="none"/>
        </w:rPr>
        <w:t xml:space="preserve"> </w:t>
      </w:r>
    </w:p>
    <w:p w14:paraId="6EA6AE5C">
      <w:pPr>
        <w:spacing w:line="360" w:lineRule="auto"/>
        <w:rPr>
          <w:rFonts w:ascii="宋体" w:hAnsi="宋体" w:cs="宋体"/>
          <w:b/>
          <w:sz w:val="30"/>
          <w:szCs w:val="30"/>
          <w:highlight w:val="none"/>
        </w:rPr>
      </w:pPr>
      <w:r>
        <w:rPr>
          <w:rFonts w:hint="eastAsia" w:ascii="宋体" w:hAnsi="宋体" w:cs="宋体"/>
          <w:highlight w:val="none"/>
        </w:rPr>
        <w:br w:type="page"/>
      </w:r>
      <w:r>
        <w:rPr>
          <w:rFonts w:hint="eastAsia" w:ascii="宋体" w:hAnsi="宋体" w:cs="宋体"/>
          <w:b/>
          <w:sz w:val="30"/>
          <w:szCs w:val="30"/>
          <w:highlight w:val="none"/>
        </w:rPr>
        <w:t>封面格式：</w:t>
      </w:r>
    </w:p>
    <w:p w14:paraId="50E8C757">
      <w:pPr>
        <w:tabs>
          <w:tab w:val="left" w:pos="720"/>
          <w:tab w:val="left" w:pos="8295"/>
        </w:tabs>
        <w:spacing w:before="240" w:line="360" w:lineRule="auto"/>
        <w:jc w:val="center"/>
        <w:rPr>
          <w:rFonts w:ascii="宋体" w:hAnsi="宋体" w:cs="宋体"/>
          <w:b/>
          <w:kern w:val="0"/>
          <w:sz w:val="84"/>
          <w:szCs w:val="84"/>
          <w:highlight w:val="none"/>
        </w:rPr>
      </w:pPr>
    </w:p>
    <w:p w14:paraId="57346A61">
      <w:pPr>
        <w:tabs>
          <w:tab w:val="left" w:pos="720"/>
          <w:tab w:val="left" w:pos="8295"/>
        </w:tabs>
        <w:spacing w:before="240" w:line="360" w:lineRule="auto"/>
        <w:jc w:val="center"/>
        <w:rPr>
          <w:rFonts w:ascii="宋体" w:hAnsi="宋体" w:cs="宋体"/>
          <w:b/>
          <w:kern w:val="0"/>
          <w:sz w:val="84"/>
          <w:szCs w:val="84"/>
          <w:highlight w:val="none"/>
        </w:rPr>
      </w:pPr>
      <w:r>
        <w:rPr>
          <w:rFonts w:hint="eastAsia" w:ascii="宋体" w:hAnsi="宋体" w:cs="宋体"/>
          <w:b/>
          <w:kern w:val="0"/>
          <w:sz w:val="84"/>
          <w:szCs w:val="84"/>
          <w:highlight w:val="none"/>
        </w:rPr>
        <w:t>投 标 文 件</w:t>
      </w:r>
    </w:p>
    <w:p w14:paraId="549293FF">
      <w:pPr>
        <w:spacing w:before="100" w:beforeAutospacing="1" w:after="100" w:afterAutospacing="1" w:line="360" w:lineRule="auto"/>
        <w:jc w:val="center"/>
        <w:rPr>
          <w:rFonts w:ascii="宋体" w:hAnsi="宋体" w:cs="宋体"/>
          <w:b/>
          <w:bCs/>
          <w:sz w:val="32"/>
          <w:szCs w:val="32"/>
          <w:highlight w:val="none"/>
        </w:rPr>
      </w:pPr>
    </w:p>
    <w:p w14:paraId="70F5BDD2">
      <w:pPr>
        <w:spacing w:line="360" w:lineRule="auto"/>
        <w:ind w:firstLine="1108" w:firstLineChars="345"/>
        <w:rPr>
          <w:rFonts w:ascii="宋体" w:hAnsi="宋体" w:cs="宋体"/>
          <w:b/>
          <w:bCs/>
          <w:sz w:val="32"/>
          <w:szCs w:val="32"/>
          <w:highlight w:val="none"/>
        </w:rPr>
      </w:pPr>
      <w:r>
        <w:rPr>
          <w:rFonts w:hint="eastAsia" w:ascii="宋体" w:hAnsi="宋体" w:cs="宋体"/>
          <w:b/>
          <w:bCs/>
          <w:sz w:val="32"/>
          <w:szCs w:val="32"/>
          <w:highlight w:val="none"/>
        </w:rPr>
        <w:t>招标编号：</w:t>
      </w:r>
    </w:p>
    <w:p w14:paraId="49793DF9">
      <w:pPr>
        <w:spacing w:line="360" w:lineRule="auto"/>
        <w:ind w:firstLine="1108" w:firstLineChars="345"/>
        <w:rPr>
          <w:rFonts w:ascii="宋体" w:hAnsi="宋体" w:cs="宋体"/>
          <w:b/>
          <w:bCs/>
          <w:sz w:val="32"/>
          <w:szCs w:val="32"/>
          <w:highlight w:val="none"/>
        </w:rPr>
      </w:pPr>
    </w:p>
    <w:p w14:paraId="77F3BC5F">
      <w:pPr>
        <w:spacing w:line="360" w:lineRule="auto"/>
        <w:ind w:firstLine="1108" w:firstLineChars="345"/>
        <w:rPr>
          <w:rFonts w:ascii="宋体" w:hAnsi="宋体" w:cs="宋体"/>
          <w:b/>
          <w:kern w:val="0"/>
          <w:sz w:val="32"/>
          <w:szCs w:val="32"/>
          <w:highlight w:val="none"/>
        </w:rPr>
      </w:pPr>
      <w:r>
        <w:rPr>
          <w:rFonts w:hint="eastAsia" w:ascii="宋体" w:hAnsi="宋体" w:cs="宋体"/>
          <w:b/>
          <w:kern w:val="0"/>
          <w:sz w:val="32"/>
          <w:szCs w:val="32"/>
          <w:highlight w:val="none"/>
        </w:rPr>
        <w:t>项目名称：</w:t>
      </w:r>
    </w:p>
    <w:p w14:paraId="75A200BD">
      <w:pPr>
        <w:spacing w:line="360" w:lineRule="auto"/>
        <w:ind w:firstLine="1108" w:firstLineChars="345"/>
        <w:rPr>
          <w:rFonts w:ascii="宋体" w:hAnsi="宋体" w:cs="宋体"/>
          <w:b/>
          <w:kern w:val="0"/>
          <w:sz w:val="32"/>
          <w:szCs w:val="32"/>
          <w:highlight w:val="none"/>
        </w:rPr>
      </w:pPr>
    </w:p>
    <w:p w14:paraId="10B98BC8">
      <w:pPr>
        <w:spacing w:line="360" w:lineRule="auto"/>
        <w:ind w:firstLine="1108" w:firstLineChars="345"/>
        <w:rPr>
          <w:rFonts w:ascii="宋体" w:hAnsi="宋体" w:cs="宋体"/>
          <w:b/>
          <w:kern w:val="0"/>
          <w:sz w:val="32"/>
          <w:szCs w:val="32"/>
          <w:highlight w:val="none"/>
        </w:rPr>
      </w:pPr>
    </w:p>
    <w:p w14:paraId="33640EB5">
      <w:pPr>
        <w:spacing w:line="360" w:lineRule="auto"/>
        <w:ind w:firstLine="141" w:firstLineChars="44"/>
        <w:rPr>
          <w:rFonts w:ascii="宋体" w:hAnsi="宋体" w:cs="宋体"/>
          <w:b/>
          <w:kern w:val="0"/>
          <w:sz w:val="32"/>
          <w:szCs w:val="32"/>
          <w:highlight w:val="none"/>
          <w:u w:val="single"/>
        </w:rPr>
      </w:pPr>
      <w:r>
        <w:rPr>
          <w:rFonts w:hint="eastAsia" w:ascii="宋体" w:hAnsi="宋体" w:cs="宋体"/>
          <w:b/>
          <w:kern w:val="0"/>
          <w:sz w:val="32"/>
          <w:szCs w:val="32"/>
          <w:highlight w:val="none"/>
        </w:rPr>
        <w:t>投标人名称：</w:t>
      </w:r>
      <w:r>
        <w:rPr>
          <w:rFonts w:hint="eastAsia" w:ascii="宋体" w:hAnsi="宋体" w:cs="宋体"/>
          <w:b/>
          <w:kern w:val="0"/>
          <w:sz w:val="32"/>
          <w:szCs w:val="32"/>
          <w:highlight w:val="none"/>
          <w:u w:val="single"/>
        </w:rPr>
        <w:t xml:space="preserve">                             （盖公章） </w:t>
      </w:r>
    </w:p>
    <w:p w14:paraId="7E6C0AE1">
      <w:pPr>
        <w:spacing w:line="360" w:lineRule="auto"/>
        <w:ind w:firstLine="141" w:firstLineChars="44"/>
        <w:rPr>
          <w:rFonts w:ascii="宋体" w:hAnsi="宋体" w:cs="宋体"/>
          <w:b/>
          <w:kern w:val="0"/>
          <w:sz w:val="32"/>
          <w:szCs w:val="32"/>
          <w:highlight w:val="none"/>
          <w:u w:val="single"/>
        </w:rPr>
      </w:pPr>
      <w:r>
        <w:rPr>
          <w:rFonts w:hint="eastAsia" w:ascii="宋体" w:hAnsi="宋体" w:cs="宋体"/>
          <w:b/>
          <w:kern w:val="0"/>
          <w:sz w:val="32"/>
          <w:szCs w:val="32"/>
          <w:highlight w:val="none"/>
        </w:rPr>
        <w:t>法定代表人或负责人或授权委托人：</w:t>
      </w:r>
      <w:r>
        <w:rPr>
          <w:rFonts w:hint="eastAsia" w:ascii="宋体" w:hAnsi="宋体" w:cs="宋体"/>
          <w:b/>
          <w:kern w:val="0"/>
          <w:sz w:val="32"/>
          <w:szCs w:val="32"/>
          <w:highlight w:val="none"/>
          <w:u w:val="single"/>
        </w:rPr>
        <w:t xml:space="preserve">           （签字或盖章） </w:t>
      </w:r>
    </w:p>
    <w:p w14:paraId="4CEF9CC8">
      <w:pPr>
        <w:spacing w:line="360" w:lineRule="auto"/>
        <w:ind w:firstLine="141" w:firstLineChars="44"/>
        <w:rPr>
          <w:rFonts w:ascii="宋体" w:hAnsi="宋体" w:cs="宋体"/>
          <w:b/>
          <w:kern w:val="0"/>
          <w:sz w:val="32"/>
          <w:szCs w:val="32"/>
          <w:highlight w:val="none"/>
        </w:rPr>
      </w:pPr>
      <w:r>
        <w:rPr>
          <w:rFonts w:hint="eastAsia" w:ascii="宋体" w:hAnsi="宋体" w:cs="宋体"/>
          <w:b/>
          <w:kern w:val="0"/>
          <w:sz w:val="32"/>
          <w:szCs w:val="32"/>
          <w:highlight w:val="none"/>
        </w:rPr>
        <w:t>公司地址：</w:t>
      </w:r>
      <w:r>
        <w:rPr>
          <w:rFonts w:hint="eastAsia" w:ascii="宋体" w:hAnsi="宋体" w:cs="宋体"/>
          <w:b/>
          <w:kern w:val="0"/>
          <w:sz w:val="32"/>
          <w:szCs w:val="32"/>
          <w:highlight w:val="none"/>
          <w:u w:val="single"/>
        </w:rPr>
        <w:t xml:space="preserve">                                        </w:t>
      </w:r>
    </w:p>
    <w:p w14:paraId="27E1652C">
      <w:pPr>
        <w:spacing w:line="360" w:lineRule="auto"/>
        <w:ind w:firstLine="141" w:firstLineChars="44"/>
        <w:rPr>
          <w:rFonts w:ascii="宋体" w:hAnsi="宋体" w:cs="宋体"/>
          <w:b/>
          <w:kern w:val="0"/>
          <w:sz w:val="32"/>
          <w:szCs w:val="32"/>
          <w:highlight w:val="none"/>
          <w:u w:val="single"/>
        </w:rPr>
      </w:pPr>
      <w:r>
        <w:rPr>
          <w:rFonts w:hint="eastAsia" w:ascii="宋体" w:hAnsi="宋体" w:cs="宋体"/>
          <w:b/>
          <w:kern w:val="0"/>
          <w:sz w:val="32"/>
          <w:szCs w:val="32"/>
          <w:highlight w:val="none"/>
        </w:rPr>
        <w:t>日      期：</w:t>
      </w:r>
      <w:r>
        <w:rPr>
          <w:rFonts w:hint="eastAsia" w:ascii="宋体" w:hAnsi="宋体" w:cs="宋体"/>
          <w:b/>
          <w:kern w:val="0"/>
          <w:sz w:val="32"/>
          <w:szCs w:val="32"/>
          <w:highlight w:val="none"/>
          <w:u w:val="single"/>
        </w:rPr>
        <w:t xml:space="preserve">                                      </w:t>
      </w:r>
    </w:p>
    <w:p w14:paraId="3DA2FE64">
      <w:pPr>
        <w:spacing w:line="360" w:lineRule="auto"/>
        <w:rPr>
          <w:rFonts w:ascii="宋体" w:hAnsi="宋体" w:cs="宋体"/>
          <w:b/>
          <w:spacing w:val="60"/>
          <w:sz w:val="24"/>
          <w:szCs w:val="24"/>
          <w:highlight w:val="none"/>
          <w:u w:val="single"/>
        </w:rPr>
      </w:pPr>
    </w:p>
    <w:p w14:paraId="15D17C74">
      <w:pPr>
        <w:pStyle w:val="5"/>
        <w:spacing w:line="360" w:lineRule="auto"/>
        <w:jc w:val="center"/>
        <w:rPr>
          <w:rFonts w:ascii="宋体" w:hAnsi="宋体" w:cs="宋体"/>
          <w:sz w:val="28"/>
          <w:szCs w:val="28"/>
          <w:highlight w:val="none"/>
        </w:rPr>
      </w:pPr>
      <w:bookmarkStart w:id="144" w:name="_Toc48995844"/>
      <w:bookmarkStart w:id="145" w:name="_Toc47418724"/>
      <w:bookmarkStart w:id="146" w:name="_Toc198021513"/>
      <w:bookmarkStart w:id="147" w:name="_Toc47261683"/>
      <w:bookmarkStart w:id="148" w:name="_Toc47262062"/>
      <w:bookmarkStart w:id="149" w:name="_Toc47418248"/>
      <w:bookmarkStart w:id="150" w:name="_Toc48791228"/>
      <w:bookmarkStart w:id="151" w:name="_Toc47261878"/>
      <w:bookmarkStart w:id="152" w:name="_Toc47418931"/>
      <w:bookmarkStart w:id="153" w:name="_Toc49019229"/>
      <w:r>
        <w:rPr>
          <w:rFonts w:hint="eastAsia" w:ascii="宋体" w:hAnsi="宋体" w:cs="宋体"/>
          <w:sz w:val="28"/>
          <w:szCs w:val="28"/>
          <w:highlight w:val="none"/>
        </w:rPr>
        <w:br w:type="page"/>
      </w:r>
      <w:bookmarkStart w:id="154" w:name="_Toc350515664"/>
      <w:bookmarkStart w:id="155" w:name="_Toc330342807"/>
      <w:bookmarkStart w:id="156" w:name="_Toc349568734"/>
      <w:bookmarkStart w:id="157" w:name="_Toc344397377"/>
      <w:bookmarkStart w:id="158" w:name="_Toc343510610"/>
      <w:bookmarkStart w:id="159" w:name="_Toc350516678"/>
      <w:bookmarkStart w:id="160" w:name="_Toc344394211"/>
      <w:bookmarkStart w:id="161" w:name="_Toc16092"/>
      <w:bookmarkStart w:id="162" w:name="_Toc24222"/>
      <w:bookmarkStart w:id="163" w:name="_Toc1276"/>
      <w:bookmarkStart w:id="164" w:name="_Toc349914539"/>
      <w:bookmarkStart w:id="165" w:name="_Toc8520"/>
      <w:bookmarkStart w:id="166" w:name="_Toc369353506"/>
      <w:r>
        <w:rPr>
          <w:rFonts w:hint="eastAsia" w:ascii="宋体" w:hAnsi="宋体" w:cs="宋体"/>
          <w:highlight w:val="none"/>
        </w:rPr>
        <w:t>第一部分 投标函部分</w:t>
      </w:r>
      <w:bookmarkEnd w:id="154"/>
      <w:bookmarkEnd w:id="155"/>
      <w:bookmarkEnd w:id="156"/>
      <w:bookmarkEnd w:id="157"/>
      <w:bookmarkEnd w:id="158"/>
      <w:bookmarkEnd w:id="159"/>
      <w:bookmarkEnd w:id="160"/>
      <w:bookmarkEnd w:id="161"/>
      <w:bookmarkEnd w:id="162"/>
      <w:bookmarkEnd w:id="163"/>
      <w:bookmarkEnd w:id="164"/>
      <w:bookmarkEnd w:id="165"/>
      <w:bookmarkEnd w:id="166"/>
    </w:p>
    <w:p w14:paraId="244F61CD">
      <w:pPr>
        <w:pStyle w:val="5"/>
        <w:spacing w:line="360" w:lineRule="auto"/>
        <w:rPr>
          <w:rFonts w:ascii="宋体" w:hAnsi="宋体" w:cs="宋体"/>
          <w:sz w:val="28"/>
          <w:szCs w:val="28"/>
          <w:highlight w:val="none"/>
        </w:rPr>
      </w:pPr>
      <w:bookmarkStart w:id="167" w:name="_Toc330342557"/>
      <w:bookmarkStart w:id="168" w:name="_Toc349568735"/>
      <w:bookmarkStart w:id="169" w:name="_Toc344394212"/>
      <w:bookmarkStart w:id="170" w:name="_Toc330342808"/>
      <w:bookmarkStart w:id="171" w:name="_Toc25016"/>
      <w:bookmarkStart w:id="172" w:name="_Toc344397378"/>
      <w:bookmarkStart w:id="173" w:name="_Toc10045"/>
      <w:bookmarkStart w:id="174" w:name="_Toc343510611"/>
      <w:bookmarkStart w:id="175" w:name="_Toc349914540"/>
      <w:bookmarkStart w:id="176" w:name="_Toc350516679"/>
      <w:bookmarkStart w:id="177" w:name="_Toc32757"/>
      <w:bookmarkStart w:id="178" w:name="_Toc19754"/>
      <w:bookmarkStart w:id="179" w:name="_Toc369353507"/>
      <w:bookmarkStart w:id="180" w:name="_Toc350515665"/>
      <w:r>
        <w:rPr>
          <w:rFonts w:hint="eastAsia" w:ascii="宋体" w:hAnsi="宋体" w:cs="宋体"/>
          <w:sz w:val="28"/>
          <w:szCs w:val="28"/>
          <w:highlight w:val="none"/>
        </w:rPr>
        <w:t>1、投标函(格式</w:t>
      </w:r>
      <w:bookmarkEnd w:id="144"/>
      <w:bookmarkEnd w:id="145"/>
      <w:bookmarkEnd w:id="146"/>
      <w:bookmarkEnd w:id="147"/>
      <w:bookmarkEnd w:id="148"/>
      <w:bookmarkEnd w:id="149"/>
      <w:bookmarkEnd w:id="150"/>
      <w:bookmarkEnd w:id="151"/>
      <w:bookmarkEnd w:id="152"/>
      <w:bookmarkEnd w:id="153"/>
      <w:bookmarkEnd w:id="167"/>
      <w:bookmarkEnd w:id="168"/>
      <w:bookmarkEnd w:id="169"/>
      <w:bookmarkEnd w:id="170"/>
      <w:bookmarkEnd w:id="171"/>
      <w:bookmarkEnd w:id="172"/>
      <w:bookmarkEnd w:id="173"/>
      <w:bookmarkEnd w:id="174"/>
      <w:r>
        <w:rPr>
          <w:rFonts w:hint="eastAsia" w:ascii="宋体" w:hAnsi="宋体" w:cs="宋体"/>
          <w:sz w:val="28"/>
          <w:szCs w:val="28"/>
          <w:highlight w:val="none"/>
        </w:rPr>
        <w:t>)</w:t>
      </w:r>
      <w:bookmarkEnd w:id="175"/>
      <w:bookmarkEnd w:id="176"/>
      <w:bookmarkEnd w:id="177"/>
      <w:bookmarkEnd w:id="178"/>
      <w:bookmarkEnd w:id="179"/>
      <w:bookmarkEnd w:id="180"/>
    </w:p>
    <w:p w14:paraId="160C680C">
      <w:pPr>
        <w:spacing w:line="360" w:lineRule="auto"/>
        <w:jc w:val="center"/>
        <w:rPr>
          <w:rFonts w:ascii="宋体" w:hAnsi="宋体" w:cs="宋体"/>
          <w:b/>
          <w:sz w:val="32"/>
          <w:highlight w:val="none"/>
        </w:rPr>
      </w:pPr>
      <w:bookmarkStart w:id="181" w:name="_Toc47418250"/>
      <w:bookmarkStart w:id="182" w:name="_Toc198021515"/>
      <w:bookmarkStart w:id="183" w:name="_Toc47262064"/>
      <w:bookmarkStart w:id="184" w:name="_Toc48791230"/>
      <w:bookmarkStart w:id="185" w:name="_Toc47261880"/>
      <w:bookmarkStart w:id="186" w:name="_Toc49019231"/>
      <w:bookmarkStart w:id="187" w:name="_Toc47418933"/>
      <w:bookmarkStart w:id="188" w:name="_Toc47418726"/>
      <w:bookmarkStart w:id="189" w:name="_Toc47261685"/>
      <w:bookmarkStart w:id="190" w:name="_Toc48995846"/>
      <w:r>
        <w:rPr>
          <w:rFonts w:hint="eastAsia" w:ascii="宋体" w:hAnsi="宋体" w:cs="宋体"/>
          <w:b/>
          <w:sz w:val="42"/>
          <w:highlight w:val="none"/>
        </w:rPr>
        <w:t>投  标  函</w:t>
      </w:r>
      <w:r>
        <w:rPr>
          <w:rFonts w:hint="eastAsia" w:ascii="宋体" w:hAnsi="宋体" w:cs="宋体"/>
          <w:b/>
          <w:sz w:val="32"/>
          <w:highlight w:val="none"/>
        </w:rPr>
        <w:t xml:space="preserve"> </w:t>
      </w:r>
    </w:p>
    <w:p w14:paraId="2FD85F69">
      <w:pPr>
        <w:spacing w:after="120" w:line="360" w:lineRule="auto"/>
        <w:rPr>
          <w:rFonts w:ascii="宋体" w:hAnsi="宋体" w:cs="宋体"/>
          <w:sz w:val="24"/>
          <w:highlight w:val="none"/>
        </w:rPr>
      </w:pPr>
      <w:r>
        <w:rPr>
          <w:rFonts w:hint="eastAsia" w:ascii="宋体" w:hAnsi="宋体" w:cs="宋体"/>
          <w:b/>
          <w:spacing w:val="10"/>
          <w:sz w:val="24"/>
          <w:highlight w:val="none"/>
        </w:rPr>
        <w:t>致:营口市海洋与渔业局</w:t>
      </w:r>
    </w:p>
    <w:p w14:paraId="7A7F474F">
      <w:pPr>
        <w:spacing w:after="120" w:line="360" w:lineRule="auto"/>
        <w:ind w:firstLine="391" w:firstLineChars="150"/>
        <w:rPr>
          <w:rFonts w:ascii="宋体" w:hAnsi="宋体" w:cs="宋体"/>
          <w:b/>
          <w:spacing w:val="10"/>
          <w:sz w:val="24"/>
          <w:highlight w:val="none"/>
        </w:rPr>
      </w:pPr>
      <w:r>
        <w:rPr>
          <w:rFonts w:hint="eastAsia" w:ascii="宋体" w:hAnsi="宋体" w:cs="宋体"/>
          <w:b/>
          <w:spacing w:val="10"/>
          <w:sz w:val="24"/>
          <w:highlight w:val="none"/>
        </w:rPr>
        <w:t>辽宁金誉建设工程造价咨询有限责任公司</w:t>
      </w:r>
    </w:p>
    <w:p w14:paraId="15E335E7">
      <w:pPr>
        <w:tabs>
          <w:tab w:val="left" w:pos="0"/>
          <w:tab w:val="left" w:pos="1155"/>
        </w:tabs>
        <w:snapToGrid w:val="0"/>
        <w:spacing w:line="360" w:lineRule="auto"/>
        <w:ind w:firstLine="523" w:firstLineChars="218"/>
        <w:rPr>
          <w:rFonts w:ascii="宋体" w:hAnsi="宋体" w:cs="宋体"/>
          <w:sz w:val="24"/>
          <w:highlight w:val="none"/>
        </w:rPr>
      </w:pPr>
      <w:r>
        <w:rPr>
          <w:rFonts w:hint="eastAsia" w:ascii="宋体" w:hAnsi="宋体" w:cs="宋体"/>
          <w:sz w:val="24"/>
          <w:highlight w:val="none"/>
        </w:rPr>
        <w:t>根据贵公司“辽宁省营口市海洋生态保护修复工程项目管护能力建设及浒苔处置监测预报服务”的招标文件，我单位（公司）决定参加本项目的投标，我单位（或公司）同意以下事项：</w:t>
      </w:r>
    </w:p>
    <w:p w14:paraId="378EAE5F">
      <w:pPr>
        <w:snapToGrid w:val="0"/>
        <w:spacing w:line="360" w:lineRule="auto"/>
        <w:ind w:left="420"/>
        <w:rPr>
          <w:rFonts w:ascii="宋体" w:hAnsi="宋体" w:cs="宋体"/>
          <w:sz w:val="24"/>
          <w:highlight w:val="none"/>
        </w:rPr>
      </w:pPr>
      <w:r>
        <w:rPr>
          <w:rFonts w:hint="eastAsia" w:ascii="宋体" w:hAnsi="宋体" w:cs="宋体"/>
          <w:sz w:val="24"/>
          <w:highlight w:val="none"/>
        </w:rPr>
        <w:t>1.我方</w:t>
      </w:r>
      <w:r>
        <w:rPr>
          <w:rFonts w:hint="eastAsia" w:ascii="宋体" w:hAnsi="宋体"/>
          <w:sz w:val="24"/>
          <w:highlight w:val="none"/>
        </w:rPr>
        <w:t>所附投标价格表中规定的应提交和交付的货物及服务投标报价为（</w:t>
      </w:r>
      <w:r>
        <w:rPr>
          <w:rFonts w:hint="eastAsia" w:ascii="宋体" w:hAnsi="宋体"/>
          <w:sz w:val="24"/>
          <w:highlight w:val="none"/>
          <w:u w:val="single"/>
        </w:rPr>
        <w:t>人民币）金额数，（同时用文字和数字表示。）</w:t>
      </w:r>
      <w:r>
        <w:rPr>
          <w:rFonts w:hint="eastAsia" w:ascii="宋体" w:hAnsi="宋体" w:cs="宋体"/>
          <w:sz w:val="24"/>
          <w:highlight w:val="none"/>
        </w:rPr>
        <w:t>并承担任何质量缺陷保障责任：</w:t>
      </w:r>
    </w:p>
    <w:p w14:paraId="162EABC7">
      <w:pPr>
        <w:snapToGrid w:val="0"/>
        <w:spacing w:line="360" w:lineRule="auto"/>
        <w:ind w:left="420"/>
        <w:rPr>
          <w:rFonts w:ascii="宋体" w:hAnsi="宋体" w:cs="宋体"/>
          <w:sz w:val="24"/>
          <w:szCs w:val="24"/>
          <w:highlight w:val="none"/>
        </w:rPr>
      </w:pPr>
      <w:r>
        <w:rPr>
          <w:rFonts w:hint="eastAsia" w:ascii="宋体" w:hAnsi="宋体" w:cs="宋体"/>
          <w:sz w:val="24"/>
          <w:szCs w:val="24"/>
          <w:highlight w:val="none"/>
        </w:rPr>
        <w:t>2.投标人</w:t>
      </w:r>
      <w:r>
        <w:rPr>
          <w:rFonts w:hint="eastAsia" w:ascii="宋体" w:hAnsi="宋体" w:cs="宋体"/>
          <w:sz w:val="24"/>
          <w:highlight w:val="none"/>
        </w:rPr>
        <w:t>遵守招标文件的各项条款及一切有关规定，同时</w:t>
      </w:r>
      <w:r>
        <w:rPr>
          <w:rFonts w:hint="eastAsia" w:ascii="宋体" w:hAnsi="宋体" w:cs="宋体"/>
          <w:sz w:val="24"/>
          <w:szCs w:val="24"/>
          <w:highlight w:val="none"/>
        </w:rPr>
        <w:t>将按招标文件的规定履行合同责任和义务。</w:t>
      </w:r>
    </w:p>
    <w:p w14:paraId="546F70CF">
      <w:pPr>
        <w:snapToGrid w:val="0"/>
        <w:spacing w:line="360" w:lineRule="auto"/>
        <w:ind w:left="420"/>
        <w:rPr>
          <w:rFonts w:ascii="宋体" w:hAnsi="宋体" w:cs="宋体"/>
          <w:sz w:val="24"/>
          <w:szCs w:val="24"/>
          <w:highlight w:val="none"/>
        </w:rPr>
      </w:pPr>
      <w:r>
        <w:rPr>
          <w:rFonts w:hint="eastAsia" w:ascii="宋体" w:hAnsi="宋体" w:cs="宋体"/>
          <w:sz w:val="24"/>
          <w:szCs w:val="24"/>
          <w:highlight w:val="none"/>
        </w:rPr>
        <w:t>3.服务期限：</w:t>
      </w:r>
      <w:r>
        <w:rPr>
          <w:rFonts w:hint="eastAsia" w:ascii="宋体" w:hAnsi="宋体" w:cs="宋体"/>
          <w:sz w:val="24"/>
          <w:szCs w:val="24"/>
          <w:highlight w:val="none"/>
          <w:u w:val="single"/>
        </w:rPr>
        <w:t xml:space="preserve">                                       </w:t>
      </w:r>
      <w:r>
        <w:rPr>
          <w:rFonts w:hint="eastAsia" w:ascii="宋体" w:hAnsi="宋体" w:cs="宋体"/>
          <w:sz w:val="24"/>
          <w:szCs w:val="24"/>
          <w:highlight w:val="none"/>
        </w:rPr>
        <w:t>。</w:t>
      </w:r>
    </w:p>
    <w:p w14:paraId="4491D51B">
      <w:pPr>
        <w:snapToGrid w:val="0"/>
        <w:spacing w:line="360" w:lineRule="auto"/>
        <w:ind w:left="420"/>
        <w:rPr>
          <w:rFonts w:ascii="宋体" w:hAnsi="宋体" w:cs="宋体"/>
          <w:sz w:val="24"/>
          <w:szCs w:val="24"/>
          <w:highlight w:val="none"/>
        </w:rPr>
      </w:pPr>
      <w:r>
        <w:rPr>
          <w:rFonts w:hint="eastAsia" w:ascii="宋体" w:hAnsi="宋体" w:cs="宋体"/>
          <w:sz w:val="24"/>
          <w:szCs w:val="24"/>
          <w:highlight w:val="none"/>
        </w:rPr>
        <w:t>4.供货及安装调试完成时间：</w:t>
      </w:r>
      <w:r>
        <w:rPr>
          <w:rFonts w:hint="eastAsia" w:ascii="宋体" w:hAnsi="宋体" w:cs="宋体"/>
          <w:sz w:val="24"/>
          <w:szCs w:val="24"/>
          <w:highlight w:val="none"/>
          <w:u w:val="single"/>
        </w:rPr>
        <w:t xml:space="preserve">                                       </w:t>
      </w:r>
      <w:r>
        <w:rPr>
          <w:rFonts w:hint="eastAsia" w:ascii="宋体" w:hAnsi="宋体" w:cs="宋体"/>
          <w:sz w:val="24"/>
          <w:szCs w:val="24"/>
          <w:highlight w:val="none"/>
        </w:rPr>
        <w:t>。</w:t>
      </w:r>
    </w:p>
    <w:p w14:paraId="3669260C">
      <w:pPr>
        <w:snapToGrid w:val="0"/>
        <w:spacing w:line="360" w:lineRule="auto"/>
        <w:ind w:left="420"/>
        <w:rPr>
          <w:rFonts w:ascii="宋体" w:hAnsi="宋体" w:cs="宋体"/>
          <w:sz w:val="24"/>
          <w:szCs w:val="24"/>
          <w:highlight w:val="none"/>
        </w:rPr>
      </w:pPr>
      <w:r>
        <w:rPr>
          <w:rFonts w:hint="eastAsia" w:ascii="宋体" w:hAnsi="宋体" w:cs="宋体"/>
          <w:sz w:val="24"/>
          <w:szCs w:val="24"/>
          <w:highlight w:val="none"/>
        </w:rPr>
        <w:t>5.交货地点：</w:t>
      </w:r>
      <w:r>
        <w:rPr>
          <w:rFonts w:hint="eastAsia" w:ascii="宋体" w:hAnsi="宋体" w:cs="宋体"/>
          <w:sz w:val="24"/>
          <w:szCs w:val="24"/>
          <w:highlight w:val="none"/>
          <w:u w:val="single"/>
        </w:rPr>
        <w:t xml:space="preserve">                                       </w:t>
      </w:r>
      <w:r>
        <w:rPr>
          <w:rFonts w:hint="eastAsia" w:ascii="宋体" w:hAnsi="宋体" w:cs="宋体"/>
          <w:sz w:val="24"/>
          <w:szCs w:val="24"/>
          <w:highlight w:val="none"/>
        </w:rPr>
        <w:t>。</w:t>
      </w:r>
    </w:p>
    <w:p w14:paraId="5B5944DA">
      <w:pPr>
        <w:snapToGrid w:val="0"/>
        <w:spacing w:line="360" w:lineRule="auto"/>
        <w:ind w:left="420"/>
        <w:rPr>
          <w:rFonts w:ascii="宋体" w:hAnsi="宋体" w:cs="宋体"/>
          <w:highlight w:val="none"/>
        </w:rPr>
      </w:pPr>
      <w:r>
        <w:rPr>
          <w:rFonts w:hint="eastAsia" w:ascii="宋体" w:hAnsi="宋体" w:cs="宋体"/>
          <w:sz w:val="24"/>
          <w:szCs w:val="24"/>
          <w:highlight w:val="none"/>
        </w:rPr>
        <w:t>6.质量要求：</w:t>
      </w:r>
      <w:r>
        <w:rPr>
          <w:rFonts w:hint="eastAsia" w:ascii="宋体" w:hAnsi="宋体" w:cs="宋体"/>
          <w:sz w:val="24"/>
          <w:szCs w:val="24"/>
          <w:highlight w:val="none"/>
          <w:u w:val="single"/>
        </w:rPr>
        <w:t xml:space="preserve">                                       </w:t>
      </w:r>
      <w:r>
        <w:rPr>
          <w:rFonts w:hint="eastAsia" w:ascii="宋体" w:hAnsi="宋体" w:cs="宋体"/>
          <w:sz w:val="24"/>
          <w:szCs w:val="24"/>
          <w:highlight w:val="none"/>
        </w:rPr>
        <w:t>。</w:t>
      </w:r>
    </w:p>
    <w:p w14:paraId="22B1E01E">
      <w:pPr>
        <w:snapToGrid w:val="0"/>
        <w:spacing w:line="360" w:lineRule="auto"/>
        <w:ind w:left="420"/>
        <w:rPr>
          <w:rFonts w:ascii="宋体" w:hAnsi="宋体" w:cs="宋体"/>
          <w:sz w:val="24"/>
          <w:szCs w:val="24"/>
          <w:highlight w:val="none"/>
        </w:rPr>
      </w:pPr>
      <w:r>
        <w:rPr>
          <w:rFonts w:hint="eastAsia" w:ascii="宋体" w:hAnsi="宋体" w:cs="宋体"/>
          <w:sz w:val="24"/>
          <w:highlight w:val="none"/>
        </w:rPr>
        <w:t>7.向贵方提供所有与投标项有关的真实有效的数据、情况和技术资料。</w:t>
      </w:r>
    </w:p>
    <w:p w14:paraId="0516565F">
      <w:pPr>
        <w:snapToGrid w:val="0"/>
        <w:spacing w:line="360" w:lineRule="auto"/>
        <w:ind w:left="420"/>
        <w:rPr>
          <w:rFonts w:ascii="宋体" w:hAnsi="宋体" w:cs="宋体"/>
          <w:sz w:val="24"/>
          <w:szCs w:val="24"/>
          <w:highlight w:val="none"/>
        </w:rPr>
      </w:pPr>
      <w:r>
        <w:rPr>
          <w:rFonts w:hint="eastAsia" w:ascii="宋体" w:hAnsi="宋体" w:cs="宋体"/>
          <w:sz w:val="24"/>
          <w:szCs w:val="24"/>
          <w:highlight w:val="none"/>
        </w:rPr>
        <w:t>8.投标人已详细审查全部招标文件。我们完全理解并同意放弃对这方面有不明及误解的权力。</w:t>
      </w:r>
    </w:p>
    <w:p w14:paraId="798517A4">
      <w:pPr>
        <w:snapToGrid w:val="0"/>
        <w:spacing w:line="360" w:lineRule="auto"/>
        <w:ind w:left="420"/>
        <w:rPr>
          <w:rFonts w:ascii="宋体" w:hAnsi="宋体" w:cs="宋体"/>
          <w:sz w:val="24"/>
          <w:szCs w:val="24"/>
          <w:highlight w:val="none"/>
        </w:rPr>
      </w:pPr>
      <w:r>
        <w:rPr>
          <w:rFonts w:hint="eastAsia" w:ascii="宋体" w:hAnsi="宋体" w:cs="宋体"/>
          <w:sz w:val="24"/>
          <w:szCs w:val="24"/>
          <w:highlight w:val="none"/>
        </w:rPr>
        <w:t>9.本投标文件自贵方收到之日生效，有效期至开标后90个日历天，在此期间本投标文件之规定对我方具有约束力。</w:t>
      </w:r>
    </w:p>
    <w:p w14:paraId="65B7ADD9">
      <w:pPr>
        <w:snapToGrid w:val="0"/>
        <w:spacing w:line="360" w:lineRule="auto"/>
        <w:ind w:left="420"/>
        <w:rPr>
          <w:rFonts w:ascii="宋体" w:hAnsi="宋体" w:cs="宋体"/>
          <w:sz w:val="24"/>
          <w:szCs w:val="24"/>
          <w:highlight w:val="none"/>
        </w:rPr>
      </w:pPr>
      <w:r>
        <w:rPr>
          <w:rFonts w:hint="eastAsia" w:ascii="宋体" w:hAnsi="宋体" w:cs="宋体"/>
          <w:sz w:val="24"/>
          <w:highlight w:val="none"/>
        </w:rPr>
        <w:t>10.如果我方投标被接受，则至合同履行完成和质量保证期满为止，本投标文件保持有效。</w:t>
      </w:r>
    </w:p>
    <w:p w14:paraId="76496251">
      <w:pPr>
        <w:spacing w:line="360" w:lineRule="auto"/>
        <w:ind w:firstLine="510"/>
        <w:rPr>
          <w:rFonts w:ascii="宋体" w:hAnsi="宋体" w:cs="宋体"/>
          <w:sz w:val="24"/>
          <w:highlight w:val="none"/>
        </w:rPr>
      </w:pPr>
      <w:r>
        <w:rPr>
          <w:rFonts w:hint="eastAsia" w:ascii="宋体" w:hAnsi="宋体" w:cs="宋体"/>
          <w:sz w:val="24"/>
          <w:highlight w:val="none"/>
        </w:rPr>
        <w:t>投标人全称（盖公章）：</w:t>
      </w:r>
    </w:p>
    <w:p w14:paraId="2CE9C679">
      <w:pPr>
        <w:spacing w:line="360" w:lineRule="auto"/>
        <w:ind w:firstLine="510"/>
        <w:rPr>
          <w:rFonts w:ascii="宋体" w:hAnsi="宋体" w:cs="宋体"/>
          <w:sz w:val="24"/>
          <w:highlight w:val="none"/>
        </w:rPr>
      </w:pPr>
      <w:r>
        <w:rPr>
          <w:rFonts w:hint="eastAsia" w:ascii="宋体" w:hAnsi="宋体" w:cs="宋体"/>
          <w:sz w:val="24"/>
          <w:highlight w:val="none"/>
        </w:rPr>
        <w:t>地  址:</w:t>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 xml:space="preserve">   电  话：</w:t>
      </w:r>
    </w:p>
    <w:p w14:paraId="590F6638">
      <w:pPr>
        <w:spacing w:line="360" w:lineRule="auto"/>
        <w:ind w:firstLine="510"/>
        <w:rPr>
          <w:rFonts w:ascii="宋体" w:hAnsi="宋体" w:cs="宋体"/>
          <w:sz w:val="24"/>
          <w:highlight w:val="none"/>
        </w:rPr>
      </w:pPr>
      <w:r>
        <w:rPr>
          <w:rFonts w:hint="eastAsia" w:ascii="宋体" w:hAnsi="宋体" w:cs="宋体"/>
          <w:sz w:val="24"/>
          <w:highlight w:val="none"/>
        </w:rPr>
        <w:t>邮  编：</w:t>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 xml:space="preserve">   传  真：</w:t>
      </w:r>
    </w:p>
    <w:p w14:paraId="304C83D0">
      <w:pPr>
        <w:spacing w:line="360" w:lineRule="auto"/>
        <w:ind w:firstLine="510"/>
        <w:rPr>
          <w:rFonts w:ascii="宋体" w:hAnsi="宋体" w:cs="宋体"/>
          <w:sz w:val="24"/>
          <w:highlight w:val="none"/>
        </w:rPr>
      </w:pPr>
      <w:r>
        <w:rPr>
          <w:rFonts w:hint="eastAsia" w:ascii="宋体" w:hAnsi="宋体" w:cs="宋体"/>
          <w:sz w:val="24"/>
          <w:highlight w:val="none"/>
        </w:rPr>
        <w:t>法定代表人或负责人或授权委托代理人（签字或盖章）：</w:t>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ab/>
      </w:r>
      <w:r>
        <w:rPr>
          <w:rFonts w:hint="eastAsia" w:ascii="宋体" w:hAnsi="宋体" w:cs="宋体"/>
          <w:sz w:val="24"/>
          <w:highlight w:val="none"/>
        </w:rPr>
        <w:t xml:space="preserve">     </w:t>
      </w:r>
      <w:r>
        <w:rPr>
          <w:rFonts w:hint="eastAsia" w:ascii="宋体" w:hAnsi="宋体" w:cs="宋体"/>
          <w:sz w:val="24"/>
          <w:highlight w:val="none"/>
        </w:rPr>
        <w:tab/>
      </w:r>
      <w:r>
        <w:rPr>
          <w:rFonts w:hint="eastAsia" w:ascii="宋体" w:hAnsi="宋体" w:cs="宋体"/>
          <w:sz w:val="24"/>
          <w:highlight w:val="none"/>
        </w:rPr>
        <w:t xml:space="preserve">   </w:t>
      </w:r>
    </w:p>
    <w:p w14:paraId="102183D6">
      <w:pPr>
        <w:spacing w:line="360" w:lineRule="auto"/>
        <w:ind w:firstLine="510"/>
        <w:rPr>
          <w:rFonts w:ascii="宋体" w:hAnsi="宋体" w:cs="宋体"/>
          <w:sz w:val="24"/>
          <w:highlight w:val="none"/>
        </w:rPr>
      </w:pPr>
      <w:r>
        <w:rPr>
          <w:rFonts w:hint="eastAsia" w:ascii="宋体" w:hAnsi="宋体" w:cs="宋体"/>
          <w:sz w:val="24"/>
          <w:highlight w:val="none"/>
        </w:rPr>
        <w:t>日  期：</w:t>
      </w:r>
      <w:bookmarkStart w:id="191" w:name="_Toc21492"/>
      <w:bookmarkStart w:id="192" w:name="_Toc330342558"/>
      <w:bookmarkStart w:id="193" w:name="_Toc19626"/>
      <w:bookmarkStart w:id="194" w:name="_Toc330342809"/>
      <w:bookmarkStart w:id="195" w:name="_Toc349568736"/>
      <w:bookmarkStart w:id="196" w:name="_Toc344397379"/>
      <w:bookmarkStart w:id="197" w:name="_Toc343510612"/>
      <w:bookmarkStart w:id="198" w:name="_Toc344394213"/>
    </w:p>
    <w:bookmarkEnd w:id="191"/>
    <w:bookmarkEnd w:id="192"/>
    <w:bookmarkEnd w:id="193"/>
    <w:bookmarkEnd w:id="194"/>
    <w:bookmarkEnd w:id="195"/>
    <w:bookmarkEnd w:id="196"/>
    <w:bookmarkEnd w:id="197"/>
    <w:bookmarkEnd w:id="198"/>
    <w:p w14:paraId="6ADE336C">
      <w:pPr>
        <w:rPr>
          <w:rFonts w:ascii="宋体" w:hAnsi="宋体" w:cs="宋体"/>
          <w:sz w:val="28"/>
          <w:szCs w:val="28"/>
          <w:highlight w:val="none"/>
        </w:rPr>
      </w:pPr>
      <w:bookmarkStart w:id="199" w:name="_Toc344397380"/>
      <w:bookmarkStart w:id="200" w:name="_Toc344394217"/>
      <w:bookmarkStart w:id="201" w:name="_Toc431929799"/>
      <w:bookmarkStart w:id="202" w:name="_Toc349914544"/>
      <w:bookmarkStart w:id="203" w:name="_Toc429748310"/>
      <w:bookmarkStart w:id="204" w:name="_Toc343510616"/>
      <w:bookmarkStart w:id="205" w:name="_Toc349568737"/>
      <w:bookmarkStart w:id="206" w:name="_Toc361385972"/>
      <w:bookmarkStart w:id="207" w:name="_Toc2175"/>
      <w:bookmarkStart w:id="208" w:name="_Toc30056"/>
      <w:bookmarkStart w:id="209" w:name="_Toc330342559"/>
      <w:bookmarkStart w:id="210" w:name="_Toc349568740"/>
      <w:bookmarkStart w:id="211" w:name="_Toc369353508"/>
      <w:bookmarkStart w:id="212" w:name="_Toc330342810"/>
      <w:bookmarkStart w:id="213" w:name="_Toc769"/>
      <w:bookmarkStart w:id="214" w:name="_Toc361242555"/>
      <w:bookmarkStart w:id="215" w:name="_Toc330342813"/>
      <w:bookmarkStart w:id="216" w:name="_Toc24818"/>
      <w:bookmarkStart w:id="217" w:name="_Toc344397383"/>
      <w:bookmarkStart w:id="218" w:name="_Toc350516683"/>
      <w:bookmarkStart w:id="219" w:name="_Toc350515669"/>
      <w:bookmarkStart w:id="220" w:name="_Toc343510613"/>
      <w:bookmarkStart w:id="221" w:name="_Toc5685"/>
      <w:bookmarkStart w:id="222" w:name="_Toc344394214"/>
      <w:r>
        <w:rPr>
          <w:rFonts w:hint="eastAsia" w:ascii="宋体" w:hAnsi="宋体" w:cs="宋体"/>
          <w:sz w:val="28"/>
          <w:szCs w:val="28"/>
          <w:highlight w:val="none"/>
        </w:rPr>
        <w:br w:type="page"/>
      </w:r>
    </w:p>
    <w:p w14:paraId="33F36435">
      <w:pPr>
        <w:pStyle w:val="5"/>
        <w:spacing w:line="360" w:lineRule="auto"/>
        <w:rPr>
          <w:rFonts w:ascii="宋体" w:hAnsi="宋体" w:cs="宋体"/>
          <w:sz w:val="28"/>
          <w:szCs w:val="28"/>
          <w:highlight w:val="none"/>
        </w:rPr>
      </w:pPr>
      <w:bookmarkStart w:id="223" w:name="_Toc29600"/>
      <w:r>
        <w:rPr>
          <w:rFonts w:hint="eastAsia" w:ascii="宋体" w:hAnsi="宋体" w:cs="宋体"/>
          <w:sz w:val="28"/>
          <w:szCs w:val="28"/>
          <w:highlight w:val="none"/>
        </w:rPr>
        <w:t>2、投标函附录格式</w:t>
      </w:r>
      <w:bookmarkEnd w:id="223"/>
    </w:p>
    <w:p w14:paraId="4200EDB9">
      <w:pPr>
        <w:spacing w:line="360" w:lineRule="auto"/>
        <w:jc w:val="center"/>
        <w:rPr>
          <w:rFonts w:ascii="宋体" w:hAnsi="宋体" w:cs="宋体"/>
          <w:b/>
          <w:sz w:val="42"/>
          <w:highlight w:val="none"/>
        </w:rPr>
      </w:pPr>
      <w:r>
        <w:rPr>
          <w:rFonts w:hint="eastAsia" w:ascii="宋体" w:hAnsi="宋体" w:cs="宋体"/>
          <w:b/>
          <w:sz w:val="42"/>
          <w:highlight w:val="none"/>
        </w:rPr>
        <w:t>投 标 函 附 录</w:t>
      </w:r>
    </w:p>
    <w:tbl>
      <w:tblPr>
        <w:tblStyle w:val="2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6"/>
        <w:gridCol w:w="7176"/>
      </w:tblGrid>
      <w:tr w14:paraId="6C89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2786" w:type="dxa"/>
            <w:vAlign w:val="center"/>
          </w:tcPr>
          <w:p w14:paraId="324DC6DC">
            <w:pPr>
              <w:snapToGrid w:val="0"/>
              <w:spacing w:beforeLines="20" w:line="560" w:lineRule="exact"/>
              <w:jc w:val="center"/>
              <w:rPr>
                <w:rFonts w:ascii="宋体" w:hAnsi="宋体" w:cs="宋体"/>
                <w:sz w:val="24"/>
                <w:highlight w:val="none"/>
              </w:rPr>
            </w:pPr>
            <w:r>
              <w:rPr>
                <w:rFonts w:hint="eastAsia" w:ascii="宋体" w:hAnsi="宋体" w:cs="宋体"/>
                <w:sz w:val="24"/>
                <w:highlight w:val="none"/>
              </w:rPr>
              <w:t>招标编号</w:t>
            </w:r>
          </w:p>
        </w:tc>
        <w:tc>
          <w:tcPr>
            <w:tcW w:w="7176" w:type="dxa"/>
            <w:vAlign w:val="center"/>
          </w:tcPr>
          <w:p w14:paraId="6C3FAE00">
            <w:pPr>
              <w:snapToGrid w:val="0"/>
              <w:spacing w:beforeLines="20" w:line="560" w:lineRule="exact"/>
              <w:jc w:val="center"/>
              <w:rPr>
                <w:rFonts w:ascii="宋体" w:hAnsi="宋体" w:cs="宋体"/>
                <w:sz w:val="24"/>
                <w:highlight w:val="none"/>
              </w:rPr>
            </w:pPr>
          </w:p>
        </w:tc>
      </w:tr>
      <w:tr w14:paraId="5E8D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2786" w:type="dxa"/>
            <w:vAlign w:val="center"/>
          </w:tcPr>
          <w:p w14:paraId="6C0B8E12">
            <w:pPr>
              <w:snapToGrid w:val="0"/>
              <w:spacing w:beforeLines="20" w:line="560" w:lineRule="exact"/>
              <w:jc w:val="center"/>
              <w:rPr>
                <w:rFonts w:ascii="宋体" w:hAnsi="宋体" w:cs="宋体"/>
                <w:sz w:val="24"/>
                <w:highlight w:val="none"/>
              </w:rPr>
            </w:pPr>
            <w:r>
              <w:rPr>
                <w:rFonts w:hint="eastAsia" w:ascii="宋体" w:hAnsi="宋体" w:cs="宋体"/>
                <w:sz w:val="24"/>
                <w:highlight w:val="none"/>
              </w:rPr>
              <w:t>项目名称</w:t>
            </w:r>
          </w:p>
        </w:tc>
        <w:tc>
          <w:tcPr>
            <w:tcW w:w="7176" w:type="dxa"/>
            <w:vAlign w:val="center"/>
          </w:tcPr>
          <w:p w14:paraId="1818F0C3">
            <w:pPr>
              <w:snapToGrid w:val="0"/>
              <w:spacing w:beforeLines="20" w:line="560" w:lineRule="exact"/>
              <w:jc w:val="center"/>
              <w:rPr>
                <w:rFonts w:ascii="宋体" w:hAnsi="宋体" w:cs="宋体"/>
                <w:sz w:val="24"/>
                <w:highlight w:val="none"/>
              </w:rPr>
            </w:pPr>
          </w:p>
        </w:tc>
      </w:tr>
      <w:tr w14:paraId="7A80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2786" w:type="dxa"/>
            <w:vAlign w:val="center"/>
          </w:tcPr>
          <w:p w14:paraId="389D8F1C">
            <w:pPr>
              <w:snapToGrid w:val="0"/>
              <w:spacing w:beforeLines="20" w:line="560" w:lineRule="exact"/>
              <w:jc w:val="center"/>
              <w:rPr>
                <w:rFonts w:ascii="宋体" w:hAnsi="宋体" w:cs="宋体"/>
                <w:sz w:val="24"/>
                <w:highlight w:val="none"/>
              </w:rPr>
            </w:pPr>
            <w:r>
              <w:rPr>
                <w:rFonts w:hint="eastAsia" w:ascii="宋体" w:hAnsi="宋体" w:cs="宋体"/>
                <w:sz w:val="24"/>
                <w:highlight w:val="none"/>
              </w:rPr>
              <w:t>投标总价</w:t>
            </w:r>
          </w:p>
          <w:p w14:paraId="3F18EBBF">
            <w:pPr>
              <w:snapToGrid w:val="0"/>
              <w:spacing w:beforeLines="20" w:line="560" w:lineRule="exact"/>
              <w:jc w:val="center"/>
              <w:rPr>
                <w:rFonts w:ascii="宋体" w:hAnsi="宋体" w:cs="宋体"/>
                <w:sz w:val="24"/>
                <w:highlight w:val="none"/>
              </w:rPr>
            </w:pPr>
            <w:r>
              <w:rPr>
                <w:rFonts w:hint="eastAsia" w:ascii="宋体" w:hAnsi="宋体" w:cs="宋体"/>
                <w:sz w:val="24"/>
                <w:highlight w:val="none"/>
              </w:rPr>
              <w:t>（单位：元）</w:t>
            </w:r>
          </w:p>
        </w:tc>
        <w:tc>
          <w:tcPr>
            <w:tcW w:w="7176" w:type="dxa"/>
            <w:vAlign w:val="center"/>
          </w:tcPr>
          <w:p w14:paraId="73115E54">
            <w:pPr>
              <w:snapToGrid w:val="0"/>
              <w:spacing w:beforeLines="20" w:line="560" w:lineRule="exact"/>
              <w:jc w:val="left"/>
              <w:rPr>
                <w:rFonts w:ascii="宋体" w:hAnsi="宋体" w:cs="宋体"/>
                <w:sz w:val="24"/>
                <w:highlight w:val="none"/>
              </w:rPr>
            </w:pPr>
            <w:r>
              <w:rPr>
                <w:rFonts w:hint="eastAsia" w:ascii="宋体" w:hAnsi="宋体" w:cs="宋体"/>
                <w:sz w:val="24"/>
                <w:highlight w:val="none"/>
              </w:rPr>
              <w:t>小写：</w:t>
            </w:r>
            <w:r>
              <w:rPr>
                <w:rFonts w:hint="eastAsia" w:ascii="宋体" w:hAnsi="宋体" w:cs="宋体"/>
                <w:sz w:val="24"/>
                <w:highlight w:val="none"/>
                <w:u w:val="single"/>
              </w:rPr>
              <w:t xml:space="preserve">        </w:t>
            </w:r>
            <w:r>
              <w:rPr>
                <w:rFonts w:hint="eastAsia" w:ascii="宋体" w:hAnsi="宋体" w:cs="宋体"/>
                <w:sz w:val="24"/>
                <w:highlight w:val="none"/>
              </w:rPr>
              <w:t>元</w:t>
            </w:r>
          </w:p>
          <w:p w14:paraId="2C319E3F">
            <w:pPr>
              <w:snapToGrid w:val="0"/>
              <w:spacing w:beforeLines="20" w:line="560" w:lineRule="exact"/>
              <w:jc w:val="left"/>
              <w:rPr>
                <w:highlight w:val="none"/>
              </w:rPr>
            </w:pPr>
            <w:r>
              <w:rPr>
                <w:rFonts w:hint="eastAsia" w:ascii="宋体" w:hAnsi="宋体" w:cs="宋体"/>
                <w:sz w:val="24"/>
                <w:highlight w:val="none"/>
              </w:rPr>
              <w:t xml:space="preserve">大写： </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tc>
      </w:tr>
      <w:tr w14:paraId="6C34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786" w:type="dxa"/>
            <w:vAlign w:val="center"/>
          </w:tcPr>
          <w:p w14:paraId="2CEA18B6">
            <w:pPr>
              <w:snapToGrid w:val="0"/>
              <w:spacing w:beforeLines="20" w:line="560" w:lineRule="exact"/>
              <w:jc w:val="center"/>
              <w:rPr>
                <w:rFonts w:ascii="宋体" w:hAnsi="宋体" w:cs="宋体"/>
                <w:sz w:val="24"/>
                <w:highlight w:val="none"/>
              </w:rPr>
            </w:pPr>
            <w:r>
              <w:rPr>
                <w:rFonts w:hint="eastAsia" w:ascii="宋体" w:hAnsi="宋体" w:cs="宋体"/>
                <w:sz w:val="24"/>
                <w:highlight w:val="none"/>
              </w:rPr>
              <w:t>服务期限、供货及安装调试完成时间</w:t>
            </w:r>
          </w:p>
        </w:tc>
        <w:tc>
          <w:tcPr>
            <w:tcW w:w="7176" w:type="dxa"/>
            <w:vAlign w:val="center"/>
          </w:tcPr>
          <w:p w14:paraId="2F834B79">
            <w:pPr>
              <w:snapToGrid w:val="0"/>
              <w:spacing w:beforeLines="20" w:line="560" w:lineRule="exact"/>
              <w:jc w:val="center"/>
              <w:rPr>
                <w:rFonts w:ascii="宋体" w:hAnsi="宋体" w:cs="宋体"/>
                <w:bCs/>
                <w:sz w:val="24"/>
                <w:szCs w:val="24"/>
                <w:highlight w:val="none"/>
              </w:rPr>
            </w:pPr>
            <w:r>
              <w:rPr>
                <w:rFonts w:hint="eastAsia" w:ascii="宋体" w:hAnsi="宋体" w:cs="宋体"/>
                <w:bCs/>
                <w:sz w:val="24"/>
                <w:szCs w:val="24"/>
                <w:highlight w:val="none"/>
              </w:rPr>
              <w:t>服务期限：合同签订后两年，完成全部服务内容。（具体时间以合同签订为准）。</w:t>
            </w:r>
          </w:p>
          <w:p w14:paraId="61B50A89">
            <w:pPr>
              <w:snapToGrid w:val="0"/>
              <w:spacing w:beforeLines="20" w:line="560" w:lineRule="exact"/>
              <w:jc w:val="center"/>
              <w:rPr>
                <w:rFonts w:ascii="宋体" w:hAnsi="宋体" w:cs="宋体"/>
                <w:sz w:val="24"/>
                <w:highlight w:val="none"/>
              </w:rPr>
            </w:pPr>
            <w:r>
              <w:rPr>
                <w:rFonts w:hint="eastAsia" w:ascii="宋体" w:hAnsi="宋体" w:cs="宋体"/>
                <w:bCs/>
                <w:sz w:val="24"/>
                <w:szCs w:val="24"/>
                <w:highlight w:val="none"/>
              </w:rPr>
              <w:t>供货及安装调试完成时间：合同签订后（ 60 ）日内完成仪器设备供货安装。仪器设备调试完成，保证仪器设备正常运行。（具体时间以合同签订为准）。</w:t>
            </w:r>
          </w:p>
        </w:tc>
      </w:tr>
      <w:tr w14:paraId="4CDC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786" w:type="dxa"/>
            <w:vAlign w:val="center"/>
          </w:tcPr>
          <w:p w14:paraId="1E46937C">
            <w:pPr>
              <w:snapToGrid w:val="0"/>
              <w:spacing w:beforeLines="20" w:line="560" w:lineRule="exact"/>
              <w:jc w:val="center"/>
              <w:rPr>
                <w:rFonts w:ascii="宋体" w:hAnsi="宋体" w:cs="宋体"/>
                <w:sz w:val="24"/>
                <w:highlight w:val="none"/>
              </w:rPr>
            </w:pPr>
            <w:r>
              <w:rPr>
                <w:rFonts w:hint="eastAsia" w:ascii="宋体" w:hAnsi="宋体" w:cs="宋体"/>
                <w:sz w:val="24"/>
                <w:highlight w:val="none"/>
              </w:rPr>
              <w:t>交货地点</w:t>
            </w:r>
          </w:p>
        </w:tc>
        <w:tc>
          <w:tcPr>
            <w:tcW w:w="7176" w:type="dxa"/>
            <w:vAlign w:val="center"/>
          </w:tcPr>
          <w:p w14:paraId="19A4611A">
            <w:pPr>
              <w:snapToGrid w:val="0"/>
              <w:spacing w:beforeLines="20" w:line="560" w:lineRule="exact"/>
              <w:jc w:val="center"/>
              <w:rPr>
                <w:rFonts w:ascii="宋体" w:hAnsi="宋体" w:cs="宋体"/>
                <w:sz w:val="24"/>
                <w:highlight w:val="none"/>
              </w:rPr>
            </w:pPr>
            <w:r>
              <w:rPr>
                <w:rFonts w:hint="eastAsia" w:ascii="宋体" w:hAnsi="宋体" w:cs="宋体"/>
                <w:sz w:val="24"/>
                <w:szCs w:val="24"/>
                <w:highlight w:val="none"/>
              </w:rPr>
              <w:t>招标人</w:t>
            </w:r>
            <w:r>
              <w:rPr>
                <w:rFonts w:hint="eastAsia" w:ascii="宋体" w:hAnsi="宋体" w:cs="宋体"/>
                <w:kern w:val="0"/>
                <w:sz w:val="24"/>
                <w:highlight w:val="none"/>
              </w:rPr>
              <w:t>指定地点。</w:t>
            </w:r>
          </w:p>
        </w:tc>
      </w:tr>
      <w:tr w14:paraId="253C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2786" w:type="dxa"/>
            <w:vAlign w:val="center"/>
          </w:tcPr>
          <w:p w14:paraId="69D77A80">
            <w:pPr>
              <w:snapToGrid w:val="0"/>
              <w:spacing w:beforeLines="20" w:line="560" w:lineRule="exact"/>
              <w:jc w:val="center"/>
              <w:rPr>
                <w:rFonts w:ascii="宋体" w:hAnsi="宋体" w:cs="宋体"/>
                <w:sz w:val="24"/>
                <w:highlight w:val="none"/>
              </w:rPr>
            </w:pPr>
            <w:r>
              <w:rPr>
                <w:rFonts w:hint="eastAsia" w:ascii="宋体" w:hAnsi="宋体" w:cs="宋体"/>
                <w:sz w:val="24"/>
                <w:highlight w:val="none"/>
              </w:rPr>
              <w:t>质量要求</w:t>
            </w:r>
          </w:p>
        </w:tc>
        <w:tc>
          <w:tcPr>
            <w:tcW w:w="7176" w:type="dxa"/>
            <w:vAlign w:val="center"/>
          </w:tcPr>
          <w:p w14:paraId="18D02F37">
            <w:pPr>
              <w:snapToGrid w:val="0"/>
              <w:spacing w:beforeLines="20" w:line="560" w:lineRule="exact"/>
              <w:jc w:val="center"/>
              <w:rPr>
                <w:rFonts w:ascii="宋体" w:hAnsi="宋体" w:cs="宋体"/>
                <w:sz w:val="24"/>
                <w:highlight w:val="none"/>
              </w:rPr>
            </w:pPr>
            <w:r>
              <w:rPr>
                <w:rFonts w:hint="eastAsia" w:ascii="宋体" w:hAnsi="宋体" w:cs="宋体"/>
                <w:sz w:val="24"/>
                <w:highlight w:val="none"/>
              </w:rPr>
              <w:t>合格</w:t>
            </w:r>
          </w:p>
        </w:tc>
      </w:tr>
      <w:tr w14:paraId="2A1C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786" w:type="dxa"/>
            <w:vAlign w:val="center"/>
          </w:tcPr>
          <w:p w14:paraId="1C7150A7">
            <w:pPr>
              <w:snapToGrid w:val="0"/>
              <w:spacing w:beforeLines="20" w:line="560" w:lineRule="exact"/>
              <w:jc w:val="center"/>
              <w:rPr>
                <w:rFonts w:ascii="宋体" w:hAnsi="宋体" w:cs="宋体"/>
                <w:sz w:val="24"/>
                <w:highlight w:val="none"/>
              </w:rPr>
            </w:pPr>
            <w:r>
              <w:rPr>
                <w:rFonts w:hint="eastAsia" w:ascii="宋体" w:hAnsi="宋体" w:cs="宋体"/>
                <w:sz w:val="24"/>
                <w:highlight w:val="none"/>
              </w:rPr>
              <w:t>备注</w:t>
            </w:r>
          </w:p>
        </w:tc>
        <w:tc>
          <w:tcPr>
            <w:tcW w:w="7176" w:type="dxa"/>
            <w:vAlign w:val="center"/>
          </w:tcPr>
          <w:p w14:paraId="14852BEA">
            <w:pPr>
              <w:snapToGrid w:val="0"/>
              <w:spacing w:beforeLines="20" w:line="560" w:lineRule="exact"/>
              <w:jc w:val="center"/>
              <w:rPr>
                <w:rFonts w:ascii="宋体" w:hAnsi="宋体" w:cs="宋体"/>
                <w:sz w:val="24"/>
                <w:highlight w:val="none"/>
              </w:rPr>
            </w:pPr>
          </w:p>
        </w:tc>
      </w:tr>
    </w:tbl>
    <w:p w14:paraId="1A2418E1">
      <w:pPr>
        <w:spacing w:line="360" w:lineRule="auto"/>
        <w:ind w:firstLine="510"/>
        <w:rPr>
          <w:rFonts w:ascii="宋体" w:hAnsi="宋体" w:cs="宋体"/>
          <w:highlight w:val="none"/>
        </w:rPr>
      </w:pPr>
    </w:p>
    <w:p w14:paraId="14EE16B1">
      <w:pPr>
        <w:spacing w:line="360" w:lineRule="auto"/>
        <w:ind w:firstLine="510"/>
        <w:rPr>
          <w:rFonts w:ascii="宋体" w:hAnsi="宋体" w:cs="宋体"/>
          <w:highlight w:val="none"/>
        </w:rPr>
      </w:pPr>
    </w:p>
    <w:p w14:paraId="618B74BE">
      <w:pPr>
        <w:spacing w:line="360" w:lineRule="auto"/>
        <w:ind w:firstLine="510"/>
        <w:rPr>
          <w:rFonts w:ascii="宋体" w:hAnsi="宋体" w:cs="宋体"/>
          <w:highlight w:val="none"/>
        </w:rPr>
      </w:pPr>
    </w:p>
    <w:p w14:paraId="45CF3DCA">
      <w:pPr>
        <w:spacing w:before="60" w:after="60" w:line="360" w:lineRule="auto"/>
        <w:ind w:firstLine="510"/>
        <w:rPr>
          <w:rFonts w:ascii="宋体" w:hAnsi="宋体" w:cs="宋体"/>
          <w:sz w:val="24"/>
          <w:highlight w:val="none"/>
        </w:rPr>
      </w:pPr>
      <w:r>
        <w:rPr>
          <w:rFonts w:hint="eastAsia" w:ascii="宋体" w:hAnsi="宋体" w:cs="宋体"/>
          <w:sz w:val="24"/>
          <w:highlight w:val="none"/>
        </w:rPr>
        <w:t>投标人全称（盖公章）：________________________</w:t>
      </w:r>
    </w:p>
    <w:p w14:paraId="3D81DA1E">
      <w:pPr>
        <w:spacing w:before="60" w:after="60" w:line="360" w:lineRule="auto"/>
        <w:ind w:firstLine="510"/>
        <w:rPr>
          <w:rFonts w:ascii="宋体" w:hAnsi="宋体" w:cs="宋体"/>
          <w:sz w:val="24"/>
          <w:highlight w:val="none"/>
        </w:rPr>
      </w:pPr>
      <w:r>
        <w:rPr>
          <w:rFonts w:hint="eastAsia" w:ascii="宋体" w:hAnsi="宋体" w:cs="宋体"/>
          <w:sz w:val="24"/>
          <w:highlight w:val="none"/>
        </w:rPr>
        <w:t>法定代表人或负责人或授权委托代理人（签字或盖章）：__________</w:t>
      </w:r>
    </w:p>
    <w:p w14:paraId="282E43D6">
      <w:pPr>
        <w:spacing w:before="60" w:after="60" w:line="360" w:lineRule="auto"/>
        <w:ind w:firstLine="510"/>
        <w:rPr>
          <w:rFonts w:ascii="宋体" w:hAnsi="宋体" w:cs="宋体"/>
          <w:sz w:val="24"/>
          <w:highlight w:val="none"/>
        </w:rPr>
      </w:pPr>
      <w:r>
        <w:rPr>
          <w:rFonts w:hint="eastAsia" w:ascii="宋体" w:hAnsi="宋体" w:cs="宋体"/>
          <w:sz w:val="24"/>
          <w:highlight w:val="none"/>
        </w:rPr>
        <w:t>日期：_______年____月_____日</w:t>
      </w:r>
    </w:p>
    <w:p w14:paraId="12EF8BB4">
      <w:pPr>
        <w:rPr>
          <w:rFonts w:ascii="宋体" w:hAnsi="宋体" w:cs="宋体"/>
          <w:highlight w:val="none"/>
        </w:rPr>
        <w:sectPr>
          <w:headerReference r:id="rId13" w:type="default"/>
          <w:footerReference r:id="rId14" w:type="default"/>
          <w:pgSz w:w="11906" w:h="16838"/>
          <w:pgMar w:top="1134" w:right="1134" w:bottom="993" w:left="1134" w:header="454" w:footer="454" w:gutter="0"/>
          <w:cols w:space="720" w:num="1"/>
          <w:docGrid w:linePitch="312" w:charSpace="0"/>
        </w:sectPr>
      </w:pPr>
    </w:p>
    <w:p w14:paraId="1F1AB3D0">
      <w:pPr>
        <w:pStyle w:val="5"/>
        <w:spacing w:line="360" w:lineRule="auto"/>
        <w:rPr>
          <w:rFonts w:ascii="宋体" w:hAnsi="宋体" w:cs="宋体"/>
          <w:sz w:val="28"/>
          <w:szCs w:val="28"/>
          <w:highlight w:val="none"/>
        </w:rPr>
      </w:pPr>
    </w:p>
    <w:p w14:paraId="7851E3E5">
      <w:pPr>
        <w:jc w:val="center"/>
        <w:rPr>
          <w:rFonts w:ascii="宋体" w:hAnsi="宋体"/>
          <w:b/>
          <w:sz w:val="44"/>
          <w:szCs w:val="44"/>
          <w:highlight w:val="none"/>
        </w:rPr>
      </w:pPr>
      <w:bookmarkStart w:id="224" w:name="OLE_LINK12"/>
      <w:r>
        <w:rPr>
          <w:rFonts w:hint="eastAsia" w:ascii="宋体" w:hAnsi="宋体"/>
          <w:b/>
          <w:sz w:val="44"/>
          <w:szCs w:val="44"/>
          <w:highlight w:val="none"/>
        </w:rPr>
        <w:t>2.1投标报价汇总表</w:t>
      </w:r>
    </w:p>
    <w:p w14:paraId="51EEE31D">
      <w:pPr>
        <w:pStyle w:val="2"/>
        <w:rPr>
          <w:rFonts w:ascii="宋体" w:hAnsi="宋体"/>
          <w:b/>
          <w:sz w:val="44"/>
          <w:szCs w:val="44"/>
          <w:highlight w:val="none"/>
        </w:rPr>
      </w:pPr>
    </w:p>
    <w:p w14:paraId="30685B41">
      <w:pPr>
        <w:rPr>
          <w:highlight w:val="none"/>
        </w:rPr>
      </w:pPr>
    </w:p>
    <w:tbl>
      <w:tblPr>
        <w:tblStyle w:val="29"/>
        <w:tblW w:w="14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1"/>
        <w:gridCol w:w="6518"/>
        <w:gridCol w:w="4549"/>
      </w:tblGrid>
      <w:tr w14:paraId="307F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111" w:type="dxa"/>
          </w:tcPr>
          <w:p w14:paraId="39BF27C8">
            <w:pPr>
              <w:jc w:val="center"/>
              <w:rPr>
                <w:rFonts w:ascii="宋体" w:hAnsi="宋体"/>
                <w:sz w:val="24"/>
                <w:highlight w:val="none"/>
              </w:rPr>
            </w:pPr>
            <w:r>
              <w:rPr>
                <w:rFonts w:hint="eastAsia" w:ascii="宋体" w:hAnsi="宋体"/>
                <w:sz w:val="24"/>
                <w:highlight w:val="none"/>
              </w:rPr>
              <w:t>序号</w:t>
            </w:r>
          </w:p>
        </w:tc>
        <w:tc>
          <w:tcPr>
            <w:tcW w:w="6518" w:type="dxa"/>
          </w:tcPr>
          <w:p w14:paraId="7C6DB243">
            <w:pPr>
              <w:jc w:val="center"/>
              <w:rPr>
                <w:rFonts w:ascii="宋体" w:hAnsi="宋体"/>
                <w:sz w:val="24"/>
                <w:highlight w:val="none"/>
              </w:rPr>
            </w:pPr>
            <w:r>
              <w:rPr>
                <w:rFonts w:hint="eastAsia" w:ascii="宋体" w:hAnsi="宋体"/>
                <w:sz w:val="24"/>
                <w:highlight w:val="none"/>
              </w:rPr>
              <w:t>名称</w:t>
            </w:r>
          </w:p>
        </w:tc>
        <w:tc>
          <w:tcPr>
            <w:tcW w:w="4549" w:type="dxa"/>
          </w:tcPr>
          <w:p w14:paraId="4962B428">
            <w:pPr>
              <w:jc w:val="center"/>
              <w:rPr>
                <w:rFonts w:ascii="宋体" w:hAnsi="宋体"/>
                <w:sz w:val="24"/>
                <w:highlight w:val="none"/>
              </w:rPr>
            </w:pPr>
            <w:r>
              <w:rPr>
                <w:rFonts w:hint="eastAsia" w:ascii="宋体" w:hAnsi="宋体"/>
                <w:sz w:val="24"/>
                <w:highlight w:val="none"/>
              </w:rPr>
              <w:t>投标报价（元）</w:t>
            </w:r>
          </w:p>
        </w:tc>
      </w:tr>
      <w:tr w14:paraId="24AA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111" w:type="dxa"/>
          </w:tcPr>
          <w:p w14:paraId="0EDDAED6">
            <w:pPr>
              <w:jc w:val="center"/>
              <w:rPr>
                <w:rFonts w:ascii="宋体" w:hAnsi="宋体"/>
                <w:sz w:val="24"/>
                <w:highlight w:val="none"/>
              </w:rPr>
            </w:pPr>
            <w:r>
              <w:rPr>
                <w:rFonts w:hint="eastAsia" w:ascii="宋体" w:hAnsi="宋体"/>
                <w:sz w:val="24"/>
                <w:highlight w:val="none"/>
              </w:rPr>
              <w:t>1</w:t>
            </w:r>
          </w:p>
        </w:tc>
        <w:tc>
          <w:tcPr>
            <w:tcW w:w="6518" w:type="dxa"/>
          </w:tcPr>
          <w:p w14:paraId="6870F39A">
            <w:pPr>
              <w:jc w:val="center"/>
              <w:rPr>
                <w:rFonts w:ascii="宋体" w:hAnsi="宋体"/>
                <w:sz w:val="24"/>
                <w:highlight w:val="none"/>
              </w:rPr>
            </w:pPr>
            <w:r>
              <w:rPr>
                <w:rFonts w:ascii="宋体" w:hAnsi="宋体"/>
                <w:sz w:val="24"/>
                <w:highlight w:val="none"/>
              </w:rPr>
              <w:t>修复项目管护能力建设</w:t>
            </w:r>
          </w:p>
        </w:tc>
        <w:tc>
          <w:tcPr>
            <w:tcW w:w="4549" w:type="dxa"/>
          </w:tcPr>
          <w:p w14:paraId="756929A6">
            <w:pPr>
              <w:jc w:val="center"/>
              <w:rPr>
                <w:rFonts w:ascii="宋体" w:hAnsi="宋体"/>
                <w:sz w:val="24"/>
                <w:highlight w:val="none"/>
              </w:rPr>
            </w:pPr>
          </w:p>
        </w:tc>
      </w:tr>
      <w:tr w14:paraId="5B10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111" w:type="dxa"/>
          </w:tcPr>
          <w:p w14:paraId="3C45F90F">
            <w:pPr>
              <w:jc w:val="center"/>
              <w:rPr>
                <w:rFonts w:ascii="宋体" w:hAnsi="宋体"/>
                <w:sz w:val="24"/>
                <w:highlight w:val="none"/>
              </w:rPr>
            </w:pPr>
            <w:r>
              <w:rPr>
                <w:rFonts w:hint="eastAsia" w:ascii="宋体" w:hAnsi="宋体"/>
                <w:sz w:val="24"/>
                <w:highlight w:val="none"/>
              </w:rPr>
              <w:t>2</w:t>
            </w:r>
          </w:p>
        </w:tc>
        <w:tc>
          <w:tcPr>
            <w:tcW w:w="6518" w:type="dxa"/>
          </w:tcPr>
          <w:p w14:paraId="4AEDE86D">
            <w:pPr>
              <w:jc w:val="center"/>
              <w:rPr>
                <w:rFonts w:ascii="宋体" w:hAnsi="宋体"/>
                <w:sz w:val="24"/>
                <w:highlight w:val="none"/>
              </w:rPr>
            </w:pPr>
            <w:bookmarkStart w:id="225" w:name="OLE_LINK15"/>
            <w:r>
              <w:rPr>
                <w:rFonts w:hint="eastAsia" w:ascii="宋体" w:hAnsi="宋体"/>
                <w:sz w:val="24"/>
                <w:highlight w:val="none"/>
              </w:rPr>
              <w:t>浒苔处置监测预报服务</w:t>
            </w:r>
            <w:bookmarkEnd w:id="225"/>
          </w:p>
        </w:tc>
        <w:tc>
          <w:tcPr>
            <w:tcW w:w="4549" w:type="dxa"/>
          </w:tcPr>
          <w:p w14:paraId="7468695D">
            <w:pPr>
              <w:jc w:val="center"/>
              <w:rPr>
                <w:rFonts w:ascii="宋体" w:hAnsi="宋体"/>
                <w:sz w:val="24"/>
                <w:highlight w:val="none"/>
              </w:rPr>
            </w:pPr>
          </w:p>
        </w:tc>
      </w:tr>
      <w:tr w14:paraId="7EC4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111" w:type="dxa"/>
          </w:tcPr>
          <w:p w14:paraId="459042CD">
            <w:pPr>
              <w:jc w:val="center"/>
              <w:rPr>
                <w:rFonts w:ascii="宋体" w:hAnsi="宋体"/>
                <w:sz w:val="24"/>
                <w:highlight w:val="none"/>
              </w:rPr>
            </w:pPr>
            <w:r>
              <w:rPr>
                <w:rFonts w:hint="eastAsia" w:ascii="宋体" w:hAnsi="宋体"/>
                <w:sz w:val="24"/>
                <w:highlight w:val="none"/>
              </w:rPr>
              <w:t>合计</w:t>
            </w:r>
            <w:r>
              <w:rPr>
                <w:rFonts w:hint="eastAsia" w:ascii="宋体" w:hAnsi="宋体"/>
                <w:b/>
                <w:bCs/>
                <w:sz w:val="24"/>
                <w:highlight w:val="none"/>
              </w:rPr>
              <w:t>（元）</w:t>
            </w:r>
          </w:p>
        </w:tc>
        <w:tc>
          <w:tcPr>
            <w:tcW w:w="6518" w:type="dxa"/>
          </w:tcPr>
          <w:p w14:paraId="5CFB476E">
            <w:pPr>
              <w:jc w:val="center"/>
              <w:rPr>
                <w:rFonts w:ascii="宋体" w:hAnsi="宋体"/>
                <w:sz w:val="24"/>
                <w:highlight w:val="none"/>
              </w:rPr>
            </w:pPr>
          </w:p>
        </w:tc>
        <w:tc>
          <w:tcPr>
            <w:tcW w:w="4549" w:type="dxa"/>
          </w:tcPr>
          <w:p w14:paraId="3977F454">
            <w:pPr>
              <w:jc w:val="center"/>
              <w:rPr>
                <w:rFonts w:ascii="宋体" w:hAnsi="宋体"/>
                <w:sz w:val="24"/>
                <w:highlight w:val="none"/>
              </w:rPr>
            </w:pPr>
          </w:p>
        </w:tc>
      </w:tr>
      <w:bookmarkEnd w:id="224"/>
    </w:tbl>
    <w:p w14:paraId="32885F58">
      <w:pPr>
        <w:jc w:val="center"/>
        <w:rPr>
          <w:rFonts w:ascii="宋体" w:hAnsi="宋体"/>
          <w:b/>
          <w:sz w:val="44"/>
          <w:szCs w:val="44"/>
          <w:highlight w:val="none"/>
        </w:rPr>
      </w:pPr>
    </w:p>
    <w:p w14:paraId="7DCE7E24">
      <w:pPr>
        <w:jc w:val="center"/>
        <w:rPr>
          <w:rFonts w:ascii="宋体" w:hAnsi="宋体"/>
          <w:b/>
          <w:sz w:val="44"/>
          <w:szCs w:val="44"/>
          <w:highlight w:val="none"/>
        </w:rPr>
      </w:pPr>
    </w:p>
    <w:p w14:paraId="1BB91FCC">
      <w:pPr>
        <w:pStyle w:val="2"/>
        <w:rPr>
          <w:rFonts w:ascii="宋体" w:hAnsi="宋体"/>
          <w:b/>
          <w:sz w:val="44"/>
          <w:szCs w:val="44"/>
          <w:highlight w:val="none"/>
        </w:rPr>
      </w:pPr>
    </w:p>
    <w:p w14:paraId="32BF1053">
      <w:pPr>
        <w:rPr>
          <w:rFonts w:ascii="宋体" w:hAnsi="宋体"/>
          <w:b/>
          <w:sz w:val="44"/>
          <w:szCs w:val="44"/>
          <w:highlight w:val="none"/>
        </w:rPr>
      </w:pPr>
    </w:p>
    <w:p w14:paraId="7765D363">
      <w:pPr>
        <w:pStyle w:val="2"/>
        <w:rPr>
          <w:rFonts w:ascii="宋体" w:hAnsi="宋体"/>
          <w:b/>
          <w:sz w:val="44"/>
          <w:szCs w:val="44"/>
          <w:highlight w:val="none"/>
        </w:rPr>
      </w:pPr>
    </w:p>
    <w:p w14:paraId="29D2493F">
      <w:pPr>
        <w:rPr>
          <w:rFonts w:ascii="宋体" w:hAnsi="宋体"/>
          <w:b/>
          <w:sz w:val="44"/>
          <w:szCs w:val="44"/>
          <w:highlight w:val="none"/>
        </w:rPr>
      </w:pPr>
    </w:p>
    <w:p w14:paraId="38FCCE39">
      <w:pPr>
        <w:pStyle w:val="2"/>
        <w:rPr>
          <w:rFonts w:ascii="宋体" w:hAnsi="宋体"/>
          <w:b/>
          <w:sz w:val="44"/>
          <w:szCs w:val="44"/>
          <w:highlight w:val="none"/>
        </w:rPr>
      </w:pPr>
    </w:p>
    <w:p w14:paraId="4A5AD18E">
      <w:pPr>
        <w:rPr>
          <w:highlight w:val="none"/>
        </w:rPr>
      </w:pPr>
    </w:p>
    <w:p w14:paraId="2033DB20">
      <w:pPr>
        <w:jc w:val="center"/>
        <w:rPr>
          <w:rFonts w:ascii="宋体" w:hAnsi="宋体"/>
          <w:b/>
          <w:sz w:val="44"/>
          <w:szCs w:val="44"/>
          <w:highlight w:val="none"/>
        </w:rPr>
      </w:pPr>
    </w:p>
    <w:p w14:paraId="52151997">
      <w:pPr>
        <w:jc w:val="center"/>
        <w:rPr>
          <w:rFonts w:ascii="宋体" w:hAnsi="宋体"/>
          <w:b/>
          <w:sz w:val="44"/>
          <w:szCs w:val="44"/>
          <w:highlight w:val="none"/>
        </w:rPr>
      </w:pPr>
      <w:r>
        <w:rPr>
          <w:rFonts w:hint="eastAsia" w:ascii="宋体" w:hAnsi="宋体"/>
          <w:b/>
          <w:sz w:val="44"/>
          <w:szCs w:val="44"/>
          <w:highlight w:val="none"/>
        </w:rPr>
        <w:t>2.2</w:t>
      </w:r>
      <w:bookmarkStart w:id="226" w:name="OLE_LINK14"/>
      <w:r>
        <w:rPr>
          <w:rFonts w:hint="eastAsia" w:ascii="宋体" w:hAnsi="宋体"/>
          <w:b/>
          <w:sz w:val="44"/>
          <w:szCs w:val="44"/>
          <w:highlight w:val="none"/>
        </w:rPr>
        <w:t>修复项目管护能力建设分析报价表</w:t>
      </w:r>
      <w:bookmarkEnd w:id="226"/>
      <w:r>
        <w:rPr>
          <w:rFonts w:hint="eastAsia" w:ascii="宋体" w:hAnsi="宋体"/>
          <w:b/>
          <w:sz w:val="44"/>
          <w:szCs w:val="44"/>
          <w:highlight w:val="none"/>
        </w:rPr>
        <w:t xml:space="preserve"> </w:t>
      </w:r>
    </w:p>
    <w:p w14:paraId="0D34AD4B">
      <w:pPr>
        <w:pStyle w:val="12"/>
        <w:jc w:val="center"/>
        <w:rPr>
          <w:highlight w:val="none"/>
        </w:rPr>
      </w:pPr>
    </w:p>
    <w:tbl>
      <w:tblPr>
        <w:tblStyle w:val="28"/>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562"/>
        <w:gridCol w:w="859"/>
        <w:gridCol w:w="970"/>
        <w:gridCol w:w="1463"/>
        <w:gridCol w:w="1272"/>
        <w:gridCol w:w="2019"/>
        <w:gridCol w:w="1144"/>
        <w:gridCol w:w="1144"/>
        <w:gridCol w:w="1001"/>
        <w:gridCol w:w="1786"/>
      </w:tblGrid>
      <w:tr w14:paraId="21D5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835" w:type="dxa"/>
            <w:vAlign w:val="center"/>
          </w:tcPr>
          <w:p w14:paraId="5F2783E4">
            <w:pPr>
              <w:jc w:val="center"/>
              <w:rPr>
                <w:rFonts w:ascii="宋体" w:hAnsi="宋体"/>
                <w:sz w:val="24"/>
                <w:highlight w:val="none"/>
              </w:rPr>
            </w:pPr>
            <w:r>
              <w:rPr>
                <w:rFonts w:ascii="宋体" w:hAnsi="宋体"/>
                <w:sz w:val="24"/>
                <w:highlight w:val="none"/>
              </w:rPr>
              <w:t>1</w:t>
            </w:r>
          </w:p>
        </w:tc>
        <w:tc>
          <w:tcPr>
            <w:tcW w:w="1562" w:type="dxa"/>
            <w:vAlign w:val="center"/>
          </w:tcPr>
          <w:p w14:paraId="2BACBB32">
            <w:pPr>
              <w:jc w:val="center"/>
              <w:rPr>
                <w:rFonts w:ascii="宋体" w:hAnsi="宋体"/>
                <w:sz w:val="24"/>
                <w:highlight w:val="none"/>
              </w:rPr>
            </w:pPr>
            <w:r>
              <w:rPr>
                <w:rFonts w:ascii="宋体" w:hAnsi="宋体"/>
                <w:sz w:val="24"/>
                <w:highlight w:val="none"/>
              </w:rPr>
              <w:t>2</w:t>
            </w:r>
          </w:p>
        </w:tc>
        <w:tc>
          <w:tcPr>
            <w:tcW w:w="859" w:type="dxa"/>
            <w:vAlign w:val="center"/>
          </w:tcPr>
          <w:p w14:paraId="7C9D6782">
            <w:pPr>
              <w:jc w:val="center"/>
              <w:rPr>
                <w:rFonts w:ascii="宋体" w:hAnsi="宋体"/>
                <w:sz w:val="24"/>
                <w:highlight w:val="none"/>
              </w:rPr>
            </w:pPr>
            <w:r>
              <w:rPr>
                <w:rFonts w:ascii="宋体" w:hAnsi="宋体"/>
                <w:sz w:val="24"/>
                <w:highlight w:val="none"/>
              </w:rPr>
              <w:t>3</w:t>
            </w:r>
          </w:p>
        </w:tc>
        <w:tc>
          <w:tcPr>
            <w:tcW w:w="2433" w:type="dxa"/>
            <w:gridSpan w:val="2"/>
            <w:vAlign w:val="center"/>
          </w:tcPr>
          <w:p w14:paraId="563BD565">
            <w:pPr>
              <w:jc w:val="center"/>
              <w:rPr>
                <w:rFonts w:ascii="宋体" w:hAnsi="宋体"/>
                <w:sz w:val="24"/>
                <w:highlight w:val="none"/>
              </w:rPr>
            </w:pPr>
            <w:r>
              <w:rPr>
                <w:rFonts w:ascii="宋体" w:hAnsi="宋体"/>
                <w:sz w:val="24"/>
                <w:highlight w:val="none"/>
              </w:rPr>
              <w:t>4</w:t>
            </w:r>
          </w:p>
        </w:tc>
        <w:tc>
          <w:tcPr>
            <w:tcW w:w="4435" w:type="dxa"/>
            <w:gridSpan w:val="3"/>
            <w:vAlign w:val="center"/>
          </w:tcPr>
          <w:p w14:paraId="3372F192">
            <w:pPr>
              <w:jc w:val="center"/>
              <w:rPr>
                <w:rFonts w:ascii="宋体" w:hAnsi="宋体"/>
                <w:sz w:val="24"/>
                <w:highlight w:val="none"/>
              </w:rPr>
            </w:pPr>
            <w:r>
              <w:rPr>
                <w:rFonts w:ascii="宋体" w:hAnsi="宋体"/>
                <w:sz w:val="24"/>
                <w:highlight w:val="none"/>
              </w:rPr>
              <w:t>5</w:t>
            </w:r>
          </w:p>
        </w:tc>
        <w:tc>
          <w:tcPr>
            <w:tcW w:w="1144" w:type="dxa"/>
            <w:vAlign w:val="center"/>
          </w:tcPr>
          <w:p w14:paraId="44EA8092">
            <w:pPr>
              <w:jc w:val="center"/>
              <w:rPr>
                <w:rFonts w:ascii="宋体" w:hAnsi="宋体"/>
                <w:sz w:val="24"/>
                <w:highlight w:val="none"/>
              </w:rPr>
            </w:pPr>
            <w:r>
              <w:rPr>
                <w:rFonts w:ascii="宋体" w:hAnsi="宋体"/>
                <w:sz w:val="24"/>
                <w:highlight w:val="none"/>
              </w:rPr>
              <w:t>6</w:t>
            </w:r>
          </w:p>
        </w:tc>
        <w:tc>
          <w:tcPr>
            <w:tcW w:w="1001" w:type="dxa"/>
            <w:vAlign w:val="center"/>
          </w:tcPr>
          <w:p w14:paraId="0998DB57">
            <w:pPr>
              <w:jc w:val="center"/>
              <w:rPr>
                <w:rFonts w:ascii="宋体" w:hAnsi="宋体"/>
                <w:sz w:val="24"/>
                <w:highlight w:val="none"/>
              </w:rPr>
            </w:pPr>
            <w:r>
              <w:rPr>
                <w:rFonts w:ascii="宋体" w:hAnsi="宋体"/>
                <w:sz w:val="24"/>
                <w:highlight w:val="none"/>
              </w:rPr>
              <w:t>7</w:t>
            </w:r>
          </w:p>
        </w:tc>
        <w:tc>
          <w:tcPr>
            <w:tcW w:w="1786" w:type="dxa"/>
            <w:vAlign w:val="center"/>
          </w:tcPr>
          <w:p w14:paraId="0C359E4B">
            <w:pPr>
              <w:jc w:val="center"/>
              <w:rPr>
                <w:rFonts w:ascii="宋体" w:hAnsi="宋体"/>
                <w:sz w:val="24"/>
                <w:highlight w:val="none"/>
              </w:rPr>
            </w:pPr>
            <w:r>
              <w:rPr>
                <w:rFonts w:ascii="宋体" w:hAnsi="宋体"/>
                <w:sz w:val="24"/>
                <w:highlight w:val="none"/>
              </w:rPr>
              <w:t>8</w:t>
            </w:r>
          </w:p>
        </w:tc>
      </w:tr>
      <w:tr w14:paraId="5080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trPr>
        <w:tc>
          <w:tcPr>
            <w:tcW w:w="835" w:type="dxa"/>
            <w:vMerge w:val="restart"/>
            <w:vAlign w:val="center"/>
          </w:tcPr>
          <w:p w14:paraId="4A0B0794">
            <w:pPr>
              <w:jc w:val="center"/>
              <w:rPr>
                <w:rFonts w:ascii="宋体"/>
                <w:sz w:val="24"/>
                <w:highlight w:val="none"/>
              </w:rPr>
            </w:pPr>
            <w:r>
              <w:rPr>
                <w:rFonts w:hint="eastAsia" w:ascii="宋体" w:hAnsi="宋体"/>
                <w:sz w:val="24"/>
                <w:highlight w:val="none"/>
              </w:rPr>
              <w:t>序号</w:t>
            </w:r>
          </w:p>
        </w:tc>
        <w:tc>
          <w:tcPr>
            <w:tcW w:w="1562" w:type="dxa"/>
            <w:vMerge w:val="restart"/>
            <w:vAlign w:val="center"/>
          </w:tcPr>
          <w:p w14:paraId="54F02DEE">
            <w:pPr>
              <w:jc w:val="center"/>
              <w:rPr>
                <w:rFonts w:ascii="宋体"/>
                <w:sz w:val="24"/>
                <w:highlight w:val="none"/>
              </w:rPr>
            </w:pPr>
            <w:r>
              <w:rPr>
                <w:rFonts w:hint="eastAsia" w:ascii="宋体" w:hAnsi="宋体"/>
                <w:sz w:val="24"/>
                <w:highlight w:val="none"/>
              </w:rPr>
              <w:t>货物名称</w:t>
            </w:r>
          </w:p>
        </w:tc>
        <w:tc>
          <w:tcPr>
            <w:tcW w:w="859" w:type="dxa"/>
            <w:vMerge w:val="restart"/>
            <w:vAlign w:val="center"/>
          </w:tcPr>
          <w:p w14:paraId="40717AF8">
            <w:pPr>
              <w:jc w:val="center"/>
              <w:rPr>
                <w:rFonts w:ascii="宋体"/>
                <w:sz w:val="24"/>
                <w:highlight w:val="none"/>
              </w:rPr>
            </w:pPr>
            <w:r>
              <w:rPr>
                <w:rFonts w:hint="eastAsia" w:ascii="宋体" w:hAnsi="宋体"/>
                <w:sz w:val="24"/>
                <w:highlight w:val="none"/>
              </w:rPr>
              <w:t>数量</w:t>
            </w:r>
          </w:p>
        </w:tc>
        <w:tc>
          <w:tcPr>
            <w:tcW w:w="970" w:type="dxa"/>
            <w:vMerge w:val="restart"/>
            <w:vAlign w:val="center"/>
          </w:tcPr>
          <w:p w14:paraId="423ADB86">
            <w:pPr>
              <w:jc w:val="center"/>
              <w:rPr>
                <w:rFonts w:ascii="宋体"/>
                <w:sz w:val="24"/>
                <w:highlight w:val="none"/>
              </w:rPr>
            </w:pPr>
            <w:r>
              <w:rPr>
                <w:rFonts w:hint="eastAsia" w:ascii="宋体" w:hAnsi="宋体"/>
                <w:sz w:val="24"/>
                <w:highlight w:val="none"/>
              </w:rPr>
              <w:t>品牌、型号</w:t>
            </w:r>
          </w:p>
        </w:tc>
        <w:tc>
          <w:tcPr>
            <w:tcW w:w="1463" w:type="dxa"/>
            <w:vMerge w:val="restart"/>
            <w:vAlign w:val="center"/>
          </w:tcPr>
          <w:p w14:paraId="4799D34A">
            <w:pPr>
              <w:jc w:val="center"/>
              <w:rPr>
                <w:rFonts w:ascii="宋体" w:hAnsi="宋体"/>
                <w:sz w:val="24"/>
                <w:highlight w:val="none"/>
              </w:rPr>
            </w:pPr>
            <w:r>
              <w:rPr>
                <w:rFonts w:hint="eastAsia" w:ascii="宋体" w:hAnsi="宋体"/>
                <w:sz w:val="24"/>
                <w:highlight w:val="none"/>
              </w:rPr>
              <w:t>生产厂家及产地</w:t>
            </w:r>
          </w:p>
        </w:tc>
        <w:tc>
          <w:tcPr>
            <w:tcW w:w="4435" w:type="dxa"/>
            <w:gridSpan w:val="3"/>
            <w:vAlign w:val="center"/>
          </w:tcPr>
          <w:p w14:paraId="1ABDABFD">
            <w:pPr>
              <w:jc w:val="center"/>
              <w:rPr>
                <w:rFonts w:ascii="宋体"/>
                <w:sz w:val="24"/>
                <w:highlight w:val="none"/>
              </w:rPr>
            </w:pPr>
            <w:r>
              <w:rPr>
                <w:rFonts w:hint="eastAsia" w:ascii="宋体" w:hAnsi="宋体"/>
                <w:sz w:val="24"/>
                <w:highlight w:val="none"/>
              </w:rPr>
              <w:t>交货单价</w:t>
            </w:r>
          </w:p>
        </w:tc>
        <w:tc>
          <w:tcPr>
            <w:tcW w:w="1144" w:type="dxa"/>
            <w:vAlign w:val="center"/>
          </w:tcPr>
          <w:p w14:paraId="2029A233">
            <w:pPr>
              <w:widowControl/>
              <w:jc w:val="center"/>
              <w:rPr>
                <w:rFonts w:ascii="宋体"/>
                <w:sz w:val="24"/>
                <w:highlight w:val="none"/>
              </w:rPr>
            </w:pPr>
            <w:r>
              <w:rPr>
                <w:rFonts w:hint="eastAsia" w:ascii="宋体" w:hAnsi="宋体"/>
                <w:sz w:val="24"/>
                <w:highlight w:val="none"/>
              </w:rPr>
              <w:t>运保费</w:t>
            </w:r>
          </w:p>
        </w:tc>
        <w:tc>
          <w:tcPr>
            <w:tcW w:w="1001" w:type="dxa"/>
            <w:vAlign w:val="center"/>
          </w:tcPr>
          <w:p w14:paraId="73337F6E">
            <w:pPr>
              <w:jc w:val="center"/>
              <w:rPr>
                <w:rFonts w:ascii="宋体"/>
                <w:sz w:val="24"/>
                <w:highlight w:val="none"/>
              </w:rPr>
            </w:pPr>
            <w:r>
              <w:rPr>
                <w:rFonts w:hint="eastAsia" w:ascii="宋体" w:hAnsi="宋体"/>
                <w:sz w:val="24"/>
                <w:highlight w:val="none"/>
              </w:rPr>
              <w:t>其他</w:t>
            </w:r>
          </w:p>
        </w:tc>
        <w:tc>
          <w:tcPr>
            <w:tcW w:w="1786" w:type="dxa"/>
            <w:vAlign w:val="center"/>
          </w:tcPr>
          <w:p w14:paraId="20CB4930">
            <w:pPr>
              <w:jc w:val="center"/>
              <w:rPr>
                <w:rFonts w:ascii="宋体"/>
                <w:sz w:val="24"/>
                <w:highlight w:val="none"/>
              </w:rPr>
            </w:pPr>
            <w:r>
              <w:rPr>
                <w:rFonts w:hint="eastAsia" w:ascii="宋体" w:hAnsi="宋体"/>
                <w:sz w:val="24"/>
                <w:highlight w:val="none"/>
              </w:rPr>
              <w:t>合价【项</w:t>
            </w:r>
            <w:r>
              <w:rPr>
                <w:rFonts w:ascii="宋体" w:hAnsi="宋体"/>
                <w:sz w:val="24"/>
                <w:highlight w:val="none"/>
              </w:rPr>
              <w:t>3</w:t>
            </w:r>
            <w:r>
              <w:rPr>
                <w:rFonts w:hint="eastAsia" w:ascii="宋体" w:hAnsi="宋体"/>
                <w:sz w:val="24"/>
                <w:highlight w:val="none"/>
              </w:rPr>
              <w:t>×（项</w:t>
            </w:r>
            <w:r>
              <w:rPr>
                <w:rFonts w:ascii="宋体" w:hAnsi="宋体"/>
                <w:sz w:val="24"/>
                <w:highlight w:val="none"/>
              </w:rPr>
              <w:t>5+</w:t>
            </w:r>
            <w:r>
              <w:rPr>
                <w:rFonts w:hint="eastAsia" w:ascii="宋体" w:hAnsi="宋体"/>
                <w:sz w:val="24"/>
                <w:highlight w:val="none"/>
              </w:rPr>
              <w:t>项</w:t>
            </w:r>
            <w:r>
              <w:rPr>
                <w:rFonts w:ascii="宋体" w:hAnsi="宋体"/>
                <w:sz w:val="24"/>
                <w:highlight w:val="none"/>
              </w:rPr>
              <w:t>6+</w:t>
            </w:r>
            <w:r>
              <w:rPr>
                <w:rFonts w:hint="eastAsia" w:ascii="宋体" w:hAnsi="宋体"/>
                <w:sz w:val="24"/>
                <w:highlight w:val="none"/>
              </w:rPr>
              <w:t>项</w:t>
            </w:r>
            <w:r>
              <w:rPr>
                <w:rFonts w:ascii="宋体" w:hAnsi="宋体"/>
                <w:sz w:val="24"/>
                <w:highlight w:val="none"/>
              </w:rPr>
              <w:t>7</w:t>
            </w:r>
            <w:r>
              <w:rPr>
                <w:rFonts w:hint="eastAsia" w:ascii="宋体" w:hAnsi="宋体"/>
                <w:sz w:val="24"/>
                <w:highlight w:val="none"/>
              </w:rPr>
              <w:t>）】</w:t>
            </w:r>
          </w:p>
        </w:tc>
      </w:tr>
      <w:tr w14:paraId="03A2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835" w:type="dxa"/>
            <w:vMerge w:val="continue"/>
            <w:vAlign w:val="center"/>
          </w:tcPr>
          <w:p w14:paraId="3BCA4483">
            <w:pPr>
              <w:jc w:val="center"/>
              <w:rPr>
                <w:rFonts w:ascii="宋体"/>
                <w:sz w:val="24"/>
                <w:highlight w:val="none"/>
              </w:rPr>
            </w:pPr>
          </w:p>
        </w:tc>
        <w:tc>
          <w:tcPr>
            <w:tcW w:w="1562" w:type="dxa"/>
            <w:vMerge w:val="continue"/>
            <w:vAlign w:val="center"/>
          </w:tcPr>
          <w:p w14:paraId="60647CB9">
            <w:pPr>
              <w:jc w:val="center"/>
              <w:rPr>
                <w:rFonts w:ascii="宋体"/>
                <w:sz w:val="24"/>
                <w:highlight w:val="none"/>
              </w:rPr>
            </w:pPr>
          </w:p>
        </w:tc>
        <w:tc>
          <w:tcPr>
            <w:tcW w:w="859" w:type="dxa"/>
            <w:vMerge w:val="continue"/>
            <w:vAlign w:val="center"/>
          </w:tcPr>
          <w:p w14:paraId="10EA4710">
            <w:pPr>
              <w:jc w:val="center"/>
              <w:rPr>
                <w:rFonts w:ascii="宋体"/>
                <w:sz w:val="24"/>
                <w:highlight w:val="none"/>
              </w:rPr>
            </w:pPr>
          </w:p>
        </w:tc>
        <w:tc>
          <w:tcPr>
            <w:tcW w:w="970" w:type="dxa"/>
            <w:vMerge w:val="continue"/>
            <w:vAlign w:val="center"/>
          </w:tcPr>
          <w:p w14:paraId="4FF86EDA">
            <w:pPr>
              <w:jc w:val="center"/>
              <w:rPr>
                <w:rFonts w:ascii="宋体"/>
                <w:sz w:val="24"/>
                <w:highlight w:val="none"/>
              </w:rPr>
            </w:pPr>
          </w:p>
        </w:tc>
        <w:tc>
          <w:tcPr>
            <w:tcW w:w="1463" w:type="dxa"/>
            <w:vMerge w:val="continue"/>
            <w:vAlign w:val="center"/>
          </w:tcPr>
          <w:p w14:paraId="41B82E5D">
            <w:pPr>
              <w:jc w:val="center"/>
              <w:rPr>
                <w:rFonts w:ascii="宋体" w:hAnsi="宋体"/>
                <w:sz w:val="24"/>
                <w:highlight w:val="none"/>
              </w:rPr>
            </w:pPr>
          </w:p>
        </w:tc>
        <w:tc>
          <w:tcPr>
            <w:tcW w:w="1272" w:type="dxa"/>
            <w:vAlign w:val="center"/>
          </w:tcPr>
          <w:p w14:paraId="2B40F32A">
            <w:pPr>
              <w:jc w:val="center"/>
              <w:rPr>
                <w:rFonts w:ascii="宋体" w:hAnsi="宋体"/>
                <w:sz w:val="24"/>
                <w:highlight w:val="none"/>
              </w:rPr>
            </w:pPr>
            <w:r>
              <w:rPr>
                <w:rFonts w:hint="eastAsia" w:ascii="宋体" w:hAnsi="宋体"/>
                <w:sz w:val="24"/>
                <w:highlight w:val="none"/>
              </w:rPr>
              <w:t>货物单价</w:t>
            </w:r>
            <w:r>
              <w:rPr>
                <w:rFonts w:ascii="宋体" w:hAnsi="宋体"/>
                <w:sz w:val="24"/>
                <w:highlight w:val="none"/>
              </w:rPr>
              <w:t>5a</w:t>
            </w:r>
          </w:p>
        </w:tc>
        <w:tc>
          <w:tcPr>
            <w:tcW w:w="2019" w:type="dxa"/>
            <w:vAlign w:val="center"/>
          </w:tcPr>
          <w:p w14:paraId="7BEF88A0">
            <w:pPr>
              <w:jc w:val="center"/>
              <w:rPr>
                <w:rFonts w:ascii="宋体" w:hAnsi="宋体"/>
                <w:sz w:val="24"/>
                <w:highlight w:val="none"/>
              </w:rPr>
            </w:pPr>
            <w:r>
              <w:rPr>
                <w:rFonts w:hint="eastAsia" w:ascii="宋体" w:hAnsi="宋体"/>
                <w:sz w:val="24"/>
                <w:highlight w:val="none"/>
              </w:rPr>
              <w:t>安装调试、培训等技术服务费</w:t>
            </w:r>
            <w:r>
              <w:rPr>
                <w:rFonts w:ascii="宋体" w:hAnsi="宋体"/>
                <w:sz w:val="24"/>
                <w:highlight w:val="none"/>
              </w:rPr>
              <w:t>5b</w:t>
            </w:r>
          </w:p>
        </w:tc>
        <w:tc>
          <w:tcPr>
            <w:tcW w:w="1144" w:type="dxa"/>
            <w:vAlign w:val="center"/>
          </w:tcPr>
          <w:p w14:paraId="1F370FA9">
            <w:pPr>
              <w:jc w:val="center"/>
              <w:rPr>
                <w:rFonts w:ascii="宋体"/>
                <w:sz w:val="24"/>
                <w:highlight w:val="none"/>
              </w:rPr>
            </w:pPr>
            <w:r>
              <w:rPr>
                <w:rFonts w:hint="eastAsia" w:ascii="宋体" w:hAnsi="宋体"/>
                <w:sz w:val="24"/>
                <w:highlight w:val="none"/>
              </w:rPr>
              <w:t>小计</w:t>
            </w:r>
          </w:p>
          <w:p w14:paraId="126673CF">
            <w:pPr>
              <w:jc w:val="center"/>
              <w:rPr>
                <w:rFonts w:ascii="宋体" w:hAnsi="宋体"/>
                <w:sz w:val="24"/>
                <w:highlight w:val="none"/>
              </w:rPr>
            </w:pPr>
            <w:r>
              <w:rPr>
                <w:rFonts w:ascii="宋体" w:hAnsi="宋体"/>
                <w:sz w:val="24"/>
                <w:highlight w:val="none"/>
              </w:rPr>
              <w:t>5c</w:t>
            </w:r>
          </w:p>
        </w:tc>
        <w:tc>
          <w:tcPr>
            <w:tcW w:w="1144" w:type="dxa"/>
            <w:vAlign w:val="center"/>
          </w:tcPr>
          <w:p w14:paraId="72EFA978">
            <w:pPr>
              <w:jc w:val="center"/>
              <w:rPr>
                <w:rFonts w:ascii="宋体" w:hAnsi="宋体"/>
                <w:sz w:val="24"/>
                <w:highlight w:val="none"/>
              </w:rPr>
            </w:pPr>
          </w:p>
        </w:tc>
        <w:tc>
          <w:tcPr>
            <w:tcW w:w="1001" w:type="dxa"/>
            <w:vAlign w:val="center"/>
          </w:tcPr>
          <w:p w14:paraId="11709AA8">
            <w:pPr>
              <w:jc w:val="center"/>
              <w:rPr>
                <w:rFonts w:ascii="宋体" w:hAnsi="宋体"/>
                <w:sz w:val="24"/>
                <w:highlight w:val="none"/>
              </w:rPr>
            </w:pPr>
          </w:p>
        </w:tc>
        <w:tc>
          <w:tcPr>
            <w:tcW w:w="1786" w:type="dxa"/>
            <w:vAlign w:val="center"/>
          </w:tcPr>
          <w:p w14:paraId="28CCEAD3">
            <w:pPr>
              <w:jc w:val="center"/>
              <w:rPr>
                <w:rFonts w:ascii="宋体" w:hAnsi="宋体"/>
                <w:sz w:val="24"/>
                <w:highlight w:val="none"/>
              </w:rPr>
            </w:pPr>
          </w:p>
        </w:tc>
      </w:tr>
      <w:tr w14:paraId="7A84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35" w:type="dxa"/>
            <w:vAlign w:val="center"/>
          </w:tcPr>
          <w:p w14:paraId="488EE387">
            <w:pPr>
              <w:jc w:val="center"/>
              <w:rPr>
                <w:highlight w:val="none"/>
              </w:rPr>
            </w:pPr>
          </w:p>
          <w:p w14:paraId="0823EA3D">
            <w:pPr>
              <w:pStyle w:val="27"/>
              <w:ind w:firstLine="400"/>
              <w:rPr>
                <w:highlight w:val="none"/>
              </w:rPr>
            </w:pPr>
          </w:p>
        </w:tc>
        <w:tc>
          <w:tcPr>
            <w:tcW w:w="1562" w:type="dxa"/>
            <w:vAlign w:val="center"/>
          </w:tcPr>
          <w:p w14:paraId="4235FB7D">
            <w:pPr>
              <w:jc w:val="center"/>
              <w:rPr>
                <w:rFonts w:ascii="宋体"/>
                <w:sz w:val="24"/>
                <w:highlight w:val="none"/>
              </w:rPr>
            </w:pPr>
          </w:p>
        </w:tc>
        <w:tc>
          <w:tcPr>
            <w:tcW w:w="859" w:type="dxa"/>
            <w:vAlign w:val="center"/>
          </w:tcPr>
          <w:p w14:paraId="3661EB23">
            <w:pPr>
              <w:pStyle w:val="49"/>
              <w:widowControl w:val="0"/>
              <w:pBdr>
                <w:left w:val="none" w:color="auto" w:sz="0" w:space="0"/>
                <w:bottom w:val="none" w:color="auto" w:sz="0" w:space="0"/>
                <w:right w:val="none" w:color="auto" w:sz="0" w:space="0"/>
              </w:pBdr>
              <w:spacing w:before="0" w:beforeAutospacing="0" w:after="0" w:afterAutospacing="0"/>
              <w:rPr>
                <w:rFonts w:hint="default" w:ascii="宋体" w:eastAsia="宋体"/>
                <w:kern w:val="2"/>
                <w:highlight w:val="none"/>
              </w:rPr>
            </w:pPr>
          </w:p>
        </w:tc>
        <w:tc>
          <w:tcPr>
            <w:tcW w:w="970" w:type="dxa"/>
            <w:vAlign w:val="center"/>
          </w:tcPr>
          <w:p w14:paraId="0383991F">
            <w:pPr>
              <w:jc w:val="center"/>
              <w:rPr>
                <w:rFonts w:ascii="宋体"/>
                <w:sz w:val="24"/>
                <w:highlight w:val="none"/>
              </w:rPr>
            </w:pPr>
          </w:p>
        </w:tc>
        <w:tc>
          <w:tcPr>
            <w:tcW w:w="1463" w:type="dxa"/>
            <w:vAlign w:val="center"/>
          </w:tcPr>
          <w:p w14:paraId="6C5AF399">
            <w:pPr>
              <w:jc w:val="center"/>
              <w:rPr>
                <w:rFonts w:ascii="宋体"/>
                <w:sz w:val="24"/>
                <w:highlight w:val="none"/>
              </w:rPr>
            </w:pPr>
          </w:p>
        </w:tc>
        <w:tc>
          <w:tcPr>
            <w:tcW w:w="1272" w:type="dxa"/>
            <w:vAlign w:val="center"/>
          </w:tcPr>
          <w:p w14:paraId="1D7E54A8">
            <w:pPr>
              <w:jc w:val="center"/>
              <w:rPr>
                <w:rFonts w:ascii="宋体"/>
                <w:sz w:val="24"/>
                <w:highlight w:val="none"/>
              </w:rPr>
            </w:pPr>
          </w:p>
        </w:tc>
        <w:tc>
          <w:tcPr>
            <w:tcW w:w="2019" w:type="dxa"/>
            <w:vAlign w:val="center"/>
          </w:tcPr>
          <w:p w14:paraId="0648736B">
            <w:pPr>
              <w:jc w:val="center"/>
              <w:rPr>
                <w:rFonts w:ascii="宋体"/>
                <w:sz w:val="24"/>
                <w:highlight w:val="none"/>
              </w:rPr>
            </w:pPr>
          </w:p>
        </w:tc>
        <w:tc>
          <w:tcPr>
            <w:tcW w:w="1144" w:type="dxa"/>
            <w:vAlign w:val="center"/>
          </w:tcPr>
          <w:p w14:paraId="16DF5328">
            <w:pPr>
              <w:jc w:val="center"/>
              <w:rPr>
                <w:rFonts w:ascii="宋体"/>
                <w:sz w:val="24"/>
                <w:highlight w:val="none"/>
              </w:rPr>
            </w:pPr>
          </w:p>
        </w:tc>
        <w:tc>
          <w:tcPr>
            <w:tcW w:w="1144" w:type="dxa"/>
            <w:vAlign w:val="center"/>
          </w:tcPr>
          <w:p w14:paraId="3A60774F">
            <w:pPr>
              <w:jc w:val="center"/>
              <w:rPr>
                <w:rFonts w:ascii="宋体"/>
                <w:sz w:val="24"/>
                <w:highlight w:val="none"/>
              </w:rPr>
            </w:pPr>
          </w:p>
        </w:tc>
        <w:tc>
          <w:tcPr>
            <w:tcW w:w="1001" w:type="dxa"/>
            <w:vAlign w:val="center"/>
          </w:tcPr>
          <w:p w14:paraId="656E4E6B">
            <w:pPr>
              <w:jc w:val="center"/>
              <w:rPr>
                <w:rFonts w:ascii="宋体"/>
                <w:sz w:val="24"/>
                <w:highlight w:val="none"/>
              </w:rPr>
            </w:pPr>
          </w:p>
        </w:tc>
        <w:tc>
          <w:tcPr>
            <w:tcW w:w="1786" w:type="dxa"/>
            <w:vAlign w:val="center"/>
          </w:tcPr>
          <w:p w14:paraId="41E0AD7B">
            <w:pPr>
              <w:jc w:val="center"/>
              <w:rPr>
                <w:rFonts w:ascii="宋体"/>
                <w:sz w:val="24"/>
                <w:highlight w:val="none"/>
              </w:rPr>
            </w:pPr>
          </w:p>
        </w:tc>
      </w:tr>
      <w:tr w14:paraId="122E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5" w:type="dxa"/>
            <w:vAlign w:val="center"/>
          </w:tcPr>
          <w:p w14:paraId="0C7C1734">
            <w:pPr>
              <w:jc w:val="center"/>
              <w:rPr>
                <w:rFonts w:ascii="宋体"/>
                <w:sz w:val="24"/>
                <w:highlight w:val="none"/>
              </w:rPr>
            </w:pPr>
          </w:p>
        </w:tc>
        <w:tc>
          <w:tcPr>
            <w:tcW w:w="1562" w:type="dxa"/>
            <w:vAlign w:val="center"/>
          </w:tcPr>
          <w:p w14:paraId="0C150843">
            <w:pPr>
              <w:jc w:val="center"/>
              <w:rPr>
                <w:rFonts w:ascii="宋体"/>
                <w:sz w:val="24"/>
                <w:highlight w:val="none"/>
              </w:rPr>
            </w:pPr>
          </w:p>
        </w:tc>
        <w:tc>
          <w:tcPr>
            <w:tcW w:w="859" w:type="dxa"/>
            <w:vAlign w:val="center"/>
          </w:tcPr>
          <w:p w14:paraId="311F216F">
            <w:pPr>
              <w:pStyle w:val="49"/>
              <w:widowControl w:val="0"/>
              <w:pBdr>
                <w:left w:val="none" w:color="auto" w:sz="0" w:space="0"/>
                <w:bottom w:val="none" w:color="auto" w:sz="0" w:space="0"/>
                <w:right w:val="none" w:color="auto" w:sz="0" w:space="0"/>
              </w:pBdr>
              <w:spacing w:before="0" w:beforeAutospacing="0" w:after="0" w:afterAutospacing="0"/>
              <w:rPr>
                <w:rFonts w:hint="default" w:ascii="宋体" w:eastAsia="宋体"/>
                <w:kern w:val="2"/>
                <w:highlight w:val="none"/>
              </w:rPr>
            </w:pPr>
          </w:p>
        </w:tc>
        <w:tc>
          <w:tcPr>
            <w:tcW w:w="970" w:type="dxa"/>
            <w:vAlign w:val="center"/>
          </w:tcPr>
          <w:p w14:paraId="3B69BB37">
            <w:pPr>
              <w:jc w:val="center"/>
              <w:rPr>
                <w:rFonts w:ascii="宋体"/>
                <w:sz w:val="24"/>
                <w:highlight w:val="none"/>
              </w:rPr>
            </w:pPr>
          </w:p>
        </w:tc>
        <w:tc>
          <w:tcPr>
            <w:tcW w:w="1463" w:type="dxa"/>
            <w:vAlign w:val="center"/>
          </w:tcPr>
          <w:p w14:paraId="0EF9D5BF">
            <w:pPr>
              <w:jc w:val="center"/>
              <w:rPr>
                <w:rFonts w:ascii="宋体"/>
                <w:sz w:val="24"/>
                <w:highlight w:val="none"/>
              </w:rPr>
            </w:pPr>
          </w:p>
        </w:tc>
        <w:tc>
          <w:tcPr>
            <w:tcW w:w="1272" w:type="dxa"/>
            <w:vAlign w:val="center"/>
          </w:tcPr>
          <w:p w14:paraId="69A5BC81">
            <w:pPr>
              <w:jc w:val="center"/>
              <w:rPr>
                <w:rFonts w:ascii="宋体"/>
                <w:sz w:val="24"/>
                <w:highlight w:val="none"/>
              </w:rPr>
            </w:pPr>
          </w:p>
        </w:tc>
        <w:tc>
          <w:tcPr>
            <w:tcW w:w="2019" w:type="dxa"/>
            <w:vAlign w:val="center"/>
          </w:tcPr>
          <w:p w14:paraId="4C7372C2">
            <w:pPr>
              <w:jc w:val="center"/>
              <w:rPr>
                <w:rFonts w:ascii="宋体"/>
                <w:sz w:val="24"/>
                <w:highlight w:val="none"/>
              </w:rPr>
            </w:pPr>
          </w:p>
        </w:tc>
        <w:tc>
          <w:tcPr>
            <w:tcW w:w="1144" w:type="dxa"/>
            <w:vAlign w:val="center"/>
          </w:tcPr>
          <w:p w14:paraId="7DBAFE84">
            <w:pPr>
              <w:jc w:val="center"/>
              <w:rPr>
                <w:rFonts w:ascii="宋体"/>
                <w:sz w:val="24"/>
                <w:highlight w:val="none"/>
              </w:rPr>
            </w:pPr>
          </w:p>
        </w:tc>
        <w:tc>
          <w:tcPr>
            <w:tcW w:w="1144" w:type="dxa"/>
            <w:vAlign w:val="center"/>
          </w:tcPr>
          <w:p w14:paraId="3F73F54D">
            <w:pPr>
              <w:jc w:val="center"/>
              <w:rPr>
                <w:rFonts w:ascii="宋体"/>
                <w:sz w:val="24"/>
                <w:highlight w:val="none"/>
              </w:rPr>
            </w:pPr>
          </w:p>
        </w:tc>
        <w:tc>
          <w:tcPr>
            <w:tcW w:w="1001" w:type="dxa"/>
            <w:vAlign w:val="center"/>
          </w:tcPr>
          <w:p w14:paraId="1509BE83">
            <w:pPr>
              <w:jc w:val="center"/>
              <w:rPr>
                <w:rFonts w:ascii="宋体"/>
                <w:sz w:val="24"/>
                <w:highlight w:val="none"/>
              </w:rPr>
            </w:pPr>
          </w:p>
        </w:tc>
        <w:tc>
          <w:tcPr>
            <w:tcW w:w="1786" w:type="dxa"/>
            <w:vAlign w:val="center"/>
          </w:tcPr>
          <w:p w14:paraId="77BEAD77">
            <w:pPr>
              <w:jc w:val="center"/>
              <w:rPr>
                <w:rFonts w:ascii="宋体"/>
                <w:sz w:val="24"/>
                <w:highlight w:val="none"/>
              </w:rPr>
            </w:pPr>
          </w:p>
        </w:tc>
      </w:tr>
      <w:tr w14:paraId="6944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trPr>
        <w:tc>
          <w:tcPr>
            <w:tcW w:w="3256" w:type="dxa"/>
            <w:gridSpan w:val="3"/>
            <w:vAlign w:val="center"/>
          </w:tcPr>
          <w:p w14:paraId="6B0A4D06">
            <w:pPr>
              <w:jc w:val="center"/>
              <w:rPr>
                <w:rFonts w:ascii="宋体"/>
                <w:b/>
                <w:bCs/>
                <w:sz w:val="24"/>
                <w:highlight w:val="none"/>
              </w:rPr>
            </w:pPr>
            <w:r>
              <w:rPr>
                <w:rFonts w:hint="eastAsia" w:ascii="宋体" w:hAnsi="宋体"/>
                <w:b/>
                <w:bCs/>
                <w:sz w:val="24"/>
                <w:highlight w:val="none"/>
              </w:rPr>
              <w:t>合计（元）</w:t>
            </w:r>
          </w:p>
        </w:tc>
        <w:tc>
          <w:tcPr>
            <w:tcW w:w="10799" w:type="dxa"/>
            <w:gridSpan w:val="8"/>
            <w:vAlign w:val="center"/>
          </w:tcPr>
          <w:p w14:paraId="1B4E1CEB">
            <w:pPr>
              <w:jc w:val="center"/>
              <w:rPr>
                <w:rFonts w:ascii="宋体"/>
                <w:b/>
                <w:bCs/>
                <w:sz w:val="24"/>
                <w:highlight w:val="none"/>
              </w:rPr>
            </w:pPr>
          </w:p>
        </w:tc>
      </w:tr>
    </w:tbl>
    <w:p w14:paraId="7504DF98">
      <w:pPr>
        <w:rPr>
          <w:rFonts w:ascii="宋体"/>
          <w:sz w:val="24"/>
          <w:highlight w:val="none"/>
        </w:rPr>
      </w:pPr>
    </w:p>
    <w:p w14:paraId="5742303C">
      <w:pPr>
        <w:rPr>
          <w:rFonts w:ascii="宋体"/>
          <w:sz w:val="24"/>
          <w:highlight w:val="none"/>
        </w:rPr>
      </w:pPr>
      <w:r>
        <w:rPr>
          <w:rFonts w:hint="eastAsia" w:ascii="宋体" w:hAnsi="宋体"/>
          <w:sz w:val="24"/>
          <w:highlight w:val="none"/>
        </w:rPr>
        <w:t>注：</w:t>
      </w:r>
    </w:p>
    <w:p w14:paraId="5438EC7D">
      <w:pPr>
        <w:numPr>
          <w:ilvl w:val="0"/>
          <w:numId w:val="14"/>
        </w:numPr>
        <w:rPr>
          <w:rFonts w:ascii="宋体"/>
          <w:sz w:val="24"/>
          <w:highlight w:val="none"/>
        </w:rPr>
      </w:pPr>
      <w:r>
        <w:rPr>
          <w:rFonts w:hint="eastAsia" w:ascii="宋体" w:hAnsi="宋体"/>
          <w:sz w:val="24"/>
          <w:highlight w:val="none"/>
        </w:rPr>
        <w:t xml:space="preserve">所有价格系用（人民币）表示，单位：万元。　　　　　　　　　　　      </w:t>
      </w:r>
    </w:p>
    <w:p w14:paraId="7869B654">
      <w:pPr>
        <w:ind w:left="359" w:leftChars="171" w:firstLine="8520" w:firstLineChars="3550"/>
        <w:rPr>
          <w:rFonts w:ascii="宋体"/>
          <w:sz w:val="24"/>
          <w:highlight w:val="none"/>
        </w:rPr>
      </w:pPr>
      <w:r>
        <w:rPr>
          <w:rFonts w:hint="eastAsia" w:ascii="宋体" w:hAnsi="宋体"/>
          <w:sz w:val="24"/>
          <w:highlight w:val="none"/>
        </w:rPr>
        <w:t>投标人法定代表人签字或盖章或其授权代表签字：</w:t>
      </w:r>
    </w:p>
    <w:p w14:paraId="629A1D77">
      <w:pPr>
        <w:numPr>
          <w:ilvl w:val="0"/>
          <w:numId w:val="14"/>
        </w:numPr>
        <w:rPr>
          <w:rFonts w:ascii="宋体"/>
          <w:sz w:val="24"/>
          <w:highlight w:val="none"/>
        </w:rPr>
      </w:pPr>
      <w:r>
        <w:rPr>
          <w:rFonts w:hint="eastAsia" w:ascii="宋体" w:hAnsi="宋体"/>
          <w:sz w:val="24"/>
          <w:highlight w:val="none"/>
        </w:rPr>
        <w:t>如果单价和总价不符时，以单价为准。</w:t>
      </w:r>
    </w:p>
    <w:p w14:paraId="4992485C">
      <w:pPr>
        <w:numPr>
          <w:ilvl w:val="0"/>
          <w:numId w:val="14"/>
        </w:numPr>
        <w:rPr>
          <w:rFonts w:ascii="宋体"/>
          <w:sz w:val="24"/>
          <w:highlight w:val="none"/>
        </w:rPr>
      </w:pPr>
      <w:r>
        <w:rPr>
          <w:rFonts w:hint="eastAsia" w:ascii="宋体" w:hAnsi="宋体"/>
          <w:sz w:val="24"/>
          <w:highlight w:val="none"/>
        </w:rPr>
        <w:t>项</w:t>
      </w:r>
      <w:r>
        <w:rPr>
          <w:rFonts w:ascii="宋体" w:hAnsi="宋体"/>
          <w:sz w:val="24"/>
          <w:highlight w:val="none"/>
        </w:rPr>
        <w:t>5c</w:t>
      </w:r>
      <w:r>
        <w:rPr>
          <w:rFonts w:hint="eastAsia" w:ascii="宋体" w:hAnsi="宋体"/>
          <w:sz w:val="24"/>
          <w:highlight w:val="none"/>
        </w:rPr>
        <w:t>是</w:t>
      </w:r>
      <w:r>
        <w:rPr>
          <w:rFonts w:ascii="宋体" w:hAnsi="宋体"/>
          <w:sz w:val="24"/>
          <w:highlight w:val="none"/>
        </w:rPr>
        <w:t>5a</w:t>
      </w:r>
      <w:r>
        <w:rPr>
          <w:rFonts w:hint="eastAsia" w:ascii="宋体" w:hAnsi="宋体"/>
          <w:sz w:val="24"/>
          <w:highlight w:val="none"/>
        </w:rPr>
        <w:t>、</w:t>
      </w:r>
      <w:r>
        <w:rPr>
          <w:rFonts w:ascii="宋体" w:hAnsi="宋体"/>
          <w:sz w:val="24"/>
          <w:highlight w:val="none"/>
        </w:rPr>
        <w:t>5b</w:t>
      </w:r>
      <w:r>
        <w:rPr>
          <w:rFonts w:hint="eastAsia" w:ascii="宋体" w:hAnsi="宋体"/>
          <w:sz w:val="24"/>
          <w:highlight w:val="none"/>
        </w:rPr>
        <w:t>之和。　　　　　　　　　　　                         　　投标人公章：</w:t>
      </w:r>
    </w:p>
    <w:p w14:paraId="705F0278">
      <w:pPr>
        <w:tabs>
          <w:tab w:val="left" w:pos="360"/>
        </w:tabs>
        <w:rPr>
          <w:rFonts w:ascii="宋体"/>
          <w:sz w:val="24"/>
          <w:highlight w:val="none"/>
        </w:rPr>
      </w:pPr>
      <w:r>
        <w:rPr>
          <w:rFonts w:ascii="宋体" w:hAnsi="宋体"/>
          <w:sz w:val="24"/>
          <w:highlight w:val="none"/>
        </w:rPr>
        <w:t>4</w:t>
      </w:r>
      <w:r>
        <w:rPr>
          <w:rFonts w:hint="eastAsia" w:ascii="宋体" w:hAnsi="宋体"/>
          <w:sz w:val="24"/>
          <w:highlight w:val="none"/>
        </w:rPr>
        <w:t>.</w:t>
      </w:r>
      <w:r>
        <w:rPr>
          <w:rFonts w:ascii="宋体" w:hAnsi="宋体"/>
          <w:sz w:val="24"/>
          <w:highlight w:val="none"/>
        </w:rPr>
        <w:t xml:space="preserve"> </w:t>
      </w:r>
      <w:r>
        <w:rPr>
          <w:rFonts w:hint="eastAsia" w:ascii="宋体" w:hAnsi="宋体"/>
          <w:sz w:val="24"/>
          <w:highlight w:val="none"/>
        </w:rPr>
        <w:t>品牌型号为必填项，如为定制产品，填写厂家定制即可。</w:t>
      </w:r>
    </w:p>
    <w:p w14:paraId="1E06FB6C">
      <w:pPr>
        <w:ind w:left="360"/>
        <w:rPr>
          <w:rFonts w:ascii="宋体" w:hAnsi="宋体"/>
          <w:sz w:val="24"/>
          <w:highlight w:val="none"/>
        </w:rPr>
      </w:pPr>
      <w:r>
        <w:rPr>
          <w:rFonts w:hint="eastAsia" w:ascii="宋体" w:hAnsi="宋体"/>
          <w:sz w:val="24"/>
          <w:highlight w:val="none"/>
        </w:rPr>
        <w:t>注：本文件应按规定签署，否则投标文件无效。                            日　　期：　</w:t>
      </w:r>
    </w:p>
    <w:p w14:paraId="1D25E701">
      <w:pPr>
        <w:ind w:left="360"/>
        <w:rPr>
          <w:rFonts w:ascii="宋体" w:hAnsi="宋体"/>
          <w:sz w:val="24"/>
          <w:highlight w:val="none"/>
        </w:rPr>
      </w:pPr>
    </w:p>
    <w:p w14:paraId="65DD0752">
      <w:pPr>
        <w:ind w:left="360"/>
        <w:rPr>
          <w:rFonts w:ascii="宋体" w:hAnsi="宋体"/>
          <w:sz w:val="24"/>
          <w:highlight w:val="none"/>
        </w:rPr>
      </w:pPr>
    </w:p>
    <w:p w14:paraId="33700E5E">
      <w:pPr>
        <w:pStyle w:val="2"/>
        <w:rPr>
          <w:rFonts w:ascii="宋体" w:hAnsi="宋体"/>
          <w:sz w:val="24"/>
          <w:highlight w:val="none"/>
        </w:rPr>
      </w:pPr>
    </w:p>
    <w:p w14:paraId="77DA182B">
      <w:pPr>
        <w:rPr>
          <w:rFonts w:ascii="宋体" w:hAnsi="宋体"/>
          <w:sz w:val="24"/>
          <w:highlight w:val="none"/>
        </w:rPr>
      </w:pPr>
    </w:p>
    <w:p w14:paraId="5E0CEA49">
      <w:pPr>
        <w:pStyle w:val="2"/>
        <w:rPr>
          <w:rFonts w:ascii="宋体" w:hAnsi="宋体"/>
          <w:sz w:val="24"/>
          <w:highlight w:val="none"/>
        </w:rPr>
      </w:pPr>
    </w:p>
    <w:p w14:paraId="549CB477">
      <w:pPr>
        <w:jc w:val="center"/>
        <w:rPr>
          <w:rFonts w:ascii="宋体" w:hAnsi="宋体"/>
          <w:b/>
          <w:sz w:val="44"/>
          <w:szCs w:val="44"/>
          <w:highlight w:val="none"/>
        </w:rPr>
      </w:pPr>
      <w:r>
        <w:rPr>
          <w:rFonts w:hint="eastAsia" w:ascii="宋体" w:hAnsi="宋体"/>
          <w:b/>
          <w:sz w:val="44"/>
          <w:szCs w:val="44"/>
          <w:highlight w:val="none"/>
        </w:rPr>
        <w:t>2.3浒苔处置监测预报服务分析报价表</w:t>
      </w:r>
    </w:p>
    <w:p w14:paraId="4AF38944">
      <w:pPr>
        <w:pStyle w:val="2"/>
        <w:rPr>
          <w:rFonts w:ascii="宋体" w:hAnsi="宋体"/>
          <w:b/>
          <w:sz w:val="44"/>
          <w:szCs w:val="44"/>
          <w:highlight w:val="none"/>
        </w:rPr>
      </w:pPr>
    </w:p>
    <w:p w14:paraId="2A959760">
      <w:pPr>
        <w:rPr>
          <w:highlight w:val="none"/>
        </w:rPr>
      </w:pPr>
    </w:p>
    <w:tbl>
      <w:tblPr>
        <w:tblStyle w:val="29"/>
        <w:tblW w:w="14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3"/>
        <w:gridCol w:w="6482"/>
        <w:gridCol w:w="4523"/>
      </w:tblGrid>
      <w:tr w14:paraId="67B4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3093" w:type="dxa"/>
          </w:tcPr>
          <w:p w14:paraId="1D46FDBD">
            <w:pPr>
              <w:jc w:val="center"/>
              <w:rPr>
                <w:rFonts w:ascii="宋体" w:hAnsi="宋体"/>
                <w:sz w:val="24"/>
                <w:highlight w:val="none"/>
              </w:rPr>
            </w:pPr>
            <w:r>
              <w:rPr>
                <w:rFonts w:hint="eastAsia" w:ascii="宋体" w:hAnsi="宋体"/>
                <w:sz w:val="24"/>
                <w:highlight w:val="none"/>
              </w:rPr>
              <w:t>序号</w:t>
            </w:r>
          </w:p>
        </w:tc>
        <w:tc>
          <w:tcPr>
            <w:tcW w:w="6482" w:type="dxa"/>
          </w:tcPr>
          <w:p w14:paraId="22F8E6F9">
            <w:pPr>
              <w:jc w:val="center"/>
              <w:rPr>
                <w:rFonts w:ascii="宋体" w:hAnsi="宋体"/>
                <w:sz w:val="24"/>
                <w:highlight w:val="none"/>
              </w:rPr>
            </w:pPr>
            <w:r>
              <w:rPr>
                <w:rFonts w:hint="eastAsia" w:ascii="宋体" w:hAnsi="宋体"/>
                <w:sz w:val="24"/>
                <w:highlight w:val="none"/>
              </w:rPr>
              <w:t>名称</w:t>
            </w:r>
          </w:p>
        </w:tc>
        <w:tc>
          <w:tcPr>
            <w:tcW w:w="4523" w:type="dxa"/>
          </w:tcPr>
          <w:p w14:paraId="60356932">
            <w:pPr>
              <w:jc w:val="center"/>
              <w:rPr>
                <w:rFonts w:ascii="宋体" w:hAnsi="宋体"/>
                <w:sz w:val="24"/>
                <w:highlight w:val="none"/>
              </w:rPr>
            </w:pPr>
            <w:r>
              <w:rPr>
                <w:rFonts w:hint="eastAsia" w:ascii="宋体" w:hAnsi="宋体"/>
                <w:sz w:val="24"/>
                <w:highlight w:val="none"/>
              </w:rPr>
              <w:t>投标报价（元）</w:t>
            </w:r>
          </w:p>
        </w:tc>
      </w:tr>
      <w:tr w14:paraId="65C4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3093" w:type="dxa"/>
          </w:tcPr>
          <w:p w14:paraId="44AC7CD7">
            <w:pPr>
              <w:jc w:val="center"/>
              <w:rPr>
                <w:rFonts w:ascii="宋体" w:hAnsi="宋体"/>
                <w:sz w:val="24"/>
                <w:highlight w:val="none"/>
              </w:rPr>
            </w:pPr>
            <w:r>
              <w:rPr>
                <w:rFonts w:hint="eastAsia" w:ascii="宋体" w:hAnsi="宋体"/>
                <w:sz w:val="24"/>
                <w:highlight w:val="none"/>
              </w:rPr>
              <w:t>1</w:t>
            </w:r>
          </w:p>
        </w:tc>
        <w:tc>
          <w:tcPr>
            <w:tcW w:w="6482" w:type="dxa"/>
          </w:tcPr>
          <w:p w14:paraId="22AE24A7">
            <w:pPr>
              <w:jc w:val="center"/>
              <w:rPr>
                <w:rFonts w:ascii="宋体" w:hAnsi="宋体"/>
                <w:sz w:val="24"/>
                <w:highlight w:val="none"/>
              </w:rPr>
            </w:pPr>
          </w:p>
        </w:tc>
        <w:tc>
          <w:tcPr>
            <w:tcW w:w="4523" w:type="dxa"/>
          </w:tcPr>
          <w:p w14:paraId="0580F67F">
            <w:pPr>
              <w:jc w:val="center"/>
              <w:rPr>
                <w:rFonts w:ascii="宋体" w:hAnsi="宋体"/>
                <w:sz w:val="24"/>
                <w:highlight w:val="none"/>
              </w:rPr>
            </w:pPr>
          </w:p>
        </w:tc>
      </w:tr>
      <w:tr w14:paraId="15C9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3093" w:type="dxa"/>
          </w:tcPr>
          <w:p w14:paraId="53708B34">
            <w:pPr>
              <w:jc w:val="center"/>
              <w:rPr>
                <w:rFonts w:ascii="宋体" w:hAnsi="宋体"/>
                <w:sz w:val="24"/>
                <w:highlight w:val="none"/>
              </w:rPr>
            </w:pPr>
            <w:r>
              <w:rPr>
                <w:rFonts w:hint="eastAsia" w:ascii="宋体" w:hAnsi="宋体"/>
                <w:sz w:val="24"/>
                <w:highlight w:val="none"/>
              </w:rPr>
              <w:t>2</w:t>
            </w:r>
          </w:p>
        </w:tc>
        <w:tc>
          <w:tcPr>
            <w:tcW w:w="6482" w:type="dxa"/>
          </w:tcPr>
          <w:p w14:paraId="280E9D0A">
            <w:pPr>
              <w:jc w:val="center"/>
              <w:rPr>
                <w:rFonts w:ascii="宋体" w:hAnsi="宋体"/>
                <w:sz w:val="24"/>
                <w:highlight w:val="none"/>
              </w:rPr>
            </w:pPr>
          </w:p>
        </w:tc>
        <w:tc>
          <w:tcPr>
            <w:tcW w:w="4523" w:type="dxa"/>
          </w:tcPr>
          <w:p w14:paraId="60BC7AC1">
            <w:pPr>
              <w:jc w:val="center"/>
              <w:rPr>
                <w:rFonts w:ascii="宋体" w:hAnsi="宋体"/>
                <w:sz w:val="24"/>
                <w:highlight w:val="none"/>
              </w:rPr>
            </w:pPr>
          </w:p>
        </w:tc>
      </w:tr>
      <w:tr w14:paraId="4FF3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3093" w:type="dxa"/>
          </w:tcPr>
          <w:p w14:paraId="7EEB62E9">
            <w:pPr>
              <w:jc w:val="center"/>
              <w:rPr>
                <w:rFonts w:ascii="宋体" w:hAnsi="宋体"/>
                <w:sz w:val="24"/>
                <w:highlight w:val="none"/>
              </w:rPr>
            </w:pPr>
            <w:r>
              <w:rPr>
                <w:rFonts w:hint="eastAsia" w:ascii="宋体" w:hAnsi="宋体"/>
                <w:sz w:val="24"/>
                <w:highlight w:val="none"/>
              </w:rPr>
              <w:t>...</w:t>
            </w:r>
          </w:p>
        </w:tc>
        <w:tc>
          <w:tcPr>
            <w:tcW w:w="6482" w:type="dxa"/>
          </w:tcPr>
          <w:p w14:paraId="517A2BEE">
            <w:pPr>
              <w:jc w:val="center"/>
              <w:rPr>
                <w:rFonts w:ascii="宋体" w:hAnsi="宋体"/>
                <w:sz w:val="24"/>
                <w:highlight w:val="none"/>
              </w:rPr>
            </w:pPr>
          </w:p>
        </w:tc>
        <w:tc>
          <w:tcPr>
            <w:tcW w:w="4523" w:type="dxa"/>
          </w:tcPr>
          <w:p w14:paraId="55248714">
            <w:pPr>
              <w:jc w:val="center"/>
              <w:rPr>
                <w:rFonts w:ascii="宋体" w:hAnsi="宋体"/>
                <w:sz w:val="24"/>
                <w:highlight w:val="none"/>
              </w:rPr>
            </w:pPr>
          </w:p>
        </w:tc>
      </w:tr>
      <w:tr w14:paraId="2222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3093" w:type="dxa"/>
          </w:tcPr>
          <w:p w14:paraId="7B4F61C1">
            <w:pPr>
              <w:jc w:val="center"/>
              <w:rPr>
                <w:rFonts w:ascii="宋体" w:hAnsi="宋体"/>
                <w:sz w:val="24"/>
                <w:highlight w:val="none"/>
              </w:rPr>
            </w:pPr>
            <w:r>
              <w:rPr>
                <w:rFonts w:hint="eastAsia" w:ascii="宋体" w:hAnsi="宋体"/>
                <w:sz w:val="24"/>
                <w:highlight w:val="none"/>
              </w:rPr>
              <w:t>合计</w:t>
            </w:r>
            <w:r>
              <w:rPr>
                <w:rFonts w:hint="eastAsia" w:ascii="宋体" w:hAnsi="宋体"/>
                <w:b/>
                <w:bCs/>
                <w:sz w:val="24"/>
                <w:highlight w:val="none"/>
              </w:rPr>
              <w:t>（元）</w:t>
            </w:r>
          </w:p>
        </w:tc>
        <w:tc>
          <w:tcPr>
            <w:tcW w:w="6482" w:type="dxa"/>
          </w:tcPr>
          <w:p w14:paraId="015F7150">
            <w:pPr>
              <w:jc w:val="center"/>
              <w:rPr>
                <w:rFonts w:ascii="宋体" w:hAnsi="宋体"/>
                <w:sz w:val="24"/>
                <w:highlight w:val="none"/>
              </w:rPr>
            </w:pPr>
          </w:p>
        </w:tc>
        <w:tc>
          <w:tcPr>
            <w:tcW w:w="4523" w:type="dxa"/>
          </w:tcPr>
          <w:p w14:paraId="6B5BF655">
            <w:pPr>
              <w:jc w:val="center"/>
              <w:rPr>
                <w:rFonts w:ascii="宋体" w:hAnsi="宋体"/>
                <w:sz w:val="24"/>
                <w:highlight w:val="none"/>
              </w:rPr>
            </w:pPr>
          </w:p>
        </w:tc>
      </w:tr>
    </w:tbl>
    <w:p w14:paraId="01873AD1">
      <w:pPr>
        <w:rPr>
          <w:highlight w:val="none"/>
        </w:rPr>
      </w:pPr>
    </w:p>
    <w:p w14:paraId="0C80120B">
      <w:pPr>
        <w:ind w:left="360"/>
        <w:rPr>
          <w:rFonts w:ascii="宋体" w:hAnsi="宋体"/>
          <w:sz w:val="24"/>
          <w:highlight w:val="none"/>
        </w:rPr>
      </w:pPr>
    </w:p>
    <w:p w14:paraId="462055A7">
      <w:pPr>
        <w:ind w:left="360"/>
        <w:rPr>
          <w:rFonts w:ascii="宋体"/>
          <w:sz w:val="24"/>
          <w:highlight w:val="none"/>
        </w:rPr>
        <w:sectPr>
          <w:pgSz w:w="16840" w:h="11907" w:orient="landscape"/>
          <w:pgMar w:top="1797" w:right="1440" w:bottom="1797" w:left="1440" w:header="851" w:footer="992" w:gutter="0"/>
          <w:cols w:space="720" w:num="1"/>
          <w:titlePg/>
          <w:docGrid w:linePitch="319" w:charSpace="0"/>
        </w:sectPr>
      </w:pPr>
      <w:r>
        <w:rPr>
          <w:rFonts w:hint="eastAsia" w:ascii="宋体" w:hAnsi="宋体"/>
          <w:sz w:val="24"/>
          <w:highlight w:val="none"/>
        </w:rPr>
        <w:t>　</w:t>
      </w:r>
    </w:p>
    <w:p w14:paraId="6344175D">
      <w:pPr>
        <w:pStyle w:val="8"/>
        <w:rPr>
          <w:highlight w:val="none"/>
        </w:rPr>
      </w:pPr>
    </w:p>
    <w:p w14:paraId="2BB0361A">
      <w:pPr>
        <w:pStyle w:val="8"/>
        <w:rPr>
          <w:highlight w:val="none"/>
        </w:rPr>
      </w:pPr>
    </w:p>
    <w:bookmarkEnd w:id="181"/>
    <w:bookmarkEnd w:id="182"/>
    <w:bookmarkEnd w:id="183"/>
    <w:bookmarkEnd w:id="184"/>
    <w:bookmarkEnd w:id="185"/>
    <w:bookmarkEnd w:id="186"/>
    <w:bookmarkEnd w:id="187"/>
    <w:bookmarkEnd w:id="188"/>
    <w:bookmarkEnd w:id="189"/>
    <w:bookmarkEnd w:id="19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14:paraId="0B42BCFB">
      <w:pPr>
        <w:pStyle w:val="5"/>
        <w:spacing w:line="360" w:lineRule="auto"/>
        <w:jc w:val="center"/>
        <w:rPr>
          <w:rFonts w:ascii="宋体" w:hAnsi="宋体" w:cs="宋体"/>
          <w:sz w:val="24"/>
          <w:szCs w:val="20"/>
          <w:highlight w:val="none"/>
        </w:rPr>
      </w:pPr>
      <w:bookmarkStart w:id="227" w:name="_Toc20714"/>
      <w:bookmarkStart w:id="228" w:name="_Toc349914551"/>
      <w:bookmarkStart w:id="229" w:name="_Toc18397"/>
      <w:bookmarkStart w:id="230" w:name="_Toc350516690"/>
      <w:bookmarkStart w:id="231" w:name="_Toc330342823"/>
      <w:bookmarkStart w:id="232" w:name="_Toc344397393"/>
      <w:bookmarkStart w:id="233" w:name="_Toc25856"/>
      <w:bookmarkStart w:id="234" w:name="_Toc8914"/>
      <w:bookmarkStart w:id="235" w:name="_Toc350515676"/>
      <w:bookmarkStart w:id="236" w:name="_Toc349568751"/>
      <w:bookmarkStart w:id="237" w:name="_Toc344394227"/>
      <w:bookmarkStart w:id="238" w:name="_Toc343510626"/>
      <w:bookmarkStart w:id="239" w:name="_Toc15703"/>
      <w:bookmarkStart w:id="240" w:name="_Toc369353514"/>
      <w:bookmarkStart w:id="241" w:name="_Toc48791235"/>
      <w:bookmarkStart w:id="242" w:name="_Toc47418255"/>
      <w:bookmarkStart w:id="243" w:name="_Toc198021519"/>
      <w:bookmarkStart w:id="244" w:name="_Toc47261690"/>
      <w:bookmarkStart w:id="245" w:name="_Toc48995851"/>
      <w:bookmarkStart w:id="246" w:name="_Toc47418938"/>
      <w:bookmarkStart w:id="247" w:name="_Toc49019236"/>
      <w:bookmarkStart w:id="248" w:name="_Toc47418731"/>
      <w:bookmarkStart w:id="249" w:name="_Toc47261885"/>
      <w:bookmarkStart w:id="250" w:name="_Toc47262069"/>
      <w:r>
        <w:rPr>
          <w:rFonts w:hint="eastAsia" w:ascii="宋体" w:hAnsi="宋体" w:cs="宋体"/>
          <w:bCs w:val="0"/>
          <w:highlight w:val="none"/>
        </w:rPr>
        <w:t>第二部分 资格审查部分</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361123A0">
      <w:pPr>
        <w:pStyle w:val="5"/>
        <w:spacing w:line="360" w:lineRule="auto"/>
        <w:rPr>
          <w:rFonts w:ascii="宋体" w:hAnsi="宋体" w:cs="宋体"/>
          <w:sz w:val="28"/>
          <w:szCs w:val="28"/>
          <w:highlight w:val="none"/>
        </w:rPr>
      </w:pPr>
      <w:bookmarkStart w:id="251" w:name="_Toc350516692"/>
      <w:bookmarkStart w:id="252" w:name="_Toc350515678"/>
      <w:bookmarkStart w:id="253" w:name="_Toc330342574"/>
      <w:bookmarkStart w:id="254" w:name="_Toc330342825"/>
      <w:bookmarkStart w:id="255" w:name="_Toc344394229"/>
      <w:bookmarkStart w:id="256" w:name="_Toc10088"/>
      <w:bookmarkStart w:id="257" w:name="_Toc13827"/>
      <w:bookmarkStart w:id="258" w:name="_Toc29974"/>
      <w:bookmarkStart w:id="259" w:name="_Toc24996"/>
      <w:bookmarkStart w:id="260" w:name="_Toc4658"/>
      <w:bookmarkStart w:id="261" w:name="_Toc369353516"/>
      <w:bookmarkStart w:id="262" w:name="_Toc343510628"/>
      <w:bookmarkStart w:id="263" w:name="_Toc344397395"/>
      <w:bookmarkStart w:id="264" w:name="_Toc349914553"/>
      <w:bookmarkStart w:id="265" w:name="_Toc349568753"/>
      <w:r>
        <w:rPr>
          <w:rFonts w:hint="eastAsia" w:ascii="宋体" w:hAnsi="宋体" w:cs="宋体"/>
          <w:sz w:val="28"/>
          <w:szCs w:val="28"/>
          <w:highlight w:val="none"/>
        </w:rPr>
        <w:t>1、</w:t>
      </w:r>
      <w:bookmarkStart w:id="266" w:name="_Toc255161212"/>
      <w:bookmarkStart w:id="267" w:name="_Toc296292781"/>
      <w:bookmarkStart w:id="268" w:name="_Toc255559500"/>
      <w:bookmarkStart w:id="269" w:name="_Toc256765556"/>
      <w:r>
        <w:rPr>
          <w:rFonts w:hint="eastAsia" w:ascii="宋体" w:hAnsi="宋体" w:cs="宋体"/>
          <w:sz w:val="28"/>
          <w:szCs w:val="28"/>
          <w:highlight w:val="none"/>
        </w:rPr>
        <w:t>投标人一般情况</w:t>
      </w:r>
      <w:bookmarkEnd w:id="266"/>
      <w:bookmarkEnd w:id="267"/>
      <w:bookmarkEnd w:id="268"/>
      <w:bookmarkEnd w:id="269"/>
      <w:r>
        <w:rPr>
          <w:rFonts w:hint="eastAsia" w:ascii="宋体" w:hAnsi="宋体" w:cs="宋体"/>
          <w:sz w:val="28"/>
          <w:szCs w:val="28"/>
          <w:highlight w:val="none"/>
        </w:rPr>
        <w:t>（格式）</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98E55FC">
      <w:pPr>
        <w:spacing w:line="360" w:lineRule="auto"/>
        <w:jc w:val="center"/>
        <w:rPr>
          <w:rFonts w:ascii="宋体" w:hAnsi="宋体" w:cs="宋体"/>
          <w:b/>
          <w:highlight w:val="none"/>
        </w:rPr>
      </w:pPr>
      <w:r>
        <w:rPr>
          <w:rFonts w:hint="eastAsia" w:ascii="宋体" w:hAnsi="宋体" w:cs="宋体"/>
          <w:b/>
          <w:sz w:val="28"/>
          <w:szCs w:val="28"/>
          <w:highlight w:val="none"/>
        </w:rPr>
        <w:t>投标人一般情况</w:t>
      </w:r>
    </w:p>
    <w:tbl>
      <w:tblPr>
        <w:tblStyle w:val="2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4233"/>
        <w:gridCol w:w="4822"/>
      </w:tblGrid>
      <w:tr w14:paraId="2AEF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584" w:type="dxa"/>
            <w:vAlign w:val="center"/>
          </w:tcPr>
          <w:p w14:paraId="49C61A84">
            <w:pPr>
              <w:spacing w:line="360" w:lineRule="auto"/>
              <w:jc w:val="center"/>
              <w:rPr>
                <w:rFonts w:ascii="宋体" w:hAnsi="宋体" w:cs="宋体"/>
                <w:sz w:val="24"/>
                <w:szCs w:val="24"/>
                <w:highlight w:val="none"/>
              </w:rPr>
            </w:pPr>
            <w:r>
              <w:rPr>
                <w:rFonts w:hint="eastAsia" w:ascii="宋体" w:hAnsi="宋体" w:cs="宋体"/>
                <w:sz w:val="24"/>
                <w:szCs w:val="24"/>
                <w:highlight w:val="none"/>
              </w:rPr>
              <w:t>1</w:t>
            </w:r>
          </w:p>
        </w:tc>
        <w:tc>
          <w:tcPr>
            <w:tcW w:w="9055" w:type="dxa"/>
            <w:gridSpan w:val="2"/>
            <w:vAlign w:val="center"/>
          </w:tcPr>
          <w:p w14:paraId="3217A412">
            <w:pPr>
              <w:spacing w:line="360" w:lineRule="auto"/>
              <w:jc w:val="left"/>
              <w:rPr>
                <w:rFonts w:ascii="宋体" w:hAnsi="宋体" w:cs="宋体"/>
                <w:sz w:val="24"/>
                <w:szCs w:val="24"/>
                <w:highlight w:val="none"/>
              </w:rPr>
            </w:pPr>
            <w:r>
              <w:rPr>
                <w:rFonts w:hint="eastAsia" w:ascii="宋体" w:hAnsi="宋体" w:cs="宋体"/>
                <w:sz w:val="24"/>
                <w:szCs w:val="24"/>
                <w:highlight w:val="none"/>
              </w:rPr>
              <w:t>企业名称</w:t>
            </w:r>
          </w:p>
        </w:tc>
      </w:tr>
      <w:tr w14:paraId="6138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84" w:type="dxa"/>
            <w:vAlign w:val="center"/>
          </w:tcPr>
          <w:p w14:paraId="619B62E2">
            <w:pPr>
              <w:spacing w:line="360" w:lineRule="auto"/>
              <w:jc w:val="center"/>
              <w:rPr>
                <w:rFonts w:ascii="宋体" w:hAnsi="宋体" w:cs="宋体"/>
                <w:sz w:val="24"/>
                <w:szCs w:val="24"/>
                <w:highlight w:val="none"/>
              </w:rPr>
            </w:pPr>
            <w:r>
              <w:rPr>
                <w:rFonts w:hint="eastAsia" w:ascii="宋体" w:hAnsi="宋体" w:cs="宋体"/>
                <w:sz w:val="24"/>
                <w:szCs w:val="24"/>
                <w:highlight w:val="none"/>
              </w:rPr>
              <w:t>2</w:t>
            </w:r>
          </w:p>
        </w:tc>
        <w:tc>
          <w:tcPr>
            <w:tcW w:w="9055" w:type="dxa"/>
            <w:gridSpan w:val="2"/>
            <w:vAlign w:val="center"/>
          </w:tcPr>
          <w:p w14:paraId="345B0445">
            <w:pPr>
              <w:spacing w:line="360" w:lineRule="auto"/>
              <w:jc w:val="left"/>
              <w:rPr>
                <w:rFonts w:ascii="宋体" w:hAnsi="宋体" w:cs="宋体"/>
                <w:sz w:val="24"/>
                <w:szCs w:val="24"/>
                <w:highlight w:val="none"/>
              </w:rPr>
            </w:pPr>
            <w:r>
              <w:rPr>
                <w:rFonts w:hint="eastAsia" w:ascii="宋体" w:hAnsi="宋体" w:cs="宋体"/>
                <w:sz w:val="24"/>
                <w:szCs w:val="24"/>
                <w:highlight w:val="none"/>
              </w:rPr>
              <w:t>注册地址</w:t>
            </w:r>
          </w:p>
        </w:tc>
      </w:tr>
      <w:tr w14:paraId="0943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584" w:type="dxa"/>
            <w:vAlign w:val="center"/>
          </w:tcPr>
          <w:p w14:paraId="226FFF8A">
            <w:pPr>
              <w:spacing w:line="360" w:lineRule="auto"/>
              <w:jc w:val="center"/>
              <w:rPr>
                <w:rFonts w:ascii="宋体" w:hAnsi="宋体" w:cs="宋体"/>
                <w:sz w:val="24"/>
                <w:szCs w:val="24"/>
                <w:highlight w:val="none"/>
              </w:rPr>
            </w:pPr>
            <w:r>
              <w:rPr>
                <w:rFonts w:hint="eastAsia" w:ascii="宋体" w:hAnsi="宋体" w:cs="宋体"/>
                <w:sz w:val="24"/>
                <w:szCs w:val="24"/>
                <w:highlight w:val="none"/>
              </w:rPr>
              <w:t>3</w:t>
            </w:r>
          </w:p>
        </w:tc>
        <w:tc>
          <w:tcPr>
            <w:tcW w:w="4233" w:type="dxa"/>
            <w:vAlign w:val="center"/>
          </w:tcPr>
          <w:p w14:paraId="3C3F6892">
            <w:pPr>
              <w:spacing w:line="360" w:lineRule="auto"/>
              <w:jc w:val="left"/>
              <w:rPr>
                <w:rFonts w:ascii="宋体" w:hAnsi="宋体" w:cs="宋体"/>
                <w:sz w:val="24"/>
                <w:szCs w:val="24"/>
                <w:highlight w:val="none"/>
              </w:rPr>
            </w:pPr>
            <w:r>
              <w:rPr>
                <w:rFonts w:hint="eastAsia" w:ascii="宋体" w:hAnsi="宋体" w:cs="宋体"/>
                <w:sz w:val="24"/>
                <w:szCs w:val="24"/>
                <w:highlight w:val="none"/>
              </w:rPr>
              <w:t>电话</w:t>
            </w:r>
          </w:p>
        </w:tc>
        <w:tc>
          <w:tcPr>
            <w:tcW w:w="4822" w:type="dxa"/>
            <w:vAlign w:val="center"/>
          </w:tcPr>
          <w:p w14:paraId="5012D378">
            <w:pPr>
              <w:spacing w:line="360" w:lineRule="auto"/>
              <w:jc w:val="left"/>
              <w:rPr>
                <w:rFonts w:ascii="宋体" w:hAnsi="宋体" w:cs="宋体"/>
                <w:sz w:val="24"/>
                <w:szCs w:val="24"/>
                <w:highlight w:val="none"/>
              </w:rPr>
            </w:pPr>
            <w:r>
              <w:rPr>
                <w:rFonts w:hint="eastAsia" w:ascii="宋体" w:hAnsi="宋体" w:cs="宋体"/>
                <w:sz w:val="24"/>
                <w:szCs w:val="24"/>
                <w:highlight w:val="none"/>
              </w:rPr>
              <w:t>联系人</w:t>
            </w:r>
          </w:p>
        </w:tc>
      </w:tr>
      <w:tr w14:paraId="5B40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84" w:type="dxa"/>
            <w:vAlign w:val="center"/>
          </w:tcPr>
          <w:p w14:paraId="197DB617">
            <w:pPr>
              <w:spacing w:line="360" w:lineRule="auto"/>
              <w:jc w:val="center"/>
              <w:rPr>
                <w:rFonts w:ascii="宋体" w:hAnsi="宋体" w:cs="宋体"/>
                <w:sz w:val="24"/>
                <w:szCs w:val="24"/>
                <w:highlight w:val="none"/>
              </w:rPr>
            </w:pPr>
            <w:r>
              <w:rPr>
                <w:rFonts w:hint="eastAsia" w:ascii="宋体" w:hAnsi="宋体" w:cs="宋体"/>
                <w:sz w:val="24"/>
                <w:szCs w:val="24"/>
                <w:highlight w:val="none"/>
              </w:rPr>
              <w:t>4</w:t>
            </w:r>
          </w:p>
        </w:tc>
        <w:tc>
          <w:tcPr>
            <w:tcW w:w="4233" w:type="dxa"/>
            <w:vAlign w:val="center"/>
          </w:tcPr>
          <w:p w14:paraId="6B3627AE">
            <w:pPr>
              <w:spacing w:line="360" w:lineRule="auto"/>
              <w:jc w:val="left"/>
              <w:rPr>
                <w:rFonts w:ascii="宋体" w:hAnsi="宋体" w:cs="宋体"/>
                <w:sz w:val="24"/>
                <w:szCs w:val="24"/>
                <w:highlight w:val="none"/>
              </w:rPr>
            </w:pPr>
            <w:r>
              <w:rPr>
                <w:rFonts w:hint="eastAsia" w:ascii="宋体" w:hAnsi="宋体" w:cs="宋体"/>
                <w:sz w:val="24"/>
                <w:szCs w:val="24"/>
                <w:highlight w:val="none"/>
              </w:rPr>
              <w:t>传真</w:t>
            </w:r>
          </w:p>
        </w:tc>
        <w:tc>
          <w:tcPr>
            <w:tcW w:w="4822" w:type="dxa"/>
            <w:vAlign w:val="center"/>
          </w:tcPr>
          <w:p w14:paraId="3307C019">
            <w:pPr>
              <w:spacing w:line="360" w:lineRule="auto"/>
              <w:jc w:val="left"/>
              <w:rPr>
                <w:rFonts w:ascii="宋体" w:hAnsi="宋体" w:cs="宋体"/>
                <w:sz w:val="24"/>
                <w:szCs w:val="24"/>
                <w:highlight w:val="none"/>
              </w:rPr>
            </w:pPr>
            <w:r>
              <w:rPr>
                <w:rFonts w:hint="eastAsia" w:ascii="宋体" w:hAnsi="宋体" w:cs="宋体"/>
                <w:sz w:val="24"/>
                <w:szCs w:val="24"/>
                <w:highlight w:val="none"/>
              </w:rPr>
              <w:t>电子邮箱</w:t>
            </w:r>
          </w:p>
        </w:tc>
      </w:tr>
      <w:tr w14:paraId="7848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4" w:type="dxa"/>
            <w:vAlign w:val="center"/>
          </w:tcPr>
          <w:p w14:paraId="17B99DB5">
            <w:pPr>
              <w:spacing w:line="360" w:lineRule="auto"/>
              <w:jc w:val="center"/>
              <w:rPr>
                <w:rFonts w:ascii="宋体" w:hAnsi="宋体" w:cs="宋体"/>
                <w:sz w:val="24"/>
                <w:szCs w:val="24"/>
                <w:highlight w:val="none"/>
              </w:rPr>
            </w:pPr>
            <w:r>
              <w:rPr>
                <w:rFonts w:hint="eastAsia" w:ascii="宋体" w:hAnsi="宋体" w:cs="宋体"/>
                <w:sz w:val="24"/>
                <w:szCs w:val="24"/>
                <w:highlight w:val="none"/>
              </w:rPr>
              <w:t>5</w:t>
            </w:r>
          </w:p>
        </w:tc>
        <w:tc>
          <w:tcPr>
            <w:tcW w:w="4233" w:type="dxa"/>
            <w:vAlign w:val="center"/>
          </w:tcPr>
          <w:p w14:paraId="3870A260">
            <w:pPr>
              <w:spacing w:line="360" w:lineRule="auto"/>
              <w:jc w:val="left"/>
              <w:rPr>
                <w:rFonts w:ascii="宋体" w:hAnsi="宋体" w:cs="宋体"/>
                <w:sz w:val="24"/>
                <w:szCs w:val="24"/>
                <w:highlight w:val="none"/>
              </w:rPr>
            </w:pPr>
            <w:r>
              <w:rPr>
                <w:rFonts w:hint="eastAsia" w:ascii="宋体" w:hAnsi="宋体" w:cs="宋体"/>
                <w:sz w:val="24"/>
                <w:szCs w:val="24"/>
                <w:highlight w:val="none"/>
              </w:rPr>
              <w:t>注册地</w:t>
            </w:r>
          </w:p>
        </w:tc>
        <w:tc>
          <w:tcPr>
            <w:tcW w:w="4822" w:type="dxa"/>
            <w:vAlign w:val="center"/>
          </w:tcPr>
          <w:p w14:paraId="77473080">
            <w:pPr>
              <w:spacing w:line="360" w:lineRule="auto"/>
              <w:jc w:val="left"/>
              <w:rPr>
                <w:rFonts w:ascii="宋体" w:hAnsi="宋体" w:cs="宋体"/>
                <w:sz w:val="24"/>
                <w:szCs w:val="24"/>
                <w:highlight w:val="none"/>
              </w:rPr>
            </w:pPr>
            <w:r>
              <w:rPr>
                <w:rFonts w:hint="eastAsia" w:ascii="宋体" w:hAnsi="宋体" w:cs="宋体"/>
                <w:sz w:val="24"/>
                <w:szCs w:val="24"/>
                <w:highlight w:val="none"/>
              </w:rPr>
              <w:t>注册年份（请附营业执照扫描件）</w:t>
            </w:r>
          </w:p>
        </w:tc>
      </w:tr>
      <w:tr w14:paraId="723C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84" w:type="dxa"/>
            <w:vAlign w:val="center"/>
          </w:tcPr>
          <w:p w14:paraId="34FFA567">
            <w:pPr>
              <w:spacing w:line="360" w:lineRule="auto"/>
              <w:jc w:val="center"/>
              <w:rPr>
                <w:rFonts w:ascii="宋体" w:hAnsi="宋体" w:cs="宋体"/>
                <w:sz w:val="24"/>
                <w:szCs w:val="24"/>
                <w:highlight w:val="none"/>
              </w:rPr>
            </w:pPr>
            <w:r>
              <w:rPr>
                <w:rFonts w:hint="eastAsia" w:ascii="宋体" w:hAnsi="宋体" w:cs="宋体"/>
                <w:sz w:val="24"/>
                <w:szCs w:val="24"/>
                <w:highlight w:val="none"/>
              </w:rPr>
              <w:t>6</w:t>
            </w:r>
          </w:p>
        </w:tc>
        <w:tc>
          <w:tcPr>
            <w:tcW w:w="9055" w:type="dxa"/>
            <w:gridSpan w:val="2"/>
            <w:vAlign w:val="center"/>
          </w:tcPr>
          <w:p w14:paraId="0C44E8DE">
            <w:pPr>
              <w:spacing w:line="360" w:lineRule="auto"/>
              <w:jc w:val="left"/>
              <w:rPr>
                <w:rFonts w:ascii="宋体" w:hAnsi="宋体" w:cs="宋体"/>
                <w:sz w:val="24"/>
                <w:szCs w:val="24"/>
                <w:highlight w:val="none"/>
              </w:rPr>
            </w:pPr>
            <w:r>
              <w:rPr>
                <w:rFonts w:hint="eastAsia" w:ascii="宋体" w:hAnsi="宋体" w:cs="宋体"/>
                <w:sz w:val="24"/>
                <w:szCs w:val="24"/>
                <w:highlight w:val="none"/>
              </w:rPr>
              <w:t>公司有关证书            （请附有关证书的扫描件）</w:t>
            </w:r>
          </w:p>
        </w:tc>
      </w:tr>
      <w:tr w14:paraId="646C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584" w:type="dxa"/>
            <w:vAlign w:val="center"/>
          </w:tcPr>
          <w:p w14:paraId="3F35EF5B">
            <w:pPr>
              <w:spacing w:line="360" w:lineRule="auto"/>
              <w:jc w:val="center"/>
              <w:rPr>
                <w:rFonts w:ascii="宋体" w:hAnsi="宋体" w:cs="宋体"/>
                <w:sz w:val="24"/>
                <w:szCs w:val="24"/>
                <w:highlight w:val="none"/>
              </w:rPr>
            </w:pPr>
            <w:r>
              <w:rPr>
                <w:rFonts w:hint="eastAsia" w:ascii="宋体" w:hAnsi="宋体" w:cs="宋体"/>
                <w:sz w:val="24"/>
                <w:szCs w:val="24"/>
                <w:highlight w:val="none"/>
              </w:rPr>
              <w:t>7</w:t>
            </w:r>
          </w:p>
        </w:tc>
        <w:tc>
          <w:tcPr>
            <w:tcW w:w="9055" w:type="dxa"/>
            <w:gridSpan w:val="2"/>
            <w:vAlign w:val="center"/>
          </w:tcPr>
          <w:p w14:paraId="1482D9B1">
            <w:pPr>
              <w:spacing w:line="360" w:lineRule="auto"/>
              <w:jc w:val="left"/>
              <w:rPr>
                <w:rFonts w:ascii="宋体" w:hAnsi="宋体" w:cs="宋体"/>
                <w:sz w:val="24"/>
                <w:szCs w:val="24"/>
                <w:highlight w:val="none"/>
              </w:rPr>
            </w:pPr>
            <w:r>
              <w:rPr>
                <w:rFonts w:hint="eastAsia" w:ascii="宋体" w:hAnsi="宋体" w:cs="宋体"/>
                <w:sz w:val="24"/>
                <w:szCs w:val="24"/>
                <w:highlight w:val="none"/>
              </w:rPr>
              <w:t>公司（是否通过，何种） 质量保证体系认证（如通过请附相关证书扫描件，并提供认证机构年审监督报告（如有时）。</w:t>
            </w:r>
          </w:p>
        </w:tc>
      </w:tr>
      <w:tr w14:paraId="2EA7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84" w:type="dxa"/>
            <w:vAlign w:val="center"/>
          </w:tcPr>
          <w:p w14:paraId="6F6E83F9">
            <w:pPr>
              <w:spacing w:line="360" w:lineRule="auto"/>
              <w:jc w:val="center"/>
              <w:rPr>
                <w:rFonts w:ascii="宋体" w:hAnsi="宋体" w:cs="宋体"/>
                <w:sz w:val="24"/>
                <w:szCs w:val="24"/>
                <w:highlight w:val="none"/>
              </w:rPr>
            </w:pPr>
            <w:r>
              <w:rPr>
                <w:rFonts w:hint="eastAsia" w:ascii="宋体" w:hAnsi="宋体" w:cs="宋体"/>
                <w:sz w:val="24"/>
                <w:szCs w:val="24"/>
                <w:highlight w:val="none"/>
              </w:rPr>
              <w:t>8</w:t>
            </w:r>
          </w:p>
        </w:tc>
        <w:tc>
          <w:tcPr>
            <w:tcW w:w="9055" w:type="dxa"/>
            <w:gridSpan w:val="2"/>
            <w:vAlign w:val="center"/>
          </w:tcPr>
          <w:p w14:paraId="59A3E741">
            <w:pPr>
              <w:spacing w:line="360" w:lineRule="auto"/>
              <w:jc w:val="left"/>
              <w:rPr>
                <w:rFonts w:ascii="宋体" w:hAnsi="宋体" w:cs="宋体"/>
                <w:sz w:val="24"/>
                <w:szCs w:val="24"/>
                <w:highlight w:val="none"/>
              </w:rPr>
            </w:pPr>
            <w:r>
              <w:rPr>
                <w:rFonts w:hint="eastAsia" w:ascii="宋体" w:hAnsi="宋体" w:cs="宋体"/>
                <w:sz w:val="24"/>
                <w:szCs w:val="24"/>
                <w:highlight w:val="none"/>
              </w:rPr>
              <w:t>主营范围</w:t>
            </w:r>
          </w:p>
          <w:p w14:paraId="67C2A62C">
            <w:pPr>
              <w:spacing w:line="360" w:lineRule="auto"/>
              <w:jc w:val="left"/>
              <w:rPr>
                <w:rFonts w:ascii="宋体" w:hAnsi="宋体" w:cs="宋体"/>
                <w:sz w:val="24"/>
                <w:szCs w:val="24"/>
                <w:highlight w:val="none"/>
              </w:rPr>
            </w:pPr>
            <w:r>
              <w:rPr>
                <w:rFonts w:hint="eastAsia" w:ascii="宋体" w:hAnsi="宋体" w:cs="宋体"/>
                <w:sz w:val="24"/>
                <w:szCs w:val="24"/>
                <w:highlight w:val="none"/>
              </w:rPr>
              <w:t>1.</w:t>
            </w:r>
          </w:p>
          <w:p w14:paraId="41927576">
            <w:pPr>
              <w:spacing w:line="360" w:lineRule="auto"/>
              <w:jc w:val="left"/>
              <w:rPr>
                <w:rFonts w:ascii="宋体" w:hAnsi="宋体" w:cs="宋体"/>
                <w:sz w:val="24"/>
                <w:szCs w:val="24"/>
                <w:highlight w:val="none"/>
              </w:rPr>
            </w:pPr>
            <w:r>
              <w:rPr>
                <w:rFonts w:hint="eastAsia" w:ascii="宋体" w:hAnsi="宋体" w:cs="宋体"/>
                <w:sz w:val="24"/>
                <w:szCs w:val="24"/>
                <w:highlight w:val="none"/>
              </w:rPr>
              <w:t>2.</w:t>
            </w:r>
          </w:p>
          <w:p w14:paraId="2C494F33">
            <w:pPr>
              <w:spacing w:line="360" w:lineRule="auto"/>
              <w:jc w:val="left"/>
              <w:rPr>
                <w:rFonts w:ascii="宋体" w:hAnsi="宋体" w:cs="宋体"/>
                <w:sz w:val="24"/>
                <w:szCs w:val="24"/>
                <w:highlight w:val="none"/>
              </w:rPr>
            </w:pPr>
            <w:r>
              <w:rPr>
                <w:rFonts w:hint="eastAsia" w:ascii="宋体" w:hAnsi="宋体" w:cs="宋体"/>
                <w:sz w:val="24"/>
                <w:szCs w:val="24"/>
                <w:highlight w:val="none"/>
              </w:rPr>
              <w:t>3.</w:t>
            </w:r>
          </w:p>
          <w:p w14:paraId="1A46D950">
            <w:pPr>
              <w:spacing w:line="360" w:lineRule="auto"/>
              <w:jc w:val="left"/>
              <w:rPr>
                <w:rFonts w:ascii="宋体" w:hAnsi="宋体" w:cs="宋体"/>
                <w:sz w:val="24"/>
                <w:szCs w:val="24"/>
                <w:highlight w:val="none"/>
              </w:rPr>
            </w:pPr>
            <w:r>
              <w:rPr>
                <w:rFonts w:hint="eastAsia" w:ascii="宋体" w:hAnsi="宋体" w:cs="宋体"/>
                <w:sz w:val="24"/>
                <w:szCs w:val="24"/>
                <w:highlight w:val="none"/>
              </w:rPr>
              <w:t>…</w:t>
            </w:r>
          </w:p>
        </w:tc>
      </w:tr>
      <w:tr w14:paraId="65C8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584" w:type="dxa"/>
            <w:vAlign w:val="center"/>
          </w:tcPr>
          <w:p w14:paraId="5EA139FC">
            <w:pPr>
              <w:spacing w:line="360" w:lineRule="auto"/>
              <w:jc w:val="center"/>
              <w:rPr>
                <w:rFonts w:ascii="宋体" w:hAnsi="宋体" w:cs="宋体"/>
                <w:sz w:val="24"/>
                <w:szCs w:val="24"/>
                <w:highlight w:val="none"/>
              </w:rPr>
            </w:pPr>
            <w:r>
              <w:rPr>
                <w:rFonts w:hint="eastAsia" w:ascii="宋体" w:hAnsi="宋体" w:cs="宋体"/>
                <w:sz w:val="24"/>
                <w:szCs w:val="24"/>
                <w:highlight w:val="none"/>
              </w:rPr>
              <w:t>9</w:t>
            </w:r>
          </w:p>
        </w:tc>
        <w:tc>
          <w:tcPr>
            <w:tcW w:w="9055" w:type="dxa"/>
            <w:gridSpan w:val="2"/>
            <w:vAlign w:val="center"/>
          </w:tcPr>
          <w:p w14:paraId="1605ABF9">
            <w:pPr>
              <w:spacing w:line="360" w:lineRule="auto"/>
              <w:jc w:val="left"/>
              <w:rPr>
                <w:rFonts w:ascii="宋体" w:hAnsi="宋体" w:cs="宋体"/>
                <w:sz w:val="24"/>
                <w:szCs w:val="24"/>
                <w:highlight w:val="none"/>
              </w:rPr>
            </w:pPr>
            <w:r>
              <w:rPr>
                <w:rFonts w:hint="eastAsia" w:ascii="宋体" w:hAnsi="宋体" w:cs="宋体"/>
                <w:sz w:val="24"/>
                <w:szCs w:val="24"/>
                <w:highlight w:val="none"/>
              </w:rPr>
              <w:t>其他要求说明的情况</w:t>
            </w:r>
          </w:p>
        </w:tc>
      </w:tr>
    </w:tbl>
    <w:p w14:paraId="2DF49001">
      <w:pPr>
        <w:spacing w:line="360" w:lineRule="auto"/>
        <w:rPr>
          <w:rFonts w:ascii="宋体" w:hAnsi="宋体" w:cs="宋体"/>
          <w:b/>
          <w:kern w:val="0"/>
          <w:szCs w:val="21"/>
          <w:highlight w:val="none"/>
        </w:rPr>
      </w:pPr>
      <w:r>
        <w:rPr>
          <w:rFonts w:hint="eastAsia" w:ascii="宋体" w:hAnsi="宋体" w:cs="宋体"/>
          <w:sz w:val="24"/>
          <w:highlight w:val="none"/>
        </w:rPr>
        <w:t>附：</w:t>
      </w:r>
      <w:r>
        <w:rPr>
          <w:rFonts w:hint="eastAsia" w:ascii="宋体" w:hAnsi="宋体" w:cs="宋体"/>
          <w:b/>
          <w:kern w:val="0"/>
          <w:szCs w:val="21"/>
          <w:highlight w:val="none"/>
        </w:rPr>
        <w:t>附企业营业执照、组织机构代码证、税务登记证（已登记办理“三证合一”的企业仅须提供印有统一社会信用代码的营业执照）</w:t>
      </w:r>
    </w:p>
    <w:p w14:paraId="7496C16D">
      <w:pPr>
        <w:autoSpaceDE w:val="0"/>
        <w:autoSpaceDN w:val="0"/>
        <w:adjustRightInd w:val="0"/>
        <w:spacing w:line="360" w:lineRule="auto"/>
        <w:rPr>
          <w:rFonts w:ascii="宋体" w:hAnsi="宋体" w:cs="宋体"/>
          <w:kern w:val="0"/>
          <w:sz w:val="24"/>
          <w:highlight w:val="none"/>
          <w:u w:val="single"/>
          <w:lang w:val="zh-CN"/>
        </w:rPr>
      </w:pPr>
      <w:r>
        <w:rPr>
          <w:rFonts w:hint="eastAsia" w:ascii="宋体" w:hAnsi="宋体" w:cs="宋体"/>
          <w:kern w:val="0"/>
          <w:sz w:val="24"/>
          <w:highlight w:val="none"/>
          <w:lang w:val="zh-CN"/>
        </w:rPr>
        <w:t>投标人(盖公章)：</w:t>
      </w:r>
      <w:r>
        <w:rPr>
          <w:rFonts w:hint="eastAsia" w:ascii="宋体" w:hAnsi="宋体" w:cs="宋体"/>
          <w:kern w:val="0"/>
          <w:sz w:val="24"/>
          <w:highlight w:val="none"/>
          <w:u w:val="single"/>
          <w:lang w:val="zh-CN"/>
        </w:rPr>
        <w:t xml:space="preserve">                         </w:t>
      </w:r>
    </w:p>
    <w:p w14:paraId="3FA45E24">
      <w:pPr>
        <w:autoSpaceDE w:val="0"/>
        <w:autoSpaceDN w:val="0"/>
        <w:adjustRightIn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法定代表人或授权委托人(签字或盖章)：</w:t>
      </w:r>
      <w:r>
        <w:rPr>
          <w:rFonts w:hint="eastAsia" w:ascii="宋体" w:hAnsi="宋体" w:cs="宋体"/>
          <w:kern w:val="0"/>
          <w:sz w:val="24"/>
          <w:highlight w:val="none"/>
          <w:u w:val="single"/>
          <w:lang w:val="zh-CN"/>
        </w:rPr>
        <w:t xml:space="preserve">                          </w:t>
      </w:r>
    </w:p>
    <w:p w14:paraId="668081C7">
      <w:pPr>
        <w:pStyle w:val="18"/>
        <w:ind w:firstLine="0"/>
        <w:rPr>
          <w:rFonts w:hAnsi="宋体" w:cs="宋体"/>
          <w:highlight w:val="none"/>
          <w:lang w:val="zh-CN"/>
        </w:rPr>
      </w:pPr>
      <w:r>
        <w:rPr>
          <w:rFonts w:hint="eastAsia" w:hAnsi="宋体" w:cs="宋体"/>
          <w:highlight w:val="none"/>
          <w:lang w:val="zh-CN"/>
        </w:rPr>
        <w:t>日期：      年   月   日</w:t>
      </w:r>
      <w:bookmarkStart w:id="270" w:name="_Toc29778"/>
      <w:bookmarkStart w:id="271" w:name="_Toc344397397"/>
      <w:bookmarkStart w:id="272" w:name="_Toc330342827"/>
      <w:bookmarkStart w:id="273" w:name="_Toc344394231"/>
      <w:bookmarkStart w:id="274" w:name="_Toc350515680"/>
      <w:bookmarkStart w:id="275" w:name="_Toc29165"/>
      <w:bookmarkStart w:id="276" w:name="_Toc349914555"/>
      <w:bookmarkStart w:id="277" w:name="_Toc369353518"/>
      <w:bookmarkStart w:id="278" w:name="_Toc350516694"/>
      <w:bookmarkStart w:id="279" w:name="_Toc27209"/>
      <w:bookmarkStart w:id="280" w:name="_Toc343510630"/>
      <w:bookmarkStart w:id="281" w:name="_Toc330342576"/>
      <w:bookmarkStart w:id="282" w:name="_Toc349568755"/>
    </w:p>
    <w:p w14:paraId="05C2C886">
      <w:pPr>
        <w:pStyle w:val="18"/>
        <w:ind w:firstLine="0"/>
        <w:rPr>
          <w:rFonts w:hAnsi="宋体" w:cs="宋体"/>
          <w:highlight w:val="none"/>
          <w:lang w:val="zh-CN"/>
        </w:rPr>
      </w:pPr>
    </w:p>
    <w:p w14:paraId="55D90018">
      <w:pPr>
        <w:pStyle w:val="18"/>
        <w:ind w:firstLine="0"/>
        <w:rPr>
          <w:rFonts w:hAnsi="宋体" w:cs="宋体"/>
          <w:highlight w:val="none"/>
          <w:lang w:val="zh-CN"/>
        </w:rPr>
      </w:pPr>
    </w:p>
    <w:bookmarkEnd w:id="270"/>
    <w:bookmarkEnd w:id="271"/>
    <w:bookmarkEnd w:id="272"/>
    <w:bookmarkEnd w:id="273"/>
    <w:bookmarkEnd w:id="274"/>
    <w:bookmarkEnd w:id="275"/>
    <w:bookmarkEnd w:id="276"/>
    <w:bookmarkEnd w:id="277"/>
    <w:bookmarkEnd w:id="278"/>
    <w:bookmarkEnd w:id="279"/>
    <w:bookmarkEnd w:id="280"/>
    <w:bookmarkEnd w:id="281"/>
    <w:bookmarkEnd w:id="282"/>
    <w:p w14:paraId="68571A79">
      <w:pPr>
        <w:autoSpaceDE w:val="0"/>
        <w:autoSpaceDN w:val="0"/>
        <w:adjustRightInd w:val="0"/>
        <w:spacing w:line="360" w:lineRule="auto"/>
        <w:rPr>
          <w:rFonts w:ascii="宋体" w:hAnsi="宋体" w:cs="宋体"/>
          <w:kern w:val="0"/>
          <w:sz w:val="24"/>
          <w:highlight w:val="none"/>
          <w:u w:val="single"/>
          <w:lang w:val="zh-CN"/>
        </w:rPr>
      </w:pPr>
    </w:p>
    <w:p w14:paraId="5A1EF9CF">
      <w:pPr>
        <w:autoSpaceDE w:val="0"/>
        <w:autoSpaceDN w:val="0"/>
        <w:adjustRightInd w:val="0"/>
        <w:spacing w:line="360" w:lineRule="auto"/>
        <w:rPr>
          <w:rFonts w:ascii="宋体" w:hAnsi="宋体" w:cs="宋体"/>
          <w:kern w:val="0"/>
          <w:sz w:val="24"/>
          <w:highlight w:val="none"/>
          <w:lang w:val="zh-CN"/>
        </w:rPr>
        <w:sectPr>
          <w:pgSz w:w="11906" w:h="16838"/>
          <w:pgMar w:top="1134" w:right="1134" w:bottom="992" w:left="1134" w:header="454" w:footer="454" w:gutter="0"/>
          <w:cols w:space="0" w:num="1"/>
          <w:docGrid w:linePitch="312" w:charSpace="0"/>
        </w:sectPr>
      </w:pPr>
    </w:p>
    <w:p w14:paraId="21B76D32">
      <w:pPr>
        <w:pStyle w:val="5"/>
        <w:spacing w:line="360" w:lineRule="auto"/>
        <w:rPr>
          <w:rFonts w:ascii="宋体" w:hAnsi="宋体" w:cs="宋体"/>
          <w:b w:val="0"/>
          <w:bCs w:val="0"/>
          <w:sz w:val="28"/>
          <w:highlight w:val="none"/>
        </w:rPr>
      </w:pPr>
      <w:bookmarkStart w:id="283" w:name="_Toc350516697"/>
      <w:bookmarkStart w:id="284" w:name="_Toc343510633"/>
      <w:bookmarkStart w:id="285" w:name="_Toc21184"/>
      <w:bookmarkStart w:id="286" w:name="_Toc344397400"/>
      <w:bookmarkStart w:id="287" w:name="_Toc349914558"/>
      <w:bookmarkStart w:id="288" w:name="_Toc19970"/>
      <w:bookmarkStart w:id="289" w:name="_Toc369353521"/>
      <w:bookmarkStart w:id="290" w:name="_Toc12848"/>
      <w:bookmarkStart w:id="291" w:name="_Toc350515683"/>
      <w:bookmarkStart w:id="292" w:name="_Toc330342831"/>
      <w:bookmarkStart w:id="293" w:name="_Toc25660"/>
      <w:bookmarkStart w:id="294" w:name="_Toc344394234"/>
      <w:bookmarkStart w:id="295" w:name="_Toc31473"/>
      <w:bookmarkStart w:id="296" w:name="_Toc330342580"/>
      <w:bookmarkStart w:id="297" w:name="_Toc349568758"/>
      <w:r>
        <w:rPr>
          <w:rFonts w:hint="eastAsia" w:ascii="宋体" w:hAnsi="宋体" w:cs="宋体"/>
          <w:sz w:val="28"/>
          <w:szCs w:val="28"/>
          <w:highlight w:val="none"/>
        </w:rPr>
        <w:t>2、法定代表人身份证明书</w:t>
      </w:r>
      <w:r>
        <w:rPr>
          <w:rFonts w:hint="eastAsia" w:ascii="宋体" w:hAnsi="宋体" w:cs="宋体"/>
          <w:bCs w:val="0"/>
          <w:sz w:val="28"/>
          <w:szCs w:val="28"/>
          <w:highlight w:val="none"/>
        </w:rPr>
        <w:t>（格式）</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0370DAAD">
      <w:pPr>
        <w:spacing w:before="240" w:line="360" w:lineRule="auto"/>
        <w:jc w:val="center"/>
        <w:rPr>
          <w:rFonts w:ascii="宋体" w:hAnsi="宋体" w:cs="宋体"/>
          <w:b/>
          <w:kern w:val="0"/>
          <w:sz w:val="28"/>
          <w:highlight w:val="none"/>
        </w:rPr>
      </w:pPr>
      <w:r>
        <w:rPr>
          <w:rFonts w:hint="eastAsia" w:ascii="宋体" w:hAnsi="宋体" w:cs="宋体"/>
          <w:b/>
          <w:bCs/>
          <w:sz w:val="28"/>
          <w:szCs w:val="32"/>
          <w:highlight w:val="none"/>
        </w:rPr>
        <w:t>法定代表人身份证明书</w:t>
      </w:r>
    </w:p>
    <w:p w14:paraId="6540CF8E">
      <w:pPr>
        <w:autoSpaceDE w:val="0"/>
        <w:autoSpaceDN w:val="0"/>
        <w:adjustRightInd w:val="0"/>
        <w:spacing w:before="240" w:line="360" w:lineRule="auto"/>
        <w:jc w:val="center"/>
        <w:rPr>
          <w:rFonts w:ascii="宋体" w:hAnsi="宋体" w:cs="宋体"/>
          <w:spacing w:val="6"/>
          <w:kern w:val="0"/>
          <w:sz w:val="26"/>
          <w:highlight w:val="none"/>
        </w:rPr>
      </w:pPr>
    </w:p>
    <w:p w14:paraId="794A120A">
      <w:pPr>
        <w:spacing w:line="360" w:lineRule="auto"/>
        <w:rPr>
          <w:rFonts w:ascii="宋体" w:hAnsi="宋体" w:cs="宋体"/>
          <w:bCs/>
          <w:sz w:val="28"/>
          <w:szCs w:val="32"/>
          <w:highlight w:val="none"/>
          <w:u w:val="single"/>
        </w:rPr>
      </w:pPr>
      <w:r>
        <w:rPr>
          <w:rFonts w:hint="eastAsia" w:ascii="宋体" w:hAnsi="宋体" w:cs="宋体"/>
          <w:bCs/>
          <w:sz w:val="28"/>
          <w:szCs w:val="32"/>
          <w:highlight w:val="none"/>
        </w:rPr>
        <w:t>单位名称：</w:t>
      </w:r>
      <w:r>
        <w:rPr>
          <w:rFonts w:hint="eastAsia" w:ascii="宋体" w:hAnsi="宋体" w:cs="宋体"/>
          <w:bCs/>
          <w:sz w:val="28"/>
          <w:szCs w:val="32"/>
          <w:highlight w:val="none"/>
          <w:u w:val="single"/>
        </w:rPr>
        <w:t xml:space="preserve">                         </w:t>
      </w:r>
    </w:p>
    <w:p w14:paraId="2DA9B1BE">
      <w:pPr>
        <w:spacing w:line="360" w:lineRule="auto"/>
        <w:rPr>
          <w:rFonts w:ascii="宋体" w:hAnsi="宋体" w:cs="宋体"/>
          <w:bCs/>
          <w:sz w:val="28"/>
          <w:szCs w:val="32"/>
          <w:highlight w:val="none"/>
          <w:u w:val="single"/>
        </w:rPr>
      </w:pPr>
      <w:r>
        <w:rPr>
          <w:rFonts w:hint="eastAsia" w:ascii="宋体" w:hAnsi="宋体" w:cs="宋体"/>
          <w:bCs/>
          <w:sz w:val="28"/>
          <w:szCs w:val="32"/>
          <w:highlight w:val="none"/>
        </w:rPr>
        <w:t>单位性质：</w:t>
      </w:r>
      <w:r>
        <w:rPr>
          <w:rFonts w:hint="eastAsia" w:ascii="宋体" w:hAnsi="宋体" w:cs="宋体"/>
          <w:bCs/>
          <w:sz w:val="28"/>
          <w:szCs w:val="32"/>
          <w:highlight w:val="none"/>
          <w:u w:val="single"/>
        </w:rPr>
        <w:t xml:space="preserve">                         </w:t>
      </w:r>
    </w:p>
    <w:p w14:paraId="1AD186D1">
      <w:pPr>
        <w:spacing w:line="360" w:lineRule="auto"/>
        <w:rPr>
          <w:rFonts w:ascii="宋体" w:hAnsi="宋体" w:cs="宋体"/>
          <w:bCs/>
          <w:sz w:val="28"/>
          <w:szCs w:val="32"/>
          <w:highlight w:val="none"/>
          <w:u w:val="single"/>
        </w:rPr>
      </w:pPr>
      <w:r>
        <w:rPr>
          <w:rFonts w:hint="eastAsia" w:ascii="宋体" w:hAnsi="宋体" w:cs="宋体"/>
          <w:bCs/>
          <w:sz w:val="28"/>
          <w:szCs w:val="32"/>
          <w:highlight w:val="none"/>
        </w:rPr>
        <w:t>地    址：</w:t>
      </w:r>
      <w:r>
        <w:rPr>
          <w:rFonts w:hint="eastAsia" w:ascii="宋体" w:hAnsi="宋体" w:cs="宋体"/>
          <w:bCs/>
          <w:sz w:val="28"/>
          <w:szCs w:val="32"/>
          <w:highlight w:val="none"/>
          <w:u w:val="single"/>
        </w:rPr>
        <w:t xml:space="preserve">                         </w:t>
      </w:r>
    </w:p>
    <w:p w14:paraId="08A9582F">
      <w:pPr>
        <w:spacing w:line="360" w:lineRule="auto"/>
        <w:rPr>
          <w:rFonts w:ascii="宋体" w:hAnsi="宋体" w:cs="宋体"/>
          <w:bCs/>
          <w:sz w:val="28"/>
          <w:szCs w:val="32"/>
          <w:highlight w:val="none"/>
        </w:rPr>
      </w:pPr>
      <w:r>
        <w:rPr>
          <w:rFonts w:hint="eastAsia" w:ascii="宋体" w:hAnsi="宋体" w:cs="宋体"/>
          <w:bCs/>
          <w:sz w:val="28"/>
          <w:szCs w:val="32"/>
          <w:highlight w:val="none"/>
        </w:rPr>
        <w:t>成立时间：</w:t>
      </w:r>
      <w:r>
        <w:rPr>
          <w:rFonts w:hint="eastAsia" w:ascii="宋体" w:hAnsi="宋体" w:cs="宋体"/>
          <w:bCs/>
          <w:sz w:val="28"/>
          <w:szCs w:val="32"/>
          <w:highlight w:val="none"/>
          <w:u w:val="single"/>
        </w:rPr>
        <w:t xml:space="preserve">                         </w:t>
      </w:r>
    </w:p>
    <w:p w14:paraId="14283387">
      <w:pPr>
        <w:spacing w:line="360" w:lineRule="auto"/>
        <w:rPr>
          <w:rFonts w:ascii="宋体" w:hAnsi="宋体" w:cs="宋体"/>
          <w:bCs/>
          <w:sz w:val="28"/>
          <w:szCs w:val="32"/>
          <w:highlight w:val="none"/>
          <w:u w:val="single"/>
        </w:rPr>
      </w:pPr>
      <w:r>
        <w:rPr>
          <w:rFonts w:hint="eastAsia" w:ascii="宋体" w:hAnsi="宋体" w:cs="宋体"/>
          <w:bCs/>
          <w:sz w:val="28"/>
          <w:szCs w:val="32"/>
          <w:highlight w:val="none"/>
        </w:rPr>
        <w:t>经营期限：</w:t>
      </w:r>
      <w:r>
        <w:rPr>
          <w:rFonts w:hint="eastAsia" w:ascii="宋体" w:hAnsi="宋体" w:cs="宋体"/>
          <w:bCs/>
          <w:sz w:val="28"/>
          <w:szCs w:val="32"/>
          <w:highlight w:val="none"/>
          <w:u w:val="single"/>
        </w:rPr>
        <w:t xml:space="preserve">                          </w:t>
      </w:r>
    </w:p>
    <w:p w14:paraId="15C5B7FE">
      <w:pPr>
        <w:spacing w:line="360" w:lineRule="auto"/>
        <w:rPr>
          <w:rFonts w:ascii="宋体" w:hAnsi="宋体" w:cs="宋体"/>
          <w:bCs/>
          <w:sz w:val="28"/>
          <w:szCs w:val="32"/>
          <w:highlight w:val="none"/>
          <w:u w:val="single"/>
        </w:rPr>
      </w:pPr>
      <w:r>
        <w:rPr>
          <w:rFonts w:hint="eastAsia" w:ascii="宋体" w:hAnsi="宋体" w:cs="宋体"/>
          <w:bCs/>
          <w:sz w:val="28"/>
          <w:szCs w:val="32"/>
          <w:highlight w:val="none"/>
        </w:rPr>
        <w:t>姓名：</w:t>
      </w:r>
      <w:r>
        <w:rPr>
          <w:rFonts w:hint="eastAsia" w:ascii="宋体" w:hAnsi="宋体" w:cs="宋体"/>
          <w:bCs/>
          <w:sz w:val="28"/>
          <w:szCs w:val="32"/>
          <w:highlight w:val="none"/>
          <w:u w:val="single"/>
        </w:rPr>
        <w:t xml:space="preserve">           </w:t>
      </w:r>
      <w:r>
        <w:rPr>
          <w:rFonts w:hint="eastAsia" w:ascii="宋体" w:hAnsi="宋体" w:cs="宋体"/>
          <w:bCs/>
          <w:sz w:val="28"/>
          <w:szCs w:val="32"/>
          <w:highlight w:val="none"/>
        </w:rPr>
        <w:t xml:space="preserve">   性别：</w:t>
      </w:r>
      <w:r>
        <w:rPr>
          <w:rFonts w:hint="eastAsia" w:ascii="宋体" w:hAnsi="宋体" w:cs="宋体"/>
          <w:bCs/>
          <w:sz w:val="28"/>
          <w:szCs w:val="32"/>
          <w:highlight w:val="none"/>
          <w:u w:val="single"/>
        </w:rPr>
        <w:t xml:space="preserve">             </w:t>
      </w:r>
      <w:r>
        <w:rPr>
          <w:rFonts w:hint="eastAsia" w:ascii="宋体" w:hAnsi="宋体" w:cs="宋体"/>
          <w:bCs/>
          <w:sz w:val="28"/>
          <w:szCs w:val="32"/>
          <w:highlight w:val="none"/>
        </w:rPr>
        <w:t xml:space="preserve">  年龄：</w:t>
      </w:r>
      <w:r>
        <w:rPr>
          <w:rFonts w:hint="eastAsia" w:ascii="宋体" w:hAnsi="宋体" w:cs="宋体"/>
          <w:bCs/>
          <w:sz w:val="28"/>
          <w:szCs w:val="32"/>
          <w:highlight w:val="none"/>
          <w:u w:val="single"/>
        </w:rPr>
        <w:t xml:space="preserve">             </w:t>
      </w:r>
    </w:p>
    <w:p w14:paraId="6971AB05">
      <w:pPr>
        <w:spacing w:line="360" w:lineRule="auto"/>
        <w:rPr>
          <w:rFonts w:ascii="宋体" w:hAnsi="宋体" w:cs="宋体"/>
          <w:bCs/>
          <w:sz w:val="28"/>
          <w:szCs w:val="32"/>
          <w:highlight w:val="none"/>
        </w:rPr>
      </w:pPr>
      <w:r>
        <w:rPr>
          <w:rFonts w:hint="eastAsia" w:ascii="宋体" w:hAnsi="宋体" w:cs="宋体"/>
          <w:bCs/>
          <w:sz w:val="28"/>
          <w:szCs w:val="32"/>
          <w:highlight w:val="none"/>
        </w:rPr>
        <w:t>职务：</w:t>
      </w:r>
      <w:r>
        <w:rPr>
          <w:rFonts w:hint="eastAsia" w:ascii="宋体" w:hAnsi="宋体" w:cs="宋体"/>
          <w:bCs/>
          <w:sz w:val="28"/>
          <w:szCs w:val="32"/>
          <w:highlight w:val="none"/>
          <w:u w:val="single"/>
        </w:rPr>
        <w:t xml:space="preserve">            </w:t>
      </w:r>
      <w:r>
        <w:rPr>
          <w:rFonts w:hint="eastAsia" w:ascii="宋体" w:hAnsi="宋体" w:cs="宋体"/>
          <w:bCs/>
          <w:sz w:val="28"/>
          <w:szCs w:val="32"/>
          <w:highlight w:val="none"/>
        </w:rPr>
        <w:t>系</w:t>
      </w:r>
      <w:r>
        <w:rPr>
          <w:rFonts w:hint="eastAsia" w:ascii="宋体" w:hAnsi="宋体" w:cs="宋体"/>
          <w:bCs/>
          <w:sz w:val="28"/>
          <w:szCs w:val="32"/>
          <w:highlight w:val="none"/>
          <w:u w:val="single"/>
        </w:rPr>
        <w:t xml:space="preserve">        （投标人单位名称）         </w:t>
      </w:r>
      <w:r>
        <w:rPr>
          <w:rFonts w:hint="eastAsia" w:ascii="宋体" w:hAnsi="宋体" w:cs="宋体"/>
          <w:bCs/>
          <w:sz w:val="28"/>
          <w:szCs w:val="32"/>
          <w:highlight w:val="none"/>
        </w:rPr>
        <w:t>的法定代表人。</w:t>
      </w:r>
    </w:p>
    <w:p w14:paraId="305F8F10">
      <w:pPr>
        <w:spacing w:line="360" w:lineRule="auto"/>
        <w:rPr>
          <w:rFonts w:ascii="宋体" w:hAnsi="宋体" w:cs="宋体"/>
          <w:bCs/>
          <w:sz w:val="28"/>
          <w:szCs w:val="32"/>
          <w:highlight w:val="none"/>
        </w:rPr>
      </w:pPr>
      <w:r>
        <w:rPr>
          <w:rFonts w:hint="eastAsia" w:ascii="宋体" w:hAnsi="宋体" w:cs="宋体"/>
          <w:bCs/>
          <w:sz w:val="28"/>
          <w:szCs w:val="32"/>
          <w:highlight w:val="none"/>
        </w:rPr>
        <w:t>特此证明。</w:t>
      </w:r>
    </w:p>
    <w:p w14:paraId="69B71FD1">
      <w:pPr>
        <w:spacing w:line="360" w:lineRule="auto"/>
        <w:ind w:right="600"/>
        <w:jc w:val="left"/>
        <w:rPr>
          <w:rFonts w:ascii="宋体" w:hAnsi="宋体" w:cs="宋体"/>
          <w:bCs/>
          <w:sz w:val="28"/>
          <w:szCs w:val="32"/>
          <w:highlight w:val="none"/>
          <w:u w:val="single"/>
        </w:rPr>
      </w:pPr>
      <w:r>
        <w:rPr>
          <w:rFonts w:hint="eastAsia" w:ascii="宋体" w:hAnsi="宋体" w:cs="宋体"/>
          <w:bCs/>
          <w:sz w:val="28"/>
          <w:szCs w:val="32"/>
          <w:highlight w:val="none"/>
        </w:rPr>
        <w:t xml:space="preserve">                                      投标人：</w:t>
      </w:r>
      <w:r>
        <w:rPr>
          <w:rFonts w:hint="eastAsia" w:ascii="宋体" w:hAnsi="宋体" w:cs="宋体"/>
          <w:bCs/>
          <w:sz w:val="28"/>
          <w:szCs w:val="32"/>
          <w:highlight w:val="none"/>
          <w:u w:val="single"/>
        </w:rPr>
        <w:t xml:space="preserve">（盖公章）              </w:t>
      </w:r>
    </w:p>
    <w:p w14:paraId="75E6A310">
      <w:pPr>
        <w:spacing w:line="360" w:lineRule="auto"/>
        <w:ind w:right="600"/>
        <w:jc w:val="center"/>
        <w:rPr>
          <w:rFonts w:ascii="宋体" w:hAnsi="宋体" w:cs="宋体"/>
          <w:bCs/>
          <w:sz w:val="28"/>
          <w:szCs w:val="32"/>
          <w:highlight w:val="none"/>
        </w:rPr>
      </w:pPr>
      <w:r>
        <w:rPr>
          <w:rFonts w:hint="eastAsia" w:ascii="宋体" w:hAnsi="宋体" w:cs="宋体"/>
          <w:bCs/>
          <w:sz w:val="28"/>
          <w:szCs w:val="32"/>
          <w:highlight w:val="none"/>
        </w:rPr>
        <w:t xml:space="preserve">                                  日期：  年    月     日</w:t>
      </w:r>
    </w:p>
    <w:p w14:paraId="5051712B">
      <w:pPr>
        <w:spacing w:line="360" w:lineRule="auto"/>
        <w:ind w:right="600"/>
        <w:jc w:val="center"/>
        <w:rPr>
          <w:rFonts w:ascii="宋体" w:hAnsi="宋体" w:cs="宋体"/>
          <w:bCs/>
          <w:sz w:val="28"/>
          <w:szCs w:val="32"/>
          <w:highlight w:val="none"/>
        </w:rPr>
      </w:pPr>
    </w:p>
    <w:p w14:paraId="0C1D8976">
      <w:pPr>
        <w:spacing w:line="360" w:lineRule="auto"/>
        <w:ind w:right="600"/>
        <w:rPr>
          <w:rFonts w:ascii="宋体" w:hAnsi="宋体" w:cs="宋体"/>
          <w:bCs/>
          <w:sz w:val="28"/>
          <w:szCs w:val="32"/>
          <w:highlight w:val="none"/>
        </w:rPr>
      </w:pPr>
      <w:r>
        <w:rPr>
          <w:rFonts w:hint="eastAsia" w:ascii="宋体" w:hAnsi="宋体" w:cs="宋体"/>
          <w:bCs/>
          <w:sz w:val="28"/>
          <w:szCs w:val="32"/>
          <w:highlight w:val="none"/>
        </w:rPr>
        <w:t>备注:附法定代表人身份证扫描件（正、反面）</w:t>
      </w:r>
    </w:p>
    <w:p w14:paraId="7940DE96">
      <w:pPr>
        <w:pStyle w:val="5"/>
        <w:spacing w:line="360" w:lineRule="auto"/>
        <w:rPr>
          <w:rFonts w:ascii="宋体" w:hAnsi="宋体" w:cs="宋体"/>
          <w:sz w:val="28"/>
          <w:szCs w:val="28"/>
          <w:highlight w:val="none"/>
        </w:rPr>
      </w:pPr>
      <w:r>
        <w:rPr>
          <w:rFonts w:hint="eastAsia" w:ascii="宋体" w:hAnsi="宋体" w:cs="宋体"/>
          <w:sz w:val="28"/>
          <w:szCs w:val="28"/>
          <w:highlight w:val="none"/>
        </w:rPr>
        <w:br w:type="page"/>
      </w:r>
      <w:bookmarkStart w:id="298" w:name="_Toc369353522"/>
      <w:bookmarkStart w:id="299" w:name="_Toc330342832"/>
      <w:bookmarkStart w:id="300" w:name="_Toc349914559"/>
      <w:bookmarkStart w:id="301" w:name="_Toc350516698"/>
      <w:bookmarkStart w:id="302" w:name="_Toc16122"/>
      <w:bookmarkStart w:id="303" w:name="_Toc330342581"/>
      <w:bookmarkStart w:id="304" w:name="_Toc8017"/>
      <w:bookmarkStart w:id="305" w:name="_Toc27450"/>
      <w:bookmarkStart w:id="306" w:name="_Toc344397401"/>
      <w:bookmarkStart w:id="307" w:name="_Toc350515684"/>
      <w:bookmarkStart w:id="308" w:name="_Toc344394235"/>
      <w:bookmarkStart w:id="309" w:name="_Toc343510634"/>
      <w:bookmarkStart w:id="310" w:name="_Toc349568759"/>
      <w:bookmarkStart w:id="311" w:name="_Toc5113"/>
      <w:bookmarkStart w:id="312" w:name="_Toc15843"/>
      <w:r>
        <w:rPr>
          <w:rFonts w:hint="eastAsia" w:ascii="宋体" w:hAnsi="宋体" w:cs="宋体"/>
          <w:sz w:val="28"/>
          <w:szCs w:val="28"/>
          <w:highlight w:val="none"/>
        </w:rPr>
        <w:t>3、</w:t>
      </w:r>
      <w:bookmarkEnd w:id="241"/>
      <w:bookmarkEnd w:id="242"/>
      <w:bookmarkEnd w:id="243"/>
      <w:bookmarkEnd w:id="244"/>
      <w:bookmarkEnd w:id="245"/>
      <w:bookmarkEnd w:id="246"/>
      <w:bookmarkEnd w:id="247"/>
      <w:bookmarkEnd w:id="248"/>
      <w:bookmarkEnd w:id="249"/>
      <w:bookmarkEnd w:id="250"/>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Start w:id="313" w:name="_Toc247230326"/>
      <w:r>
        <w:rPr>
          <w:rFonts w:hint="eastAsia" w:ascii="宋体" w:hAnsi="宋体" w:cs="宋体"/>
          <w:sz w:val="28"/>
          <w:szCs w:val="28"/>
          <w:highlight w:val="none"/>
        </w:rPr>
        <w:t>法定代表人授权书</w:t>
      </w:r>
      <w:r>
        <w:rPr>
          <w:rFonts w:hint="eastAsia" w:ascii="宋体" w:hAnsi="宋体" w:cs="宋体"/>
          <w:bCs w:val="0"/>
          <w:sz w:val="28"/>
          <w:szCs w:val="28"/>
          <w:highlight w:val="none"/>
        </w:rPr>
        <w:t>（格式）（如法定代表人投标不需此项）</w:t>
      </w:r>
      <w:bookmarkEnd w:id="312"/>
    </w:p>
    <w:p w14:paraId="5BF0AE8B">
      <w:pPr>
        <w:spacing w:line="360" w:lineRule="auto"/>
        <w:rPr>
          <w:rFonts w:ascii="宋体" w:hAnsi="宋体" w:cs="宋体"/>
          <w:sz w:val="24"/>
          <w:szCs w:val="24"/>
          <w:highlight w:val="none"/>
        </w:rPr>
      </w:pPr>
    </w:p>
    <w:p w14:paraId="46FD67D3">
      <w:pPr>
        <w:pStyle w:val="4"/>
        <w:jc w:val="center"/>
        <w:rPr>
          <w:rFonts w:ascii="宋体" w:hAnsi="宋体" w:eastAsia="宋体" w:cs="宋体"/>
          <w:sz w:val="28"/>
          <w:szCs w:val="28"/>
          <w:highlight w:val="none"/>
        </w:rPr>
      </w:pPr>
      <w:bookmarkStart w:id="314" w:name="_Toc11111"/>
      <w:bookmarkStart w:id="315" w:name="_Toc8880"/>
      <w:bookmarkStart w:id="316" w:name="_Toc5063"/>
      <w:r>
        <w:rPr>
          <w:rFonts w:hint="eastAsia" w:ascii="宋体" w:hAnsi="宋体" w:eastAsia="宋体" w:cs="宋体"/>
          <w:sz w:val="28"/>
          <w:szCs w:val="28"/>
          <w:highlight w:val="none"/>
        </w:rPr>
        <w:t>法定代表人授权书</w:t>
      </w:r>
      <w:bookmarkEnd w:id="314"/>
      <w:bookmarkEnd w:id="315"/>
      <w:bookmarkEnd w:id="316"/>
    </w:p>
    <w:p w14:paraId="0E4B9874">
      <w:pPr>
        <w:spacing w:line="440" w:lineRule="exact"/>
        <w:rPr>
          <w:rFonts w:ascii="宋体" w:hAnsi="宋体" w:cs="宋体"/>
          <w:sz w:val="28"/>
          <w:szCs w:val="28"/>
          <w:highlight w:val="none"/>
        </w:rPr>
      </w:pPr>
    </w:p>
    <w:p w14:paraId="4A194D0E">
      <w:pPr>
        <w:topLinePunct/>
        <w:spacing w:line="440" w:lineRule="exact"/>
        <w:ind w:firstLine="560" w:firstLineChars="200"/>
        <w:rPr>
          <w:rFonts w:ascii="宋体" w:hAnsi="宋体" w:cs="宋体"/>
          <w:sz w:val="28"/>
          <w:szCs w:val="28"/>
          <w:highlight w:val="none"/>
        </w:rPr>
      </w:pPr>
      <w:r>
        <w:rPr>
          <w:rFonts w:hint="eastAsia" w:ascii="宋体" w:hAnsi="宋体" w:cs="宋体"/>
          <w:sz w:val="28"/>
          <w:szCs w:val="28"/>
          <w:highlight w:val="none"/>
        </w:rPr>
        <w:t>本人</w:t>
      </w:r>
      <w:r>
        <w:rPr>
          <w:rFonts w:hint="eastAsia" w:ascii="宋体" w:hAnsi="宋体" w:cs="宋体"/>
          <w:sz w:val="28"/>
          <w:szCs w:val="28"/>
          <w:highlight w:val="none"/>
          <w:u w:val="single"/>
        </w:rPr>
        <w:t xml:space="preserve">       </w:t>
      </w:r>
      <w:r>
        <w:rPr>
          <w:rFonts w:hint="eastAsia" w:ascii="宋体" w:hAnsi="宋体" w:cs="宋体"/>
          <w:sz w:val="28"/>
          <w:szCs w:val="28"/>
          <w:highlight w:val="none"/>
        </w:rPr>
        <w:t>（姓名）系</w:t>
      </w:r>
      <w:r>
        <w:rPr>
          <w:rFonts w:hint="eastAsia" w:ascii="宋体" w:hAnsi="宋体" w:cs="宋体"/>
          <w:sz w:val="28"/>
          <w:szCs w:val="28"/>
          <w:highlight w:val="none"/>
          <w:u w:val="single"/>
        </w:rPr>
        <w:t xml:space="preserve">        </w:t>
      </w:r>
      <w:r>
        <w:rPr>
          <w:rFonts w:hint="eastAsia" w:ascii="宋体" w:hAnsi="宋体" w:cs="宋体"/>
          <w:sz w:val="28"/>
          <w:szCs w:val="28"/>
          <w:highlight w:val="none"/>
        </w:rPr>
        <w:t>（投标人名称）的法定代表人，现委托</w:t>
      </w:r>
      <w:r>
        <w:rPr>
          <w:rFonts w:hint="eastAsia" w:ascii="宋体" w:hAnsi="宋体" w:cs="宋体"/>
          <w:sz w:val="28"/>
          <w:szCs w:val="28"/>
          <w:highlight w:val="none"/>
          <w:u w:val="single"/>
        </w:rPr>
        <w:t xml:space="preserve">        </w:t>
      </w:r>
      <w:r>
        <w:rPr>
          <w:rFonts w:hint="eastAsia" w:ascii="宋体" w:hAnsi="宋体" w:cs="宋体"/>
          <w:sz w:val="28"/>
          <w:szCs w:val="28"/>
          <w:highlight w:val="none"/>
        </w:rPr>
        <w:t>（姓名）为我方代理人。代理人根据授权，以我方名义签署、澄清、说明、补正、递交、撤回、修改</w:t>
      </w:r>
      <w:r>
        <w:rPr>
          <w:rFonts w:hint="eastAsia" w:ascii="宋体" w:hAnsi="宋体" w:cs="宋体"/>
          <w:sz w:val="28"/>
          <w:szCs w:val="28"/>
          <w:highlight w:val="none"/>
          <w:u w:val="single"/>
        </w:rPr>
        <w:t xml:space="preserve">           </w:t>
      </w:r>
      <w:r>
        <w:rPr>
          <w:rFonts w:hint="eastAsia" w:ascii="宋体" w:hAnsi="宋体" w:cs="宋体"/>
          <w:sz w:val="28"/>
          <w:szCs w:val="28"/>
          <w:highlight w:val="none"/>
        </w:rPr>
        <w:t>（项目名称）设计施工总承包投标文件、签订合同和处理有关事宜，其法律后果由我方承担。</w:t>
      </w:r>
    </w:p>
    <w:p w14:paraId="25597EA2">
      <w:pPr>
        <w:spacing w:line="440" w:lineRule="exact"/>
        <w:rPr>
          <w:rFonts w:ascii="宋体" w:hAnsi="宋体" w:cs="宋体"/>
          <w:sz w:val="28"/>
          <w:szCs w:val="28"/>
          <w:highlight w:val="none"/>
        </w:rPr>
      </w:pPr>
      <w:r>
        <w:rPr>
          <w:rFonts w:hint="eastAsia" w:ascii="宋体" w:hAnsi="宋体" w:cs="宋体"/>
          <w:sz w:val="28"/>
          <w:szCs w:val="28"/>
          <w:highlight w:val="none"/>
        </w:rPr>
        <w:t xml:space="preserve">   </w:t>
      </w:r>
      <w:bookmarkStart w:id="317" w:name="_Hlk93935300"/>
      <w:r>
        <w:rPr>
          <w:rFonts w:hint="eastAsia" w:ascii="宋体" w:hAnsi="宋体" w:cs="宋体"/>
          <w:sz w:val="28"/>
          <w:szCs w:val="28"/>
          <w:highlight w:val="none"/>
        </w:rPr>
        <w:t xml:space="preserve"> 委托期限：</w:t>
      </w:r>
      <w:r>
        <w:rPr>
          <w:rFonts w:hint="eastAsia" w:ascii="宋体" w:hAnsi="宋体" w:cs="宋体"/>
          <w:sz w:val="28"/>
          <w:szCs w:val="28"/>
          <w:highlight w:val="none"/>
          <w:u w:val="single"/>
        </w:rPr>
        <w:t xml:space="preserve">             </w:t>
      </w:r>
      <w:r>
        <w:rPr>
          <w:rFonts w:hint="eastAsia" w:ascii="宋体" w:hAnsi="宋体" w:cs="宋体"/>
          <w:sz w:val="28"/>
          <w:szCs w:val="28"/>
          <w:highlight w:val="none"/>
        </w:rPr>
        <w:t>。</w:t>
      </w:r>
      <w:bookmarkEnd w:id="317"/>
    </w:p>
    <w:p w14:paraId="1CFE40F2">
      <w:pPr>
        <w:spacing w:line="440" w:lineRule="exact"/>
        <w:ind w:firstLine="560" w:firstLineChars="200"/>
        <w:rPr>
          <w:rFonts w:ascii="宋体" w:hAnsi="宋体" w:cs="宋体"/>
          <w:sz w:val="28"/>
          <w:szCs w:val="28"/>
          <w:highlight w:val="none"/>
        </w:rPr>
      </w:pPr>
      <w:r>
        <w:rPr>
          <w:rFonts w:hint="eastAsia" w:ascii="宋体" w:hAnsi="宋体" w:cs="宋体"/>
          <w:sz w:val="28"/>
          <w:szCs w:val="28"/>
          <w:highlight w:val="none"/>
        </w:rPr>
        <w:t>代理人无转委托权。</w:t>
      </w:r>
    </w:p>
    <w:p w14:paraId="2B9FAA4C">
      <w:pPr>
        <w:spacing w:line="440" w:lineRule="exact"/>
        <w:rPr>
          <w:rFonts w:ascii="宋体" w:hAnsi="宋体" w:cs="宋体"/>
          <w:sz w:val="28"/>
          <w:szCs w:val="28"/>
          <w:highlight w:val="none"/>
        </w:rPr>
      </w:pPr>
    </w:p>
    <w:p w14:paraId="614A3792">
      <w:pPr>
        <w:spacing w:line="440" w:lineRule="exact"/>
        <w:rPr>
          <w:rFonts w:ascii="宋体" w:hAnsi="宋体" w:cs="宋体"/>
          <w:sz w:val="28"/>
          <w:szCs w:val="28"/>
          <w:highlight w:val="none"/>
        </w:rPr>
      </w:pPr>
      <w:r>
        <w:rPr>
          <w:rFonts w:hint="eastAsia" w:ascii="宋体" w:hAnsi="宋体" w:cs="宋体"/>
          <w:sz w:val="28"/>
          <w:szCs w:val="28"/>
          <w:highlight w:val="none"/>
        </w:rPr>
        <w:t>附：法定代表人身份证和委托代理人身份证复印件或扫描件。</w:t>
      </w:r>
    </w:p>
    <w:p w14:paraId="60D93EC7">
      <w:pPr>
        <w:spacing w:line="440" w:lineRule="exact"/>
        <w:rPr>
          <w:rFonts w:ascii="宋体" w:hAnsi="宋体" w:cs="宋体"/>
          <w:sz w:val="28"/>
          <w:szCs w:val="28"/>
          <w:highlight w:val="none"/>
        </w:rPr>
      </w:pPr>
    </w:p>
    <w:p w14:paraId="1ACB566C">
      <w:pPr>
        <w:spacing w:line="440" w:lineRule="exact"/>
        <w:rPr>
          <w:rFonts w:ascii="宋体" w:hAnsi="宋体" w:cs="宋体"/>
          <w:sz w:val="28"/>
          <w:szCs w:val="28"/>
          <w:highlight w:val="none"/>
        </w:rPr>
      </w:pPr>
      <w:r>
        <w:rPr>
          <w:rFonts w:hint="eastAsia" w:ascii="宋体" w:hAnsi="宋体" w:cs="宋体"/>
          <w:sz w:val="28"/>
          <w:szCs w:val="28"/>
          <w:highlight w:val="none"/>
        </w:rPr>
        <w:t>投标人：</w:t>
      </w:r>
      <w:r>
        <w:rPr>
          <w:rFonts w:hint="eastAsia" w:ascii="宋体" w:hAnsi="宋体" w:cs="宋体"/>
          <w:sz w:val="28"/>
          <w:szCs w:val="28"/>
          <w:highlight w:val="none"/>
          <w:u w:val="single"/>
        </w:rPr>
        <w:t xml:space="preserve">                               </w:t>
      </w:r>
      <w:r>
        <w:rPr>
          <w:rFonts w:hint="eastAsia" w:ascii="宋体" w:hAnsi="宋体" w:cs="宋体"/>
          <w:sz w:val="28"/>
          <w:szCs w:val="28"/>
          <w:highlight w:val="none"/>
        </w:rPr>
        <w:t>（盖单位章）</w:t>
      </w:r>
    </w:p>
    <w:p w14:paraId="0AA12836">
      <w:pPr>
        <w:spacing w:line="440" w:lineRule="exact"/>
        <w:rPr>
          <w:rFonts w:ascii="宋体" w:hAnsi="宋体" w:cs="宋体"/>
          <w:sz w:val="28"/>
          <w:szCs w:val="28"/>
          <w:highlight w:val="none"/>
        </w:rPr>
      </w:pPr>
    </w:p>
    <w:p w14:paraId="72CAA5DE">
      <w:pPr>
        <w:spacing w:line="440" w:lineRule="exact"/>
        <w:rPr>
          <w:rFonts w:ascii="宋体" w:hAnsi="宋体" w:cs="宋体"/>
          <w:sz w:val="28"/>
          <w:szCs w:val="28"/>
          <w:highlight w:val="none"/>
        </w:rPr>
      </w:pPr>
      <w:r>
        <w:rPr>
          <w:rFonts w:hint="eastAsia" w:ascii="宋体" w:hAnsi="宋体" w:cs="宋体"/>
          <w:sz w:val="28"/>
          <w:szCs w:val="28"/>
          <w:highlight w:val="none"/>
        </w:rPr>
        <w:t>法定代表人：</w:t>
      </w:r>
      <w:r>
        <w:rPr>
          <w:rFonts w:hint="eastAsia" w:ascii="宋体" w:hAnsi="宋体" w:cs="宋体"/>
          <w:sz w:val="28"/>
          <w:szCs w:val="28"/>
          <w:highlight w:val="none"/>
          <w:u w:val="single"/>
        </w:rPr>
        <w:t xml:space="preserve">                               </w:t>
      </w:r>
      <w:r>
        <w:rPr>
          <w:rFonts w:hint="eastAsia" w:ascii="宋体" w:hAnsi="宋体" w:cs="宋体"/>
          <w:sz w:val="28"/>
          <w:szCs w:val="28"/>
          <w:highlight w:val="none"/>
        </w:rPr>
        <w:t>（签字）</w:t>
      </w:r>
    </w:p>
    <w:p w14:paraId="3A28F3E5">
      <w:pPr>
        <w:spacing w:line="440" w:lineRule="exact"/>
        <w:rPr>
          <w:rFonts w:ascii="宋体" w:hAnsi="宋体" w:cs="宋体"/>
          <w:sz w:val="28"/>
          <w:szCs w:val="28"/>
          <w:highlight w:val="none"/>
        </w:rPr>
      </w:pPr>
    </w:p>
    <w:p w14:paraId="435ACC6D">
      <w:pPr>
        <w:spacing w:line="440" w:lineRule="exact"/>
        <w:rPr>
          <w:rFonts w:ascii="宋体" w:hAnsi="宋体" w:cs="宋体"/>
          <w:sz w:val="28"/>
          <w:szCs w:val="28"/>
          <w:highlight w:val="none"/>
        </w:rPr>
      </w:pPr>
      <w:r>
        <w:rPr>
          <w:rFonts w:hint="eastAsia" w:ascii="宋体" w:hAnsi="宋体" w:cs="宋体"/>
          <w:sz w:val="28"/>
          <w:szCs w:val="28"/>
          <w:highlight w:val="none"/>
        </w:rPr>
        <w:t>身份证号码：</w:t>
      </w:r>
      <w:r>
        <w:rPr>
          <w:rFonts w:hint="eastAsia" w:ascii="宋体" w:hAnsi="宋体" w:cs="宋体"/>
          <w:sz w:val="28"/>
          <w:szCs w:val="28"/>
          <w:highlight w:val="none"/>
          <w:u w:val="single"/>
        </w:rPr>
        <w:t xml:space="preserve">                               </w:t>
      </w:r>
    </w:p>
    <w:p w14:paraId="7C1E4685">
      <w:pPr>
        <w:spacing w:line="440" w:lineRule="exact"/>
        <w:rPr>
          <w:rFonts w:ascii="宋体" w:hAnsi="宋体" w:cs="宋体"/>
          <w:sz w:val="28"/>
          <w:szCs w:val="28"/>
          <w:highlight w:val="none"/>
        </w:rPr>
      </w:pPr>
    </w:p>
    <w:p w14:paraId="3DC5A9AC">
      <w:pPr>
        <w:spacing w:line="440" w:lineRule="exact"/>
        <w:rPr>
          <w:rFonts w:ascii="宋体" w:hAnsi="宋体" w:cs="宋体"/>
          <w:sz w:val="28"/>
          <w:szCs w:val="28"/>
          <w:highlight w:val="none"/>
        </w:rPr>
      </w:pPr>
      <w:r>
        <w:rPr>
          <w:rFonts w:hint="eastAsia" w:ascii="宋体" w:hAnsi="宋体" w:cs="宋体"/>
          <w:sz w:val="28"/>
          <w:szCs w:val="28"/>
          <w:highlight w:val="none"/>
        </w:rPr>
        <w:t>委托代理人：</w:t>
      </w:r>
      <w:r>
        <w:rPr>
          <w:rFonts w:hint="eastAsia" w:ascii="宋体" w:hAnsi="宋体" w:cs="宋体"/>
          <w:sz w:val="28"/>
          <w:szCs w:val="28"/>
          <w:highlight w:val="none"/>
          <w:u w:val="single"/>
        </w:rPr>
        <w:t xml:space="preserve">                               </w:t>
      </w:r>
      <w:r>
        <w:rPr>
          <w:rFonts w:hint="eastAsia" w:ascii="宋体" w:hAnsi="宋体" w:cs="宋体"/>
          <w:sz w:val="28"/>
          <w:szCs w:val="28"/>
          <w:highlight w:val="none"/>
        </w:rPr>
        <w:t xml:space="preserve">（签字） </w:t>
      </w:r>
    </w:p>
    <w:p w14:paraId="78C6E8D7">
      <w:pPr>
        <w:spacing w:line="440" w:lineRule="exact"/>
        <w:rPr>
          <w:rFonts w:ascii="宋体" w:hAnsi="宋体" w:cs="宋体"/>
          <w:sz w:val="28"/>
          <w:szCs w:val="28"/>
          <w:highlight w:val="none"/>
        </w:rPr>
      </w:pPr>
    </w:p>
    <w:p w14:paraId="44DF028B">
      <w:pPr>
        <w:spacing w:line="440" w:lineRule="exact"/>
        <w:rPr>
          <w:rFonts w:ascii="宋体" w:hAnsi="宋体" w:cs="宋体"/>
          <w:sz w:val="28"/>
          <w:szCs w:val="28"/>
          <w:highlight w:val="none"/>
          <w:u w:val="single"/>
        </w:rPr>
      </w:pPr>
      <w:r>
        <w:rPr>
          <w:rFonts w:hint="eastAsia" w:ascii="宋体" w:hAnsi="宋体" w:cs="宋体"/>
          <w:sz w:val="28"/>
          <w:szCs w:val="28"/>
          <w:highlight w:val="none"/>
        </w:rPr>
        <w:t>身份证号码：</w:t>
      </w:r>
      <w:r>
        <w:rPr>
          <w:rFonts w:hint="eastAsia" w:ascii="宋体" w:hAnsi="宋体" w:cs="宋体"/>
          <w:sz w:val="28"/>
          <w:szCs w:val="28"/>
          <w:highlight w:val="none"/>
          <w:u w:val="single"/>
        </w:rPr>
        <w:t xml:space="preserve">                               </w:t>
      </w:r>
    </w:p>
    <w:p w14:paraId="48E1AF89">
      <w:pPr>
        <w:spacing w:line="440" w:lineRule="exact"/>
        <w:rPr>
          <w:rFonts w:ascii="宋体" w:hAnsi="宋体" w:cs="宋体"/>
          <w:sz w:val="28"/>
          <w:szCs w:val="28"/>
          <w:highlight w:val="none"/>
        </w:rPr>
      </w:pPr>
    </w:p>
    <w:p w14:paraId="5388E7CF">
      <w:pPr>
        <w:spacing w:line="440" w:lineRule="exact"/>
        <w:ind w:firstLine="2100" w:firstLineChars="750"/>
        <w:rPr>
          <w:rFonts w:ascii="宋体" w:hAnsi="宋体" w:cs="宋体"/>
          <w:sz w:val="28"/>
          <w:szCs w:val="28"/>
          <w:highlight w:val="none"/>
        </w:rPr>
      </w:pPr>
      <w:r>
        <w:rPr>
          <w:rFonts w:hint="eastAsia" w:ascii="宋体" w:hAnsi="宋体" w:cs="宋体"/>
          <w:sz w:val="28"/>
          <w:szCs w:val="28"/>
          <w:highlight w:val="none"/>
          <w:u w:val="single"/>
        </w:rPr>
        <w:t xml:space="preserve">       </w:t>
      </w:r>
      <w:r>
        <w:rPr>
          <w:rFonts w:hint="eastAsia" w:ascii="宋体" w:hAnsi="宋体" w:cs="宋体"/>
          <w:sz w:val="28"/>
          <w:szCs w:val="28"/>
          <w:highlight w:val="none"/>
        </w:rPr>
        <w:t>年</w:t>
      </w:r>
      <w:r>
        <w:rPr>
          <w:rFonts w:hint="eastAsia" w:ascii="宋体" w:hAnsi="宋体" w:cs="宋体"/>
          <w:sz w:val="28"/>
          <w:szCs w:val="28"/>
          <w:highlight w:val="none"/>
          <w:u w:val="single"/>
        </w:rPr>
        <w:t xml:space="preserve">       </w:t>
      </w:r>
      <w:r>
        <w:rPr>
          <w:rFonts w:hint="eastAsia" w:ascii="宋体" w:hAnsi="宋体" w:cs="宋体"/>
          <w:sz w:val="28"/>
          <w:szCs w:val="28"/>
          <w:highlight w:val="none"/>
        </w:rPr>
        <w:t>月</w:t>
      </w:r>
      <w:r>
        <w:rPr>
          <w:rFonts w:hint="eastAsia" w:ascii="宋体" w:hAnsi="宋体" w:cs="宋体"/>
          <w:sz w:val="28"/>
          <w:szCs w:val="28"/>
          <w:highlight w:val="none"/>
          <w:u w:val="single"/>
        </w:rPr>
        <w:t xml:space="preserve">       </w:t>
      </w:r>
      <w:r>
        <w:rPr>
          <w:rFonts w:hint="eastAsia" w:ascii="宋体" w:hAnsi="宋体" w:cs="宋体"/>
          <w:sz w:val="28"/>
          <w:szCs w:val="28"/>
          <w:highlight w:val="none"/>
        </w:rPr>
        <w:t>日</w:t>
      </w:r>
    </w:p>
    <w:p w14:paraId="630316ED">
      <w:pPr>
        <w:spacing w:line="440" w:lineRule="exact"/>
        <w:rPr>
          <w:rFonts w:ascii="宋体" w:hAnsi="宋体" w:cs="宋体"/>
          <w:sz w:val="28"/>
          <w:szCs w:val="28"/>
          <w:highlight w:val="none"/>
        </w:rPr>
      </w:pPr>
    </w:p>
    <w:p w14:paraId="464C393E">
      <w:pPr>
        <w:spacing w:line="440" w:lineRule="exact"/>
        <w:rPr>
          <w:rFonts w:ascii="宋体" w:hAnsi="宋体" w:cs="宋体"/>
          <w:sz w:val="28"/>
          <w:szCs w:val="28"/>
          <w:highlight w:val="none"/>
        </w:rPr>
      </w:pPr>
    </w:p>
    <w:p w14:paraId="3C985531">
      <w:pPr>
        <w:spacing w:line="440" w:lineRule="exact"/>
        <w:rPr>
          <w:rFonts w:ascii="宋体" w:hAnsi="宋体" w:cs="宋体"/>
          <w:sz w:val="28"/>
          <w:szCs w:val="28"/>
          <w:highlight w:val="none"/>
        </w:rPr>
      </w:pPr>
    </w:p>
    <w:p w14:paraId="7E1297E9">
      <w:pPr>
        <w:spacing w:line="440" w:lineRule="exact"/>
        <w:rPr>
          <w:rFonts w:ascii="宋体" w:hAnsi="宋体" w:cs="宋体"/>
          <w:sz w:val="28"/>
          <w:szCs w:val="28"/>
          <w:highlight w:val="none"/>
        </w:rPr>
      </w:pPr>
    </w:p>
    <w:p w14:paraId="5A95B1E0">
      <w:pPr>
        <w:spacing w:line="440" w:lineRule="exact"/>
        <w:rPr>
          <w:rFonts w:ascii="宋体" w:hAnsi="宋体" w:cs="宋体"/>
          <w:sz w:val="28"/>
          <w:szCs w:val="28"/>
          <w:highlight w:val="none"/>
        </w:rPr>
      </w:pPr>
    </w:p>
    <w:p w14:paraId="604F9FC7">
      <w:pPr>
        <w:spacing w:line="440" w:lineRule="exact"/>
        <w:rPr>
          <w:rFonts w:ascii="宋体" w:hAnsi="宋体" w:cs="宋体"/>
          <w:sz w:val="28"/>
          <w:szCs w:val="28"/>
          <w:highlight w:val="none"/>
        </w:rPr>
      </w:pPr>
    </w:p>
    <w:p w14:paraId="7B21CA3A">
      <w:pPr>
        <w:spacing w:line="440" w:lineRule="exact"/>
        <w:rPr>
          <w:rFonts w:ascii="宋体" w:hAnsi="宋体" w:cs="宋体"/>
          <w:sz w:val="28"/>
          <w:szCs w:val="28"/>
          <w:highlight w:val="none"/>
        </w:rPr>
      </w:pPr>
    </w:p>
    <w:p w14:paraId="738282E7">
      <w:pPr>
        <w:rPr>
          <w:rFonts w:ascii="宋体" w:hAnsi="宋体" w:cs="宋体"/>
          <w:highlight w:val="none"/>
        </w:rPr>
      </w:pPr>
      <w:bookmarkStart w:id="318" w:name="_Toc262119853"/>
      <w:bookmarkStart w:id="319" w:name="_Toc231112803"/>
      <w:bookmarkStart w:id="320" w:name="_Toc262118363"/>
      <w:bookmarkStart w:id="321" w:name="_Toc264033205"/>
      <w:bookmarkStart w:id="322" w:name="_Toc185047520"/>
      <w:bookmarkStart w:id="323" w:name="_Toc447829947"/>
      <w:bookmarkStart w:id="324" w:name="_Toc231218865"/>
      <w:r>
        <w:rPr>
          <w:rFonts w:hint="eastAsia" w:ascii="宋体" w:hAnsi="宋体" w:cs="宋体"/>
          <w:b/>
          <w:bCs/>
          <w:sz w:val="28"/>
          <w:szCs w:val="28"/>
          <w:highlight w:val="none"/>
        </w:rPr>
        <w:br w:type="page"/>
      </w:r>
      <w:bookmarkEnd w:id="318"/>
      <w:bookmarkEnd w:id="319"/>
      <w:bookmarkEnd w:id="320"/>
      <w:bookmarkEnd w:id="321"/>
      <w:bookmarkEnd w:id="322"/>
      <w:bookmarkEnd w:id="323"/>
      <w:bookmarkEnd w:id="324"/>
    </w:p>
    <w:p w14:paraId="710F69E4">
      <w:pPr>
        <w:rPr>
          <w:rFonts w:ascii="宋体" w:hAnsi="宋体" w:cs="宋体"/>
          <w:sz w:val="28"/>
          <w:szCs w:val="28"/>
          <w:highlight w:val="none"/>
        </w:rPr>
      </w:pPr>
      <w:bookmarkStart w:id="325" w:name="_Toc6655"/>
      <w:bookmarkStart w:id="326" w:name="_Toc344397402"/>
      <w:bookmarkStart w:id="327" w:name="_Toc350515685"/>
      <w:bookmarkStart w:id="328" w:name="_Toc344394236"/>
      <w:bookmarkStart w:id="329" w:name="_Toc343510635"/>
      <w:bookmarkStart w:id="330" w:name="_Toc349568760"/>
      <w:bookmarkStart w:id="331" w:name="_Toc330342833"/>
      <w:bookmarkStart w:id="332" w:name="_Toc5577"/>
      <w:bookmarkStart w:id="333" w:name="_Toc349914564"/>
      <w:bookmarkStart w:id="334" w:name="_Toc350516699"/>
      <w:bookmarkStart w:id="335" w:name="_Toc369353523"/>
      <w:bookmarkStart w:id="336" w:name="_Toc330342582"/>
      <w:bookmarkStart w:id="337" w:name="_Toc15410"/>
    </w:p>
    <w:p w14:paraId="1B7AC29B">
      <w:pPr>
        <w:pStyle w:val="5"/>
        <w:spacing w:line="360" w:lineRule="auto"/>
        <w:rPr>
          <w:rFonts w:ascii="宋体" w:hAnsi="宋体" w:cs="宋体"/>
          <w:sz w:val="28"/>
          <w:szCs w:val="28"/>
          <w:highlight w:val="none"/>
        </w:rPr>
      </w:pPr>
      <w:bookmarkStart w:id="338" w:name="_Toc8382"/>
      <w:bookmarkStart w:id="339" w:name="_Toc13093"/>
      <w:r>
        <w:rPr>
          <w:rFonts w:hint="eastAsia" w:ascii="宋体" w:hAnsi="宋体" w:cs="宋体"/>
          <w:sz w:val="28"/>
          <w:szCs w:val="28"/>
          <w:highlight w:val="none"/>
        </w:rPr>
        <w:t>4、投标保证书格式</w:t>
      </w:r>
      <w:bookmarkEnd w:id="338"/>
      <w:bookmarkEnd w:id="339"/>
    </w:p>
    <w:p w14:paraId="41C2DF82">
      <w:pPr>
        <w:spacing w:line="360" w:lineRule="auto"/>
        <w:jc w:val="center"/>
        <w:rPr>
          <w:rFonts w:ascii="宋体" w:hAnsi="宋体" w:cs="宋体"/>
          <w:b/>
          <w:sz w:val="42"/>
          <w:highlight w:val="none"/>
        </w:rPr>
      </w:pPr>
      <w:r>
        <w:rPr>
          <w:rFonts w:hint="eastAsia" w:ascii="宋体" w:hAnsi="宋体" w:cs="宋体"/>
          <w:b/>
          <w:sz w:val="42"/>
          <w:highlight w:val="none"/>
        </w:rPr>
        <w:t>投 标 保 证 书</w:t>
      </w:r>
    </w:p>
    <w:p w14:paraId="5C5F07B8">
      <w:pPr>
        <w:spacing w:line="360" w:lineRule="auto"/>
        <w:rPr>
          <w:rFonts w:ascii="宋体" w:hAnsi="宋体" w:cs="宋体"/>
          <w:sz w:val="24"/>
          <w:highlight w:val="none"/>
        </w:rPr>
      </w:pPr>
    </w:p>
    <w:p w14:paraId="55572B8A">
      <w:pPr>
        <w:spacing w:after="120" w:line="360" w:lineRule="auto"/>
        <w:rPr>
          <w:rFonts w:ascii="宋体" w:hAnsi="宋体" w:cs="宋体"/>
          <w:b/>
          <w:sz w:val="24"/>
          <w:highlight w:val="none"/>
        </w:rPr>
      </w:pPr>
      <w:r>
        <w:rPr>
          <w:rFonts w:hint="eastAsia" w:ascii="宋体" w:hAnsi="宋体" w:cs="宋体"/>
          <w:b/>
          <w:sz w:val="24"/>
          <w:highlight w:val="none"/>
        </w:rPr>
        <w:t>致：</w:t>
      </w:r>
      <w:r>
        <w:rPr>
          <w:rFonts w:hint="eastAsia" w:ascii="宋体" w:hAnsi="宋体" w:cs="宋体"/>
          <w:b/>
          <w:spacing w:val="10"/>
          <w:sz w:val="24"/>
          <w:highlight w:val="none"/>
        </w:rPr>
        <w:t>辽宁金誉建设工程造价咨询有限责任公司</w:t>
      </w:r>
    </w:p>
    <w:p w14:paraId="51A7E710">
      <w:pPr>
        <w:spacing w:before="60" w:after="60" w:line="360" w:lineRule="auto"/>
        <w:ind w:firstLine="510"/>
        <w:rPr>
          <w:rFonts w:ascii="宋体" w:hAnsi="宋体" w:cs="宋体"/>
          <w:sz w:val="24"/>
          <w:highlight w:val="none"/>
        </w:rPr>
      </w:pPr>
      <w:r>
        <w:rPr>
          <w:rFonts w:hint="eastAsia" w:ascii="宋体" w:hAnsi="宋体" w:cs="宋体"/>
          <w:sz w:val="24"/>
          <w:highlight w:val="none"/>
        </w:rPr>
        <w:t>本保证书作为</w:t>
      </w:r>
      <w:r>
        <w:rPr>
          <w:rFonts w:hint="eastAsia" w:ascii="宋体" w:hAnsi="宋体" w:cs="宋体"/>
          <w:sz w:val="24"/>
          <w:highlight w:val="none"/>
          <w:u w:val="single"/>
        </w:rPr>
        <w:t xml:space="preserve">      （投标人）      </w:t>
      </w:r>
      <w:r>
        <w:rPr>
          <w:rFonts w:hint="eastAsia" w:ascii="宋体" w:hAnsi="宋体" w:cs="宋体"/>
          <w:sz w:val="24"/>
          <w:highlight w:val="none"/>
        </w:rPr>
        <w:t>对贵公司“</w:t>
      </w:r>
      <w:r>
        <w:rPr>
          <w:rFonts w:hint="eastAsia" w:ascii="宋体" w:hAnsi="宋体" w:cs="宋体"/>
          <w:sz w:val="24"/>
          <w:highlight w:val="none"/>
          <w:u w:val="single"/>
        </w:rPr>
        <w:t xml:space="preserve"> （项目名称）   （项目编号）  </w:t>
      </w:r>
      <w:r>
        <w:rPr>
          <w:rFonts w:hint="eastAsia" w:ascii="宋体" w:hAnsi="宋体" w:cs="宋体"/>
          <w:sz w:val="24"/>
          <w:highlight w:val="none"/>
        </w:rPr>
        <w:t>” 的提供投标保证金的保证。</w:t>
      </w:r>
    </w:p>
    <w:p w14:paraId="1FCEA5BA">
      <w:pPr>
        <w:spacing w:before="60" w:after="60" w:line="360" w:lineRule="auto"/>
        <w:ind w:firstLine="510"/>
        <w:rPr>
          <w:rFonts w:ascii="宋体" w:hAnsi="宋体" w:cs="宋体"/>
          <w:sz w:val="24"/>
          <w:highlight w:val="none"/>
        </w:rPr>
      </w:pPr>
      <w:r>
        <w:rPr>
          <w:rFonts w:hint="eastAsia" w:ascii="宋体" w:hAnsi="宋体" w:cs="宋体"/>
          <w:sz w:val="24"/>
          <w:highlight w:val="none"/>
        </w:rPr>
        <w:t>由我单位（公司）提供的</w:t>
      </w:r>
      <w:r>
        <w:rPr>
          <w:rFonts w:hint="eastAsia" w:ascii="宋体" w:hAnsi="宋体" w:cs="宋体"/>
          <w:sz w:val="24"/>
          <w:highlight w:val="none"/>
          <w:u w:val="single"/>
        </w:rPr>
        <w:t xml:space="preserve">     （投标保证金形式）     </w:t>
      </w:r>
      <w:r>
        <w:rPr>
          <w:rFonts w:hint="eastAsia" w:ascii="宋体" w:hAnsi="宋体" w:cs="宋体"/>
          <w:sz w:val="24"/>
          <w:highlight w:val="none"/>
        </w:rPr>
        <w:t>总额为___________________（人民币______________万元）。</w:t>
      </w:r>
    </w:p>
    <w:p w14:paraId="10D0761F">
      <w:pPr>
        <w:spacing w:before="60" w:after="60" w:line="360" w:lineRule="auto"/>
        <w:ind w:firstLine="510"/>
        <w:rPr>
          <w:rFonts w:ascii="宋体" w:hAnsi="宋体" w:cs="宋体"/>
          <w:sz w:val="24"/>
          <w:highlight w:val="none"/>
        </w:rPr>
      </w:pPr>
      <w:r>
        <w:rPr>
          <w:rFonts w:hint="eastAsia" w:ascii="宋体" w:hAnsi="宋体" w:cs="宋体"/>
          <w:sz w:val="24"/>
          <w:highlight w:val="none"/>
        </w:rPr>
        <w:t>一旦发生下述行为，我单位（公司）将放弃要求退还投标保证金的权利：</w:t>
      </w:r>
    </w:p>
    <w:p w14:paraId="4F1656FD">
      <w:pPr>
        <w:spacing w:before="60" w:after="60" w:line="360" w:lineRule="auto"/>
        <w:ind w:firstLine="510"/>
        <w:rPr>
          <w:rFonts w:ascii="宋体" w:hAnsi="宋体" w:cs="宋体"/>
          <w:sz w:val="24"/>
          <w:highlight w:val="none"/>
        </w:rPr>
      </w:pPr>
      <w:r>
        <w:rPr>
          <w:rFonts w:hint="eastAsia" w:ascii="宋体" w:hAnsi="宋体" w:cs="宋体"/>
          <w:sz w:val="24"/>
          <w:highlight w:val="none"/>
        </w:rPr>
        <w:t>1、从开标日起到投标文件有效期满前，我单位撤回投标；</w:t>
      </w:r>
    </w:p>
    <w:p w14:paraId="0761A0B6">
      <w:pPr>
        <w:spacing w:before="60" w:after="60" w:line="360" w:lineRule="auto"/>
        <w:ind w:firstLine="510"/>
        <w:rPr>
          <w:rFonts w:ascii="宋体" w:hAnsi="宋体" w:cs="宋体"/>
          <w:sz w:val="24"/>
          <w:highlight w:val="none"/>
        </w:rPr>
      </w:pPr>
      <w:r>
        <w:rPr>
          <w:rFonts w:hint="eastAsia" w:ascii="宋体" w:hAnsi="宋体" w:cs="宋体"/>
          <w:sz w:val="24"/>
          <w:highlight w:val="none"/>
        </w:rPr>
        <w:t>2、开标、评标到定标期间发生违反招标文件规定的行为；</w:t>
      </w:r>
    </w:p>
    <w:p w14:paraId="22E6781A">
      <w:pPr>
        <w:spacing w:before="60" w:after="60" w:line="360" w:lineRule="auto"/>
        <w:ind w:firstLine="510"/>
        <w:rPr>
          <w:rFonts w:ascii="宋体" w:hAnsi="宋体" w:cs="宋体"/>
          <w:sz w:val="24"/>
          <w:highlight w:val="none"/>
        </w:rPr>
      </w:pPr>
      <w:r>
        <w:rPr>
          <w:rFonts w:hint="eastAsia" w:ascii="宋体" w:hAnsi="宋体" w:cs="宋体"/>
          <w:sz w:val="24"/>
          <w:highlight w:val="none"/>
        </w:rPr>
        <w:t>本保证书自开标日起90日历天内有效，除非贵方提前终止或解除本保证书。</w:t>
      </w:r>
    </w:p>
    <w:p w14:paraId="32747324">
      <w:pPr>
        <w:spacing w:before="60" w:after="60" w:line="360" w:lineRule="auto"/>
        <w:rPr>
          <w:rFonts w:ascii="宋体" w:hAnsi="宋体" w:cs="宋体"/>
          <w:sz w:val="24"/>
          <w:highlight w:val="none"/>
        </w:rPr>
      </w:pPr>
    </w:p>
    <w:p w14:paraId="14C7105C">
      <w:pPr>
        <w:spacing w:before="60" w:after="60" w:line="360" w:lineRule="auto"/>
        <w:rPr>
          <w:rFonts w:ascii="宋体" w:hAnsi="宋体" w:cs="宋体"/>
          <w:sz w:val="24"/>
          <w:highlight w:val="none"/>
        </w:rPr>
      </w:pPr>
    </w:p>
    <w:p w14:paraId="5801916B">
      <w:pPr>
        <w:spacing w:before="60" w:after="60" w:line="360" w:lineRule="auto"/>
        <w:ind w:firstLine="510"/>
        <w:rPr>
          <w:rFonts w:ascii="宋体" w:hAnsi="宋体" w:cs="宋体"/>
          <w:sz w:val="24"/>
          <w:highlight w:val="none"/>
        </w:rPr>
      </w:pPr>
      <w:r>
        <w:rPr>
          <w:rFonts w:hint="eastAsia" w:ascii="宋体" w:hAnsi="宋体" w:cs="宋体"/>
          <w:sz w:val="24"/>
          <w:highlight w:val="none"/>
        </w:rPr>
        <w:t>投标人全称（盖公章）：________________________</w:t>
      </w:r>
    </w:p>
    <w:p w14:paraId="2E6DFFF1">
      <w:pPr>
        <w:spacing w:before="60" w:after="60" w:line="360" w:lineRule="auto"/>
        <w:ind w:firstLine="510"/>
        <w:rPr>
          <w:rFonts w:ascii="宋体" w:hAnsi="宋体" w:cs="宋体"/>
          <w:sz w:val="24"/>
          <w:highlight w:val="none"/>
        </w:rPr>
      </w:pPr>
      <w:r>
        <w:rPr>
          <w:rFonts w:hint="eastAsia" w:ascii="宋体" w:hAnsi="宋体" w:cs="宋体"/>
          <w:sz w:val="24"/>
          <w:highlight w:val="none"/>
        </w:rPr>
        <w:t>法定代表人或授权委托代理人（签字或盖章）：__________</w:t>
      </w:r>
    </w:p>
    <w:p w14:paraId="300588EB">
      <w:pPr>
        <w:spacing w:before="60" w:after="60" w:line="360" w:lineRule="auto"/>
        <w:ind w:firstLine="510"/>
        <w:rPr>
          <w:rFonts w:ascii="宋体" w:hAnsi="宋体" w:cs="宋体"/>
          <w:sz w:val="24"/>
          <w:highlight w:val="none"/>
        </w:rPr>
      </w:pPr>
      <w:r>
        <w:rPr>
          <w:rFonts w:hint="eastAsia" w:ascii="宋体" w:hAnsi="宋体" w:cs="宋体"/>
          <w:sz w:val="24"/>
          <w:highlight w:val="none"/>
        </w:rPr>
        <w:t>日期：_______年____月_____日</w:t>
      </w:r>
    </w:p>
    <w:p w14:paraId="384E4ECF">
      <w:pPr>
        <w:spacing w:before="60" w:after="60" w:line="360" w:lineRule="auto"/>
        <w:ind w:firstLine="510"/>
        <w:rPr>
          <w:rFonts w:ascii="宋体" w:hAnsi="宋体" w:cs="宋体"/>
          <w:highlight w:val="none"/>
        </w:rPr>
      </w:pPr>
    </w:p>
    <w:p w14:paraId="5172532E">
      <w:pPr>
        <w:pStyle w:val="5"/>
        <w:spacing w:line="360" w:lineRule="auto"/>
        <w:rPr>
          <w:rFonts w:ascii="宋体" w:hAnsi="宋体" w:cs="宋体"/>
          <w:sz w:val="28"/>
          <w:szCs w:val="28"/>
          <w:highlight w:val="none"/>
        </w:rPr>
      </w:pPr>
      <w:r>
        <w:rPr>
          <w:rFonts w:hint="eastAsia" w:ascii="宋体" w:hAnsi="宋体" w:cs="宋体"/>
          <w:highlight w:val="none"/>
        </w:rPr>
        <w:br w:type="page"/>
      </w:r>
      <w:bookmarkStart w:id="340" w:name="_Toc428352860"/>
      <w:bookmarkStart w:id="341" w:name="_Toc421711544"/>
      <w:bookmarkStart w:id="342" w:name="_Toc408756326"/>
      <w:bookmarkStart w:id="343" w:name="_Toc431929800"/>
      <w:bookmarkStart w:id="344" w:name="_Toc2349"/>
      <w:bookmarkStart w:id="345" w:name="_Toc32032"/>
      <w:r>
        <w:rPr>
          <w:rFonts w:hint="eastAsia" w:ascii="宋体" w:hAnsi="宋体" w:cs="宋体"/>
          <w:sz w:val="28"/>
          <w:szCs w:val="28"/>
          <w:highlight w:val="none"/>
        </w:rPr>
        <w:t>5、投标保证金</w:t>
      </w:r>
      <w:bookmarkEnd w:id="340"/>
      <w:bookmarkEnd w:id="341"/>
      <w:bookmarkEnd w:id="342"/>
      <w:bookmarkEnd w:id="343"/>
      <w:r>
        <w:rPr>
          <w:rFonts w:hint="eastAsia" w:ascii="宋体" w:hAnsi="宋体" w:cs="宋体"/>
          <w:sz w:val="28"/>
          <w:szCs w:val="28"/>
          <w:highlight w:val="none"/>
        </w:rPr>
        <w:t>付款凭证</w:t>
      </w:r>
      <w:bookmarkEnd w:id="344"/>
      <w:r>
        <w:rPr>
          <w:rFonts w:hint="eastAsia" w:ascii="宋体" w:hAnsi="宋体" w:cs="宋体"/>
          <w:sz w:val="28"/>
          <w:szCs w:val="28"/>
          <w:highlight w:val="none"/>
        </w:rPr>
        <w:t>或保函扫描件</w:t>
      </w:r>
      <w:bookmarkEnd w:id="345"/>
    </w:p>
    <w:p w14:paraId="263A5CB7">
      <w:pPr>
        <w:rPr>
          <w:rFonts w:ascii="宋体" w:hAnsi="宋体" w:cs="宋体"/>
          <w:highlight w:val="none"/>
        </w:rPr>
      </w:pPr>
    </w:p>
    <w:p w14:paraId="479A4253">
      <w:pPr>
        <w:rPr>
          <w:rFonts w:ascii="宋体" w:hAnsi="宋体" w:cs="宋体"/>
          <w:highlight w:val="none"/>
        </w:rPr>
      </w:pPr>
      <w:r>
        <w:rPr>
          <w:rFonts w:hint="eastAsia" w:ascii="宋体" w:hAnsi="宋体" w:cs="宋体"/>
          <w:highlight w:val="none"/>
        </w:rPr>
        <w:br w:type="page"/>
      </w:r>
    </w:p>
    <w:p w14:paraId="2BC68370">
      <w:pPr>
        <w:pStyle w:val="5"/>
        <w:jc w:val="center"/>
        <w:rPr>
          <w:rFonts w:ascii="宋体" w:hAnsi="宋体" w:cs="宋体"/>
          <w:szCs w:val="28"/>
          <w:highlight w:val="none"/>
        </w:rPr>
      </w:pPr>
      <w:bookmarkStart w:id="346" w:name="_Toc17760"/>
      <w:r>
        <w:rPr>
          <w:rFonts w:hint="eastAsia"/>
          <w:highlight w:val="none"/>
        </w:rPr>
        <w:t>6、投标人不得被列入“失信被执行人”或“失信惩戒对象”或“重大税收违法案件当事人”，以“信用中国”网站（www.creditchina.gov.cn）查询为准。（需在招标公告发布后从“信用中国”网站打印查询结果并加盖公章）</w:t>
      </w:r>
      <w:bookmarkEnd w:id="346"/>
    </w:p>
    <w:p w14:paraId="648C7840">
      <w:pPr>
        <w:rPr>
          <w:rFonts w:ascii="宋体" w:hAnsi="宋体" w:cs="宋体"/>
          <w:highlight w:val="none"/>
        </w:rPr>
      </w:pPr>
    </w:p>
    <w:p w14:paraId="6E43C339">
      <w:pPr>
        <w:rPr>
          <w:rFonts w:ascii="宋体" w:hAnsi="宋体" w:cs="宋体"/>
          <w:highlight w:val="none"/>
        </w:rPr>
      </w:pPr>
    </w:p>
    <w:p w14:paraId="566C6F6D">
      <w:pPr>
        <w:rPr>
          <w:rFonts w:ascii="宋体" w:hAnsi="宋体" w:cs="宋体"/>
          <w:highlight w:val="none"/>
        </w:rPr>
      </w:pPr>
      <w:r>
        <w:rPr>
          <w:rFonts w:hint="eastAsia" w:ascii="宋体" w:hAnsi="宋体" w:cs="宋体"/>
          <w:highlight w:val="none"/>
        </w:rPr>
        <w:br w:type="page"/>
      </w:r>
    </w:p>
    <w:p w14:paraId="6D26DA29">
      <w:pPr>
        <w:pStyle w:val="5"/>
        <w:rPr>
          <w:rFonts w:ascii="宋体" w:hAnsi="宋体" w:cs="宋体"/>
          <w:szCs w:val="28"/>
          <w:highlight w:val="none"/>
        </w:rPr>
      </w:pPr>
      <w:bookmarkStart w:id="347" w:name="_Toc24251"/>
      <w:r>
        <w:rPr>
          <w:rFonts w:hint="eastAsia"/>
          <w:highlight w:val="none"/>
        </w:rPr>
        <w:t>7、投标人告知承诺函</w:t>
      </w:r>
      <w:bookmarkEnd w:id="347"/>
    </w:p>
    <w:p w14:paraId="2E66949D">
      <w:pPr>
        <w:spacing w:line="600" w:lineRule="exact"/>
        <w:jc w:val="center"/>
        <w:rPr>
          <w:rFonts w:ascii="宋体" w:hAnsi="宋体" w:cs="宋体"/>
          <w:szCs w:val="32"/>
          <w:highlight w:val="none"/>
        </w:rPr>
      </w:pPr>
      <w:r>
        <w:rPr>
          <w:rFonts w:hint="eastAsia" w:ascii="宋体" w:hAnsi="宋体" w:cs="宋体"/>
          <w:sz w:val="32"/>
          <w:szCs w:val="32"/>
          <w:highlight w:val="none"/>
        </w:rPr>
        <w:t>投标人告知承诺函</w:t>
      </w:r>
    </w:p>
    <w:p w14:paraId="42D64637">
      <w:pPr>
        <w:spacing w:line="600" w:lineRule="exact"/>
        <w:rPr>
          <w:rFonts w:ascii="宋体" w:hAnsi="宋体" w:cs="宋体"/>
          <w:sz w:val="30"/>
          <w:szCs w:val="30"/>
          <w:highlight w:val="none"/>
          <w:u w:val="single"/>
        </w:rPr>
      </w:pPr>
    </w:p>
    <w:p w14:paraId="51052DCD">
      <w:pPr>
        <w:spacing w:line="600" w:lineRule="exact"/>
        <w:rPr>
          <w:rFonts w:ascii="宋体" w:hAnsi="宋体" w:cs="宋体"/>
          <w:sz w:val="24"/>
          <w:szCs w:val="24"/>
          <w:highlight w:val="none"/>
          <w:u w:val="single"/>
        </w:rPr>
      </w:pPr>
      <w:r>
        <w:rPr>
          <w:rFonts w:hint="eastAsia" w:ascii="宋体" w:hAnsi="宋体" w:cs="宋体"/>
          <w:sz w:val="24"/>
          <w:szCs w:val="24"/>
          <w:highlight w:val="none"/>
          <w:u w:val="single"/>
        </w:rPr>
        <w:t>营口市海洋与渔业局：</w:t>
      </w:r>
    </w:p>
    <w:p w14:paraId="520A9209">
      <w:pPr>
        <w:spacing w:line="600" w:lineRule="exact"/>
        <w:ind w:firstLine="480" w:firstLineChars="200"/>
        <w:rPr>
          <w:rFonts w:ascii="宋体" w:hAnsi="宋体" w:cs="宋体"/>
          <w:sz w:val="24"/>
          <w:szCs w:val="24"/>
          <w:highlight w:val="none"/>
        </w:rPr>
      </w:pPr>
      <w:r>
        <w:rPr>
          <w:rFonts w:hint="eastAsia" w:ascii="宋体" w:hAnsi="宋体" w:cs="宋体"/>
          <w:sz w:val="24"/>
          <w:szCs w:val="24"/>
          <w:highlight w:val="none"/>
        </w:rPr>
        <w:t>我单位参与</w:t>
      </w:r>
      <w:r>
        <w:rPr>
          <w:rFonts w:hint="eastAsia" w:ascii="宋体" w:hAnsi="宋体" w:cs="宋体"/>
          <w:sz w:val="24"/>
          <w:szCs w:val="24"/>
          <w:highlight w:val="none"/>
          <w:u w:val="single"/>
        </w:rPr>
        <w:t>（辽宁省营口市海洋生态保护修复工程项目管护能力建设及浒苔处置监测预报服务）</w:t>
      </w:r>
      <w:r>
        <w:rPr>
          <w:rFonts w:hint="eastAsia" w:ascii="宋体" w:hAnsi="宋体" w:cs="宋体"/>
          <w:sz w:val="24"/>
          <w:szCs w:val="24"/>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3F4A7F9B">
      <w:pPr>
        <w:spacing w:line="600" w:lineRule="exact"/>
        <w:ind w:firstLine="480" w:firstLineChars="200"/>
        <w:rPr>
          <w:rFonts w:ascii="宋体" w:hAnsi="宋体" w:cs="宋体"/>
          <w:sz w:val="24"/>
          <w:szCs w:val="24"/>
          <w:highlight w:val="none"/>
        </w:rPr>
      </w:pPr>
      <w:r>
        <w:rPr>
          <w:rFonts w:hint="eastAsia" w:ascii="宋体" w:hAnsi="宋体" w:cs="宋体"/>
          <w:sz w:val="24"/>
          <w:szCs w:val="24"/>
          <w:highlight w:val="none"/>
        </w:rPr>
        <w:t>一、我单位和我本人遵循公开、公平、公正、诚实守信的原则，依法依规参与本项目投标。</w:t>
      </w:r>
    </w:p>
    <w:p w14:paraId="7119FECE">
      <w:pPr>
        <w:spacing w:line="600" w:lineRule="exact"/>
        <w:ind w:firstLine="480" w:firstLineChars="200"/>
        <w:rPr>
          <w:rFonts w:ascii="宋体" w:hAnsi="宋体" w:cs="宋体"/>
          <w:sz w:val="24"/>
          <w:szCs w:val="24"/>
          <w:highlight w:val="none"/>
        </w:rPr>
      </w:pPr>
      <w:r>
        <w:rPr>
          <w:rFonts w:hint="eastAsia" w:ascii="宋体" w:hAnsi="宋体" w:cs="宋体"/>
          <w:sz w:val="24"/>
          <w:szCs w:val="24"/>
          <w:highlight w:val="none"/>
        </w:rPr>
        <w:t>二、我单位具有参与本次投标的资质和能力，公司运营状况良好，不存在挂靠投标、不受让、租借、出租、出借资格或资质证书，无处罚期内的不良行为。</w:t>
      </w:r>
    </w:p>
    <w:p w14:paraId="4437A9D7">
      <w:pPr>
        <w:spacing w:line="600" w:lineRule="exact"/>
        <w:ind w:firstLine="480" w:firstLineChars="200"/>
        <w:rPr>
          <w:rFonts w:ascii="宋体" w:hAnsi="宋体" w:cs="宋体"/>
          <w:sz w:val="24"/>
          <w:szCs w:val="24"/>
          <w:highlight w:val="none"/>
        </w:rPr>
      </w:pPr>
      <w:r>
        <w:rPr>
          <w:rFonts w:hint="eastAsia" w:ascii="宋体" w:hAnsi="宋体" w:cs="宋体"/>
          <w:sz w:val="24"/>
          <w:szCs w:val="24"/>
          <w:highlight w:val="none"/>
        </w:rPr>
        <w:t>三、我单位在本项目投标过程中从招标公告/投标邀请书列明的渠道获取招标文件，没有通过其他不正当渠道获取招标文件。</w:t>
      </w:r>
    </w:p>
    <w:p w14:paraId="1EB4F32C">
      <w:pPr>
        <w:spacing w:line="600" w:lineRule="exact"/>
        <w:rPr>
          <w:rFonts w:ascii="宋体" w:hAnsi="宋体" w:cs="宋体"/>
          <w:sz w:val="24"/>
          <w:szCs w:val="24"/>
          <w:highlight w:val="none"/>
        </w:rPr>
      </w:pPr>
      <w:r>
        <w:rPr>
          <w:rFonts w:hint="eastAsia" w:ascii="宋体" w:hAnsi="宋体" w:cs="宋体"/>
          <w:sz w:val="24"/>
          <w:szCs w:val="24"/>
          <w:highlight w:val="none"/>
        </w:rPr>
        <w:t xml:space="preserve">    四、我单位承诺投标文件由本单位员工独立编制，严格遵守保密义务。所提供的一切投标相关材料都是真实、有效、合法的。</w:t>
      </w:r>
    </w:p>
    <w:p w14:paraId="71F71BE8">
      <w:pPr>
        <w:spacing w:line="600" w:lineRule="exact"/>
        <w:ind w:firstLine="480" w:firstLineChars="200"/>
        <w:rPr>
          <w:rFonts w:ascii="宋体" w:hAnsi="宋体" w:cs="宋体"/>
          <w:sz w:val="24"/>
          <w:szCs w:val="24"/>
          <w:highlight w:val="none"/>
        </w:rPr>
      </w:pPr>
      <w:r>
        <w:rPr>
          <w:rFonts w:hint="eastAsia" w:ascii="宋体" w:hAnsi="宋体" w:cs="宋体"/>
          <w:sz w:val="24"/>
          <w:szCs w:val="24"/>
          <w:highlight w:val="none"/>
        </w:rPr>
        <w:t>五、我单位不与其他投标人相互串通投标报价，不恶意压低或抬高投标报价，不排挤其他投标人的公平竞争，不损害招标人或其他投标人的合法权益。</w:t>
      </w:r>
    </w:p>
    <w:p w14:paraId="5B56C6BC">
      <w:pPr>
        <w:spacing w:line="600" w:lineRule="exact"/>
        <w:ind w:firstLine="480" w:firstLineChars="200"/>
        <w:rPr>
          <w:rFonts w:ascii="宋体" w:hAnsi="宋体" w:cs="宋体"/>
          <w:sz w:val="24"/>
          <w:szCs w:val="24"/>
          <w:highlight w:val="none"/>
        </w:rPr>
      </w:pPr>
      <w:r>
        <w:rPr>
          <w:rFonts w:hint="eastAsia" w:ascii="宋体" w:hAnsi="宋体" w:cs="宋体"/>
          <w:sz w:val="24"/>
          <w:szCs w:val="24"/>
          <w:highlight w:val="none"/>
        </w:rPr>
        <w:t>六、我单位不与招标人或招标代理机构串通投标，损害国家利益、社会公共利益或者他人的合法权益。</w:t>
      </w:r>
    </w:p>
    <w:p w14:paraId="7558E9B5">
      <w:pPr>
        <w:spacing w:line="600" w:lineRule="exact"/>
        <w:ind w:firstLine="480" w:firstLineChars="200"/>
        <w:rPr>
          <w:rFonts w:ascii="宋体" w:hAnsi="宋体" w:cs="宋体"/>
          <w:sz w:val="24"/>
          <w:szCs w:val="24"/>
          <w:highlight w:val="none"/>
        </w:rPr>
      </w:pPr>
      <w:r>
        <w:rPr>
          <w:rFonts w:hint="eastAsia" w:ascii="宋体" w:hAnsi="宋体" w:cs="宋体"/>
          <w:sz w:val="24"/>
          <w:szCs w:val="24"/>
          <w:highlight w:val="none"/>
        </w:rPr>
        <w:t>七、我单位不向招标人或者评标委员会成员行贿以牟取中标，不在开标后进行虚假恶意投诉。</w:t>
      </w:r>
    </w:p>
    <w:p w14:paraId="2E8D0AB7">
      <w:pPr>
        <w:spacing w:line="600" w:lineRule="exact"/>
        <w:ind w:firstLine="480" w:firstLineChars="200"/>
        <w:rPr>
          <w:rFonts w:ascii="宋体" w:hAnsi="宋体" w:cs="宋体"/>
          <w:sz w:val="24"/>
          <w:szCs w:val="24"/>
          <w:highlight w:val="none"/>
        </w:rPr>
      </w:pPr>
      <w:r>
        <w:rPr>
          <w:rFonts w:hint="eastAsia" w:ascii="宋体" w:hAnsi="宋体" w:cs="宋体"/>
          <w:sz w:val="24"/>
          <w:szCs w:val="24"/>
          <w:highlight w:val="none"/>
        </w:rPr>
        <w:t>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14:paraId="24EA8971">
      <w:pPr>
        <w:spacing w:line="600" w:lineRule="exact"/>
        <w:ind w:firstLine="480" w:firstLineChars="200"/>
        <w:rPr>
          <w:rFonts w:ascii="宋体" w:hAnsi="宋体" w:cs="宋体"/>
          <w:sz w:val="24"/>
          <w:szCs w:val="24"/>
          <w:highlight w:val="none"/>
        </w:rPr>
      </w:pPr>
      <w:r>
        <w:rPr>
          <w:rFonts w:hint="eastAsia" w:ascii="宋体" w:hAnsi="宋体" w:cs="宋体"/>
          <w:sz w:val="24"/>
          <w:szCs w:val="24"/>
          <w:highlight w:val="none"/>
        </w:rPr>
        <w:t>九、我单位如在本项目招标投标活动评标工作中存在串通投标、弄虚作假等行为的，本单位及本人自愿承担法律责任，接受相应刑事、纪律和行政处罚以及失信惩戒。</w:t>
      </w:r>
    </w:p>
    <w:p w14:paraId="0DB09092">
      <w:pPr>
        <w:spacing w:line="600" w:lineRule="exact"/>
        <w:ind w:firstLine="480" w:firstLineChars="200"/>
        <w:rPr>
          <w:rFonts w:ascii="宋体" w:hAnsi="宋体" w:cs="宋体"/>
          <w:sz w:val="24"/>
          <w:szCs w:val="24"/>
          <w:highlight w:val="none"/>
        </w:rPr>
      </w:pPr>
      <w:r>
        <w:rPr>
          <w:rFonts w:hint="eastAsia" w:ascii="宋体" w:hAnsi="宋体" w:cs="宋体"/>
          <w:sz w:val="24"/>
          <w:szCs w:val="24"/>
          <w:highlight w:val="none"/>
        </w:rPr>
        <w:t>十、本承诺函由我单位盖章及法定代表人（授权委托人）签字（或盖章）确认。</w:t>
      </w:r>
    </w:p>
    <w:p w14:paraId="4AFB818A">
      <w:pPr>
        <w:spacing w:line="600" w:lineRule="exact"/>
        <w:ind w:firstLine="480" w:firstLineChars="200"/>
        <w:rPr>
          <w:rFonts w:ascii="宋体" w:hAnsi="宋体" w:cs="宋体"/>
          <w:sz w:val="24"/>
          <w:szCs w:val="24"/>
          <w:highlight w:val="none"/>
          <w:shd w:val="clear" w:color="auto" w:fill="FFFFFF"/>
        </w:rPr>
      </w:pPr>
    </w:p>
    <w:p w14:paraId="779560BC">
      <w:pPr>
        <w:spacing w:line="600" w:lineRule="exact"/>
        <w:ind w:firstLine="480" w:firstLineChars="200"/>
        <w:rPr>
          <w:rFonts w:ascii="宋体" w:hAnsi="宋体" w:cs="宋体"/>
          <w:sz w:val="24"/>
          <w:szCs w:val="24"/>
          <w:highlight w:val="none"/>
          <w:shd w:val="clear" w:color="auto" w:fill="FFFFFF"/>
        </w:rPr>
      </w:pPr>
    </w:p>
    <w:p w14:paraId="5F69A059">
      <w:pPr>
        <w:spacing w:line="600" w:lineRule="exact"/>
        <w:ind w:firstLine="360" w:firstLineChars="150"/>
        <w:rPr>
          <w:rFonts w:ascii="宋体" w:hAnsi="宋体" w:cs="宋体"/>
          <w:sz w:val="24"/>
          <w:szCs w:val="24"/>
          <w:highlight w:val="none"/>
        </w:rPr>
      </w:pPr>
      <w:r>
        <w:rPr>
          <w:rFonts w:hint="eastAsia" w:ascii="宋体" w:hAnsi="宋体" w:cs="宋体"/>
          <w:sz w:val="24"/>
          <w:szCs w:val="24"/>
          <w:highlight w:val="none"/>
        </w:rPr>
        <w:t>承诺单位：     （盖单位公章）</w:t>
      </w:r>
    </w:p>
    <w:p w14:paraId="1951242F">
      <w:pPr>
        <w:spacing w:line="600" w:lineRule="exact"/>
        <w:rPr>
          <w:rFonts w:ascii="宋体" w:hAnsi="宋体" w:cs="宋体"/>
          <w:sz w:val="24"/>
          <w:szCs w:val="24"/>
          <w:highlight w:val="none"/>
        </w:rPr>
      </w:pPr>
    </w:p>
    <w:p w14:paraId="2163E117">
      <w:pPr>
        <w:spacing w:line="600" w:lineRule="exact"/>
        <w:ind w:firstLine="360" w:firstLineChars="150"/>
        <w:rPr>
          <w:rFonts w:ascii="宋体" w:hAnsi="宋体" w:cs="宋体"/>
          <w:sz w:val="24"/>
          <w:szCs w:val="24"/>
          <w:highlight w:val="none"/>
        </w:rPr>
      </w:pPr>
      <w:r>
        <w:rPr>
          <w:rFonts w:hint="eastAsia" w:ascii="宋体" w:hAnsi="宋体" w:cs="宋体"/>
          <w:sz w:val="24"/>
          <w:szCs w:val="24"/>
          <w:highlight w:val="none"/>
        </w:rPr>
        <w:t>法定代表人（授权委托人）：        （签字或盖章）</w:t>
      </w:r>
    </w:p>
    <w:p w14:paraId="228E8FC5">
      <w:pPr>
        <w:spacing w:line="600" w:lineRule="exact"/>
        <w:rPr>
          <w:rFonts w:ascii="宋体" w:hAnsi="宋体" w:cs="宋体"/>
          <w:sz w:val="24"/>
          <w:szCs w:val="24"/>
          <w:highlight w:val="none"/>
        </w:rPr>
      </w:pPr>
    </w:p>
    <w:p w14:paraId="1212471D">
      <w:pPr>
        <w:spacing w:line="600" w:lineRule="exact"/>
        <w:rPr>
          <w:rFonts w:ascii="宋体" w:hAnsi="宋体" w:cs="宋体"/>
          <w:sz w:val="24"/>
          <w:szCs w:val="24"/>
          <w:highlight w:val="none"/>
        </w:rPr>
      </w:pPr>
    </w:p>
    <w:p w14:paraId="07096C14">
      <w:pPr>
        <w:jc w:val="right"/>
        <w:rPr>
          <w:rFonts w:ascii="宋体" w:hAnsi="宋体" w:cs="宋体"/>
          <w:b/>
          <w:bCs/>
          <w:sz w:val="24"/>
          <w:szCs w:val="24"/>
          <w:highlight w:val="none"/>
        </w:rPr>
      </w:pPr>
      <w:r>
        <w:rPr>
          <w:rFonts w:hint="eastAsia" w:ascii="宋体" w:hAnsi="宋体" w:cs="宋体"/>
          <w:sz w:val="24"/>
          <w:szCs w:val="24"/>
          <w:highlight w:val="none"/>
        </w:rPr>
        <w:t>承诺时间：    年   月  日</w:t>
      </w:r>
    </w:p>
    <w:p w14:paraId="50F10E1D">
      <w:pPr>
        <w:rPr>
          <w:rFonts w:ascii="宋体" w:hAnsi="宋体" w:cs="宋体"/>
          <w:highlight w:val="none"/>
        </w:rPr>
      </w:pPr>
    </w:p>
    <w:p w14:paraId="5416069C">
      <w:pPr>
        <w:rPr>
          <w:rFonts w:ascii="宋体" w:hAnsi="宋体" w:cs="宋体"/>
          <w:highlight w:val="none"/>
        </w:rPr>
      </w:pPr>
    </w:p>
    <w:p w14:paraId="4CB57438">
      <w:pPr>
        <w:rPr>
          <w:rFonts w:ascii="宋体" w:hAnsi="宋体" w:cs="宋体"/>
          <w:highlight w:val="none"/>
        </w:rPr>
      </w:pPr>
      <w:bookmarkStart w:id="348" w:name="_Toc13728"/>
      <w:r>
        <w:rPr>
          <w:rFonts w:hint="eastAsia" w:ascii="宋体" w:hAnsi="宋体" w:cs="宋体"/>
          <w:highlight w:val="none"/>
        </w:rPr>
        <w:br w:type="page"/>
      </w:r>
    </w:p>
    <w:p w14:paraId="69CDDBBF">
      <w:pPr>
        <w:pStyle w:val="5"/>
        <w:spacing w:line="360" w:lineRule="auto"/>
        <w:jc w:val="center"/>
        <w:rPr>
          <w:rFonts w:ascii="宋体" w:hAnsi="宋体" w:cs="宋体"/>
          <w:sz w:val="24"/>
          <w:highlight w:val="none"/>
        </w:rPr>
      </w:pPr>
      <w:bookmarkStart w:id="349" w:name="_Toc349914547"/>
      <w:bookmarkStart w:id="350" w:name="_Toc16811"/>
      <w:bookmarkStart w:id="351" w:name="_Toc344394220"/>
      <w:bookmarkStart w:id="352" w:name="_Toc344397386"/>
      <w:bookmarkStart w:id="353" w:name="_Toc19864"/>
      <w:bookmarkStart w:id="354" w:name="_Toc330342816"/>
      <w:bookmarkStart w:id="355" w:name="_Toc14571"/>
      <w:bookmarkStart w:id="356" w:name="_Toc350516686"/>
      <w:bookmarkStart w:id="357" w:name="_Toc343510619"/>
      <w:bookmarkStart w:id="358" w:name="_Toc20037"/>
      <w:bookmarkStart w:id="359" w:name="_Toc350515672"/>
      <w:bookmarkStart w:id="360" w:name="_Toc349568743"/>
      <w:bookmarkStart w:id="361" w:name="_Toc7715"/>
      <w:bookmarkStart w:id="362" w:name="_Toc369353510"/>
      <w:r>
        <w:rPr>
          <w:rFonts w:hint="eastAsia" w:ascii="宋体" w:hAnsi="宋体" w:cs="宋体"/>
          <w:highlight w:val="none"/>
        </w:rPr>
        <w:t>第三部分 技术部分</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0ECB1022">
      <w:pPr>
        <w:pStyle w:val="5"/>
        <w:jc w:val="center"/>
        <w:rPr>
          <w:rFonts w:ascii="仿宋_GB2312" w:hAnsi="仿宋_GB2312" w:eastAsia="仿宋_GB2312" w:cs="仿宋_GB2312"/>
          <w:highlight w:val="none"/>
        </w:rPr>
      </w:pPr>
      <w:bookmarkStart w:id="363" w:name="_Toc22274"/>
      <w:bookmarkStart w:id="364" w:name="_Toc31555_WPSOffice_Level2"/>
      <w:bookmarkStart w:id="365" w:name="_Toc9235_WPSOffice_Level2"/>
      <w:r>
        <w:rPr>
          <w:rFonts w:hint="eastAsia"/>
          <w:highlight w:val="none"/>
        </w:rPr>
        <w:t>技术条款偏离表</w:t>
      </w:r>
      <w:bookmarkEnd w:id="363"/>
      <w:bookmarkEnd w:id="364"/>
      <w:bookmarkEnd w:id="365"/>
    </w:p>
    <w:tbl>
      <w:tblPr>
        <w:tblStyle w:val="28"/>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572"/>
        <w:gridCol w:w="1614"/>
        <w:gridCol w:w="1699"/>
        <w:gridCol w:w="1730"/>
        <w:gridCol w:w="1811"/>
      </w:tblGrid>
      <w:tr w14:paraId="7ACE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1" w:type="dxa"/>
            <w:vAlign w:val="center"/>
          </w:tcPr>
          <w:p w14:paraId="273BBE4E">
            <w:pPr>
              <w:spacing w:line="360" w:lineRule="auto"/>
              <w:jc w:val="center"/>
              <w:rPr>
                <w:rFonts w:ascii="宋体"/>
                <w:sz w:val="24"/>
                <w:highlight w:val="none"/>
              </w:rPr>
            </w:pPr>
            <w:r>
              <w:rPr>
                <w:rFonts w:hint="eastAsia" w:ascii="宋体" w:hAnsi="宋体"/>
                <w:sz w:val="24"/>
                <w:highlight w:val="none"/>
              </w:rPr>
              <w:t>序号</w:t>
            </w:r>
          </w:p>
        </w:tc>
        <w:tc>
          <w:tcPr>
            <w:tcW w:w="1572" w:type="dxa"/>
            <w:vAlign w:val="center"/>
          </w:tcPr>
          <w:p w14:paraId="06B704AF">
            <w:pPr>
              <w:spacing w:line="360" w:lineRule="auto"/>
              <w:jc w:val="center"/>
              <w:rPr>
                <w:rFonts w:ascii="宋体"/>
                <w:sz w:val="24"/>
                <w:highlight w:val="none"/>
              </w:rPr>
            </w:pPr>
            <w:r>
              <w:rPr>
                <w:rFonts w:hint="eastAsia" w:ascii="宋体" w:hAnsi="宋体"/>
                <w:sz w:val="24"/>
                <w:highlight w:val="none"/>
              </w:rPr>
              <w:t>设备名称</w:t>
            </w:r>
          </w:p>
        </w:tc>
        <w:tc>
          <w:tcPr>
            <w:tcW w:w="1614" w:type="dxa"/>
            <w:vAlign w:val="center"/>
          </w:tcPr>
          <w:p w14:paraId="39B55AA6">
            <w:pPr>
              <w:pStyle w:val="49"/>
              <w:widowControl w:val="0"/>
              <w:pBdr>
                <w:left w:val="none" w:color="auto" w:sz="0" w:space="0"/>
                <w:bottom w:val="none" w:color="auto" w:sz="0" w:space="0"/>
                <w:right w:val="none" w:color="auto" w:sz="0" w:space="0"/>
              </w:pBdr>
              <w:spacing w:before="0" w:beforeAutospacing="0" w:after="0" w:afterAutospacing="0" w:line="360" w:lineRule="auto"/>
              <w:rPr>
                <w:rFonts w:hint="default" w:ascii="宋体" w:eastAsia="宋体"/>
                <w:kern w:val="2"/>
                <w:highlight w:val="none"/>
              </w:rPr>
            </w:pPr>
            <w:r>
              <w:rPr>
                <w:rFonts w:ascii="宋体" w:eastAsia="宋体"/>
                <w:kern w:val="2"/>
                <w:highlight w:val="none"/>
              </w:rPr>
              <w:t>招标要求</w:t>
            </w:r>
          </w:p>
        </w:tc>
        <w:tc>
          <w:tcPr>
            <w:tcW w:w="1699" w:type="dxa"/>
            <w:vAlign w:val="center"/>
          </w:tcPr>
          <w:p w14:paraId="65B23618">
            <w:pPr>
              <w:spacing w:line="360" w:lineRule="auto"/>
              <w:jc w:val="center"/>
              <w:rPr>
                <w:rFonts w:ascii="宋体"/>
                <w:sz w:val="24"/>
                <w:highlight w:val="none"/>
              </w:rPr>
            </w:pPr>
            <w:r>
              <w:rPr>
                <w:rFonts w:hint="eastAsia" w:ascii="宋体" w:hAnsi="宋体"/>
                <w:sz w:val="24"/>
                <w:highlight w:val="none"/>
              </w:rPr>
              <w:t>投标响应</w:t>
            </w:r>
          </w:p>
        </w:tc>
        <w:tc>
          <w:tcPr>
            <w:tcW w:w="1730" w:type="dxa"/>
            <w:vAlign w:val="center"/>
          </w:tcPr>
          <w:p w14:paraId="460A2DBB">
            <w:pPr>
              <w:spacing w:line="360" w:lineRule="auto"/>
              <w:jc w:val="center"/>
              <w:rPr>
                <w:rFonts w:ascii="宋体"/>
                <w:sz w:val="24"/>
                <w:highlight w:val="none"/>
              </w:rPr>
            </w:pPr>
            <w:r>
              <w:rPr>
                <w:rFonts w:hint="eastAsia" w:ascii="宋体" w:hAnsi="宋体"/>
                <w:sz w:val="24"/>
                <w:highlight w:val="none"/>
              </w:rPr>
              <w:t>投标产品响应程度（高于</w:t>
            </w:r>
            <w:r>
              <w:rPr>
                <w:rFonts w:ascii="宋体" w:hAnsi="宋体"/>
                <w:sz w:val="24"/>
                <w:highlight w:val="none"/>
              </w:rPr>
              <w:t>/</w:t>
            </w:r>
            <w:r>
              <w:rPr>
                <w:rFonts w:hint="eastAsia" w:ascii="宋体" w:hAnsi="宋体"/>
                <w:sz w:val="24"/>
                <w:highlight w:val="none"/>
              </w:rPr>
              <w:t>满足</w:t>
            </w:r>
            <w:r>
              <w:rPr>
                <w:rFonts w:ascii="宋体" w:hAnsi="宋体"/>
                <w:sz w:val="24"/>
                <w:highlight w:val="none"/>
              </w:rPr>
              <w:t>/</w:t>
            </w:r>
            <w:r>
              <w:rPr>
                <w:rFonts w:hint="eastAsia" w:ascii="宋体" w:hAnsi="宋体"/>
                <w:sz w:val="24"/>
                <w:highlight w:val="none"/>
              </w:rPr>
              <w:t>偏离）</w:t>
            </w:r>
          </w:p>
        </w:tc>
        <w:tc>
          <w:tcPr>
            <w:tcW w:w="1811" w:type="dxa"/>
            <w:vAlign w:val="center"/>
          </w:tcPr>
          <w:p w14:paraId="06E9AA09">
            <w:pPr>
              <w:spacing w:line="360" w:lineRule="auto"/>
              <w:jc w:val="center"/>
              <w:rPr>
                <w:rFonts w:ascii="宋体"/>
                <w:sz w:val="24"/>
                <w:highlight w:val="none"/>
              </w:rPr>
            </w:pPr>
            <w:r>
              <w:rPr>
                <w:rFonts w:hint="eastAsia" w:ascii="宋体" w:hAnsi="宋体"/>
                <w:sz w:val="24"/>
                <w:highlight w:val="none"/>
              </w:rPr>
              <w:t>说明</w:t>
            </w:r>
          </w:p>
        </w:tc>
      </w:tr>
      <w:tr w14:paraId="2571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Align w:val="center"/>
          </w:tcPr>
          <w:p w14:paraId="4FD92919">
            <w:pPr>
              <w:spacing w:line="360" w:lineRule="auto"/>
              <w:jc w:val="center"/>
              <w:rPr>
                <w:rFonts w:ascii="宋体"/>
                <w:sz w:val="24"/>
                <w:highlight w:val="none"/>
              </w:rPr>
            </w:pPr>
          </w:p>
        </w:tc>
        <w:tc>
          <w:tcPr>
            <w:tcW w:w="1572" w:type="dxa"/>
            <w:vAlign w:val="center"/>
          </w:tcPr>
          <w:p w14:paraId="239D117E">
            <w:pPr>
              <w:spacing w:line="360" w:lineRule="auto"/>
              <w:jc w:val="center"/>
              <w:rPr>
                <w:rFonts w:ascii="宋体"/>
                <w:sz w:val="24"/>
                <w:highlight w:val="none"/>
              </w:rPr>
            </w:pPr>
          </w:p>
        </w:tc>
        <w:tc>
          <w:tcPr>
            <w:tcW w:w="1614" w:type="dxa"/>
            <w:vAlign w:val="center"/>
          </w:tcPr>
          <w:p w14:paraId="01FE72B3">
            <w:pPr>
              <w:spacing w:line="360" w:lineRule="auto"/>
              <w:jc w:val="center"/>
              <w:rPr>
                <w:rFonts w:ascii="宋体"/>
                <w:sz w:val="24"/>
                <w:highlight w:val="none"/>
              </w:rPr>
            </w:pPr>
            <w:r>
              <w:rPr>
                <w:rFonts w:hint="eastAsia" w:ascii="宋体"/>
                <w:sz w:val="24"/>
                <w:highlight w:val="none"/>
              </w:rPr>
              <w:t>（逐条填写）</w:t>
            </w:r>
          </w:p>
        </w:tc>
        <w:tc>
          <w:tcPr>
            <w:tcW w:w="1699" w:type="dxa"/>
            <w:vAlign w:val="center"/>
          </w:tcPr>
          <w:p w14:paraId="0A927CA1">
            <w:pPr>
              <w:spacing w:line="360" w:lineRule="auto"/>
              <w:jc w:val="center"/>
              <w:rPr>
                <w:rFonts w:ascii="宋体"/>
                <w:sz w:val="24"/>
                <w:highlight w:val="none"/>
              </w:rPr>
            </w:pPr>
            <w:r>
              <w:rPr>
                <w:rFonts w:hint="eastAsia" w:ascii="宋体"/>
                <w:sz w:val="24"/>
                <w:highlight w:val="none"/>
              </w:rPr>
              <w:t>（逐条填写）</w:t>
            </w:r>
          </w:p>
        </w:tc>
        <w:tc>
          <w:tcPr>
            <w:tcW w:w="1730" w:type="dxa"/>
            <w:vAlign w:val="center"/>
          </w:tcPr>
          <w:p w14:paraId="58822F6A">
            <w:pPr>
              <w:spacing w:line="360" w:lineRule="auto"/>
              <w:jc w:val="center"/>
              <w:rPr>
                <w:rFonts w:ascii="宋体"/>
                <w:sz w:val="24"/>
                <w:highlight w:val="none"/>
              </w:rPr>
            </w:pPr>
          </w:p>
        </w:tc>
        <w:tc>
          <w:tcPr>
            <w:tcW w:w="1811" w:type="dxa"/>
            <w:vAlign w:val="center"/>
          </w:tcPr>
          <w:p w14:paraId="2527124A">
            <w:pPr>
              <w:spacing w:line="360" w:lineRule="auto"/>
              <w:jc w:val="center"/>
              <w:rPr>
                <w:rFonts w:ascii="宋体"/>
                <w:sz w:val="24"/>
                <w:highlight w:val="none"/>
              </w:rPr>
            </w:pPr>
            <w:r>
              <w:rPr>
                <w:rFonts w:hint="eastAsia" w:ascii="宋体"/>
                <w:sz w:val="24"/>
                <w:highlight w:val="none"/>
              </w:rPr>
              <w:t>（需要提供证明材料的，请标注清楚具体页码）</w:t>
            </w:r>
          </w:p>
        </w:tc>
      </w:tr>
      <w:tr w14:paraId="1A51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Align w:val="center"/>
          </w:tcPr>
          <w:p w14:paraId="35990D02">
            <w:pPr>
              <w:spacing w:line="360" w:lineRule="auto"/>
              <w:jc w:val="center"/>
              <w:rPr>
                <w:rFonts w:ascii="宋体"/>
                <w:sz w:val="24"/>
                <w:highlight w:val="none"/>
              </w:rPr>
            </w:pPr>
          </w:p>
        </w:tc>
        <w:tc>
          <w:tcPr>
            <w:tcW w:w="1572" w:type="dxa"/>
            <w:vAlign w:val="center"/>
          </w:tcPr>
          <w:p w14:paraId="2C54A328">
            <w:pPr>
              <w:spacing w:line="360" w:lineRule="auto"/>
              <w:jc w:val="center"/>
              <w:rPr>
                <w:rFonts w:ascii="宋体"/>
                <w:sz w:val="24"/>
                <w:highlight w:val="none"/>
              </w:rPr>
            </w:pPr>
          </w:p>
        </w:tc>
        <w:tc>
          <w:tcPr>
            <w:tcW w:w="1614" w:type="dxa"/>
            <w:vAlign w:val="center"/>
          </w:tcPr>
          <w:p w14:paraId="7CAF133D">
            <w:pPr>
              <w:spacing w:line="360" w:lineRule="auto"/>
              <w:jc w:val="center"/>
              <w:rPr>
                <w:rFonts w:ascii="宋体"/>
                <w:sz w:val="24"/>
                <w:highlight w:val="none"/>
              </w:rPr>
            </w:pPr>
          </w:p>
        </w:tc>
        <w:tc>
          <w:tcPr>
            <w:tcW w:w="1699" w:type="dxa"/>
            <w:vAlign w:val="center"/>
          </w:tcPr>
          <w:p w14:paraId="2348BB55">
            <w:pPr>
              <w:spacing w:line="360" w:lineRule="auto"/>
              <w:jc w:val="center"/>
              <w:rPr>
                <w:rFonts w:ascii="宋体"/>
                <w:sz w:val="24"/>
                <w:highlight w:val="none"/>
              </w:rPr>
            </w:pPr>
          </w:p>
        </w:tc>
        <w:tc>
          <w:tcPr>
            <w:tcW w:w="1730" w:type="dxa"/>
            <w:vAlign w:val="center"/>
          </w:tcPr>
          <w:p w14:paraId="2FBEBB80">
            <w:pPr>
              <w:spacing w:line="360" w:lineRule="auto"/>
              <w:jc w:val="center"/>
              <w:rPr>
                <w:rFonts w:ascii="宋体"/>
                <w:sz w:val="24"/>
                <w:highlight w:val="none"/>
              </w:rPr>
            </w:pPr>
          </w:p>
        </w:tc>
        <w:tc>
          <w:tcPr>
            <w:tcW w:w="1811" w:type="dxa"/>
            <w:vAlign w:val="center"/>
          </w:tcPr>
          <w:p w14:paraId="1FE993C5">
            <w:pPr>
              <w:spacing w:line="360" w:lineRule="auto"/>
              <w:jc w:val="center"/>
              <w:rPr>
                <w:rFonts w:ascii="宋体"/>
                <w:sz w:val="24"/>
                <w:highlight w:val="none"/>
              </w:rPr>
            </w:pPr>
          </w:p>
        </w:tc>
      </w:tr>
      <w:tr w14:paraId="7C90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Align w:val="center"/>
          </w:tcPr>
          <w:p w14:paraId="60B2872E">
            <w:pPr>
              <w:spacing w:line="360" w:lineRule="auto"/>
              <w:jc w:val="center"/>
              <w:rPr>
                <w:rFonts w:ascii="宋体"/>
                <w:sz w:val="24"/>
                <w:highlight w:val="none"/>
              </w:rPr>
            </w:pPr>
          </w:p>
        </w:tc>
        <w:tc>
          <w:tcPr>
            <w:tcW w:w="1572" w:type="dxa"/>
            <w:vAlign w:val="center"/>
          </w:tcPr>
          <w:p w14:paraId="2F44691D">
            <w:pPr>
              <w:spacing w:line="360" w:lineRule="auto"/>
              <w:jc w:val="center"/>
              <w:rPr>
                <w:rFonts w:ascii="宋体"/>
                <w:sz w:val="24"/>
                <w:highlight w:val="none"/>
              </w:rPr>
            </w:pPr>
          </w:p>
        </w:tc>
        <w:tc>
          <w:tcPr>
            <w:tcW w:w="1614" w:type="dxa"/>
            <w:vAlign w:val="center"/>
          </w:tcPr>
          <w:p w14:paraId="09245553">
            <w:pPr>
              <w:spacing w:line="360" w:lineRule="auto"/>
              <w:jc w:val="center"/>
              <w:rPr>
                <w:rFonts w:ascii="宋体"/>
                <w:sz w:val="24"/>
                <w:highlight w:val="none"/>
              </w:rPr>
            </w:pPr>
          </w:p>
        </w:tc>
        <w:tc>
          <w:tcPr>
            <w:tcW w:w="1699" w:type="dxa"/>
            <w:vAlign w:val="center"/>
          </w:tcPr>
          <w:p w14:paraId="5774026A">
            <w:pPr>
              <w:spacing w:line="360" w:lineRule="auto"/>
              <w:jc w:val="center"/>
              <w:rPr>
                <w:rFonts w:ascii="宋体"/>
                <w:sz w:val="24"/>
                <w:highlight w:val="none"/>
              </w:rPr>
            </w:pPr>
          </w:p>
        </w:tc>
        <w:tc>
          <w:tcPr>
            <w:tcW w:w="1730" w:type="dxa"/>
            <w:vAlign w:val="center"/>
          </w:tcPr>
          <w:p w14:paraId="1E82F8AB">
            <w:pPr>
              <w:spacing w:line="360" w:lineRule="auto"/>
              <w:jc w:val="center"/>
              <w:rPr>
                <w:rFonts w:ascii="宋体"/>
                <w:sz w:val="24"/>
                <w:highlight w:val="none"/>
              </w:rPr>
            </w:pPr>
          </w:p>
        </w:tc>
        <w:tc>
          <w:tcPr>
            <w:tcW w:w="1811" w:type="dxa"/>
            <w:vAlign w:val="center"/>
          </w:tcPr>
          <w:p w14:paraId="3B158EA4">
            <w:pPr>
              <w:spacing w:line="360" w:lineRule="auto"/>
              <w:jc w:val="center"/>
              <w:rPr>
                <w:rFonts w:ascii="宋体"/>
                <w:sz w:val="24"/>
                <w:highlight w:val="none"/>
              </w:rPr>
            </w:pPr>
          </w:p>
        </w:tc>
      </w:tr>
      <w:tr w14:paraId="79A0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Align w:val="center"/>
          </w:tcPr>
          <w:p w14:paraId="0BD58958">
            <w:pPr>
              <w:spacing w:line="360" w:lineRule="auto"/>
              <w:jc w:val="center"/>
              <w:rPr>
                <w:rFonts w:ascii="宋体"/>
                <w:sz w:val="24"/>
                <w:highlight w:val="none"/>
              </w:rPr>
            </w:pPr>
          </w:p>
        </w:tc>
        <w:tc>
          <w:tcPr>
            <w:tcW w:w="1572" w:type="dxa"/>
            <w:vAlign w:val="center"/>
          </w:tcPr>
          <w:p w14:paraId="4AF7CDDF">
            <w:pPr>
              <w:spacing w:line="360" w:lineRule="auto"/>
              <w:jc w:val="center"/>
              <w:rPr>
                <w:rFonts w:ascii="宋体"/>
                <w:sz w:val="24"/>
                <w:highlight w:val="none"/>
              </w:rPr>
            </w:pPr>
          </w:p>
        </w:tc>
        <w:tc>
          <w:tcPr>
            <w:tcW w:w="1614" w:type="dxa"/>
            <w:vAlign w:val="center"/>
          </w:tcPr>
          <w:p w14:paraId="7CBC1FF5">
            <w:pPr>
              <w:spacing w:line="360" w:lineRule="auto"/>
              <w:jc w:val="center"/>
              <w:rPr>
                <w:rFonts w:ascii="宋体"/>
                <w:sz w:val="24"/>
                <w:highlight w:val="none"/>
              </w:rPr>
            </w:pPr>
          </w:p>
        </w:tc>
        <w:tc>
          <w:tcPr>
            <w:tcW w:w="1699" w:type="dxa"/>
            <w:vAlign w:val="center"/>
          </w:tcPr>
          <w:p w14:paraId="6F0C4CC1">
            <w:pPr>
              <w:spacing w:line="360" w:lineRule="auto"/>
              <w:jc w:val="center"/>
              <w:rPr>
                <w:rFonts w:ascii="宋体"/>
                <w:sz w:val="24"/>
                <w:highlight w:val="none"/>
              </w:rPr>
            </w:pPr>
          </w:p>
        </w:tc>
        <w:tc>
          <w:tcPr>
            <w:tcW w:w="1730" w:type="dxa"/>
            <w:vAlign w:val="center"/>
          </w:tcPr>
          <w:p w14:paraId="76B46A3C">
            <w:pPr>
              <w:spacing w:line="360" w:lineRule="auto"/>
              <w:jc w:val="center"/>
              <w:rPr>
                <w:rFonts w:ascii="宋体"/>
                <w:sz w:val="24"/>
                <w:highlight w:val="none"/>
              </w:rPr>
            </w:pPr>
          </w:p>
        </w:tc>
        <w:tc>
          <w:tcPr>
            <w:tcW w:w="1811" w:type="dxa"/>
            <w:vAlign w:val="center"/>
          </w:tcPr>
          <w:p w14:paraId="477E7F9A">
            <w:pPr>
              <w:spacing w:line="360" w:lineRule="auto"/>
              <w:jc w:val="center"/>
              <w:rPr>
                <w:rFonts w:ascii="宋体"/>
                <w:sz w:val="24"/>
                <w:highlight w:val="none"/>
              </w:rPr>
            </w:pPr>
          </w:p>
        </w:tc>
      </w:tr>
      <w:tr w14:paraId="16E4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Align w:val="center"/>
          </w:tcPr>
          <w:p w14:paraId="14453D9A">
            <w:pPr>
              <w:spacing w:line="360" w:lineRule="auto"/>
              <w:jc w:val="center"/>
              <w:rPr>
                <w:rFonts w:ascii="宋体"/>
                <w:sz w:val="24"/>
                <w:highlight w:val="none"/>
              </w:rPr>
            </w:pPr>
          </w:p>
        </w:tc>
        <w:tc>
          <w:tcPr>
            <w:tcW w:w="1572" w:type="dxa"/>
            <w:vAlign w:val="center"/>
          </w:tcPr>
          <w:p w14:paraId="6CEFF9AC">
            <w:pPr>
              <w:spacing w:line="360" w:lineRule="auto"/>
              <w:jc w:val="center"/>
              <w:rPr>
                <w:rFonts w:ascii="宋体"/>
                <w:sz w:val="24"/>
                <w:highlight w:val="none"/>
              </w:rPr>
            </w:pPr>
          </w:p>
        </w:tc>
        <w:tc>
          <w:tcPr>
            <w:tcW w:w="1614" w:type="dxa"/>
            <w:vAlign w:val="center"/>
          </w:tcPr>
          <w:p w14:paraId="27067AE1">
            <w:pPr>
              <w:spacing w:line="360" w:lineRule="auto"/>
              <w:jc w:val="center"/>
              <w:rPr>
                <w:rFonts w:ascii="宋体"/>
                <w:sz w:val="24"/>
                <w:highlight w:val="none"/>
              </w:rPr>
            </w:pPr>
          </w:p>
        </w:tc>
        <w:tc>
          <w:tcPr>
            <w:tcW w:w="1699" w:type="dxa"/>
            <w:vAlign w:val="center"/>
          </w:tcPr>
          <w:p w14:paraId="5B0D19D0">
            <w:pPr>
              <w:spacing w:line="360" w:lineRule="auto"/>
              <w:jc w:val="center"/>
              <w:rPr>
                <w:rFonts w:ascii="宋体"/>
                <w:sz w:val="24"/>
                <w:highlight w:val="none"/>
              </w:rPr>
            </w:pPr>
          </w:p>
        </w:tc>
        <w:tc>
          <w:tcPr>
            <w:tcW w:w="1730" w:type="dxa"/>
            <w:vAlign w:val="center"/>
          </w:tcPr>
          <w:p w14:paraId="0E5BD047">
            <w:pPr>
              <w:spacing w:line="360" w:lineRule="auto"/>
              <w:jc w:val="center"/>
              <w:rPr>
                <w:rFonts w:ascii="宋体"/>
                <w:sz w:val="24"/>
                <w:highlight w:val="none"/>
              </w:rPr>
            </w:pPr>
          </w:p>
        </w:tc>
        <w:tc>
          <w:tcPr>
            <w:tcW w:w="1811" w:type="dxa"/>
            <w:vAlign w:val="center"/>
          </w:tcPr>
          <w:p w14:paraId="57BFB0C4">
            <w:pPr>
              <w:spacing w:line="360" w:lineRule="auto"/>
              <w:jc w:val="center"/>
              <w:rPr>
                <w:rFonts w:ascii="宋体"/>
                <w:sz w:val="24"/>
                <w:highlight w:val="none"/>
              </w:rPr>
            </w:pPr>
          </w:p>
        </w:tc>
      </w:tr>
      <w:tr w14:paraId="39B4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Align w:val="center"/>
          </w:tcPr>
          <w:p w14:paraId="16019E70">
            <w:pPr>
              <w:spacing w:line="360" w:lineRule="auto"/>
              <w:jc w:val="center"/>
              <w:rPr>
                <w:rFonts w:ascii="宋体"/>
                <w:sz w:val="24"/>
                <w:highlight w:val="none"/>
              </w:rPr>
            </w:pPr>
          </w:p>
        </w:tc>
        <w:tc>
          <w:tcPr>
            <w:tcW w:w="1572" w:type="dxa"/>
            <w:vAlign w:val="center"/>
          </w:tcPr>
          <w:p w14:paraId="6F6AF492">
            <w:pPr>
              <w:spacing w:line="360" w:lineRule="auto"/>
              <w:jc w:val="center"/>
              <w:rPr>
                <w:rFonts w:ascii="宋体"/>
                <w:sz w:val="24"/>
                <w:highlight w:val="none"/>
              </w:rPr>
            </w:pPr>
          </w:p>
        </w:tc>
        <w:tc>
          <w:tcPr>
            <w:tcW w:w="1614" w:type="dxa"/>
            <w:vAlign w:val="center"/>
          </w:tcPr>
          <w:p w14:paraId="21441105">
            <w:pPr>
              <w:spacing w:line="360" w:lineRule="auto"/>
              <w:jc w:val="center"/>
              <w:rPr>
                <w:rFonts w:ascii="宋体"/>
                <w:sz w:val="24"/>
                <w:highlight w:val="none"/>
              </w:rPr>
            </w:pPr>
          </w:p>
        </w:tc>
        <w:tc>
          <w:tcPr>
            <w:tcW w:w="1699" w:type="dxa"/>
            <w:vAlign w:val="center"/>
          </w:tcPr>
          <w:p w14:paraId="46571198">
            <w:pPr>
              <w:spacing w:line="360" w:lineRule="auto"/>
              <w:jc w:val="center"/>
              <w:rPr>
                <w:rFonts w:ascii="宋体"/>
                <w:sz w:val="24"/>
                <w:highlight w:val="none"/>
              </w:rPr>
            </w:pPr>
          </w:p>
        </w:tc>
        <w:tc>
          <w:tcPr>
            <w:tcW w:w="1730" w:type="dxa"/>
            <w:vAlign w:val="center"/>
          </w:tcPr>
          <w:p w14:paraId="2037E629">
            <w:pPr>
              <w:spacing w:line="360" w:lineRule="auto"/>
              <w:jc w:val="center"/>
              <w:rPr>
                <w:rFonts w:ascii="宋体"/>
                <w:sz w:val="24"/>
                <w:highlight w:val="none"/>
              </w:rPr>
            </w:pPr>
          </w:p>
        </w:tc>
        <w:tc>
          <w:tcPr>
            <w:tcW w:w="1811" w:type="dxa"/>
            <w:vAlign w:val="center"/>
          </w:tcPr>
          <w:p w14:paraId="748E057E">
            <w:pPr>
              <w:spacing w:line="360" w:lineRule="auto"/>
              <w:jc w:val="center"/>
              <w:rPr>
                <w:rFonts w:ascii="宋体"/>
                <w:sz w:val="24"/>
                <w:highlight w:val="none"/>
              </w:rPr>
            </w:pPr>
          </w:p>
        </w:tc>
      </w:tr>
      <w:tr w14:paraId="022C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Align w:val="center"/>
          </w:tcPr>
          <w:p w14:paraId="0D8BCFB8">
            <w:pPr>
              <w:spacing w:line="360" w:lineRule="auto"/>
              <w:jc w:val="center"/>
              <w:rPr>
                <w:rFonts w:ascii="宋体"/>
                <w:sz w:val="24"/>
                <w:highlight w:val="none"/>
              </w:rPr>
            </w:pPr>
          </w:p>
        </w:tc>
        <w:tc>
          <w:tcPr>
            <w:tcW w:w="1572" w:type="dxa"/>
            <w:vAlign w:val="center"/>
          </w:tcPr>
          <w:p w14:paraId="396785B1">
            <w:pPr>
              <w:spacing w:line="360" w:lineRule="auto"/>
              <w:jc w:val="center"/>
              <w:rPr>
                <w:rFonts w:ascii="宋体"/>
                <w:sz w:val="24"/>
                <w:highlight w:val="none"/>
              </w:rPr>
            </w:pPr>
          </w:p>
        </w:tc>
        <w:tc>
          <w:tcPr>
            <w:tcW w:w="1614" w:type="dxa"/>
            <w:vAlign w:val="center"/>
          </w:tcPr>
          <w:p w14:paraId="1BEC4F4F">
            <w:pPr>
              <w:spacing w:line="360" w:lineRule="auto"/>
              <w:jc w:val="center"/>
              <w:rPr>
                <w:rFonts w:ascii="宋体"/>
                <w:sz w:val="24"/>
                <w:highlight w:val="none"/>
              </w:rPr>
            </w:pPr>
          </w:p>
        </w:tc>
        <w:tc>
          <w:tcPr>
            <w:tcW w:w="1699" w:type="dxa"/>
            <w:vAlign w:val="center"/>
          </w:tcPr>
          <w:p w14:paraId="261FEA93">
            <w:pPr>
              <w:spacing w:line="360" w:lineRule="auto"/>
              <w:jc w:val="center"/>
              <w:rPr>
                <w:rFonts w:ascii="宋体"/>
                <w:sz w:val="24"/>
                <w:highlight w:val="none"/>
              </w:rPr>
            </w:pPr>
          </w:p>
        </w:tc>
        <w:tc>
          <w:tcPr>
            <w:tcW w:w="1730" w:type="dxa"/>
            <w:vAlign w:val="center"/>
          </w:tcPr>
          <w:p w14:paraId="539FF412">
            <w:pPr>
              <w:spacing w:line="360" w:lineRule="auto"/>
              <w:jc w:val="center"/>
              <w:rPr>
                <w:rFonts w:ascii="宋体"/>
                <w:sz w:val="24"/>
                <w:highlight w:val="none"/>
              </w:rPr>
            </w:pPr>
          </w:p>
        </w:tc>
        <w:tc>
          <w:tcPr>
            <w:tcW w:w="1811" w:type="dxa"/>
            <w:vAlign w:val="center"/>
          </w:tcPr>
          <w:p w14:paraId="1851C2F4">
            <w:pPr>
              <w:spacing w:line="360" w:lineRule="auto"/>
              <w:jc w:val="center"/>
              <w:rPr>
                <w:rFonts w:ascii="宋体"/>
                <w:sz w:val="24"/>
                <w:highlight w:val="none"/>
              </w:rPr>
            </w:pPr>
          </w:p>
        </w:tc>
      </w:tr>
    </w:tbl>
    <w:p w14:paraId="6587F97E">
      <w:pPr>
        <w:rPr>
          <w:rFonts w:ascii="宋体"/>
          <w:sz w:val="24"/>
          <w:highlight w:val="none"/>
        </w:rPr>
      </w:pPr>
    </w:p>
    <w:p w14:paraId="7E985121">
      <w:pPr>
        <w:snapToGrid w:val="0"/>
        <w:spacing w:line="380" w:lineRule="exact"/>
        <w:rPr>
          <w:rFonts w:ascii="宋体"/>
          <w:sz w:val="24"/>
          <w:szCs w:val="21"/>
          <w:highlight w:val="none"/>
        </w:rPr>
      </w:pPr>
    </w:p>
    <w:p w14:paraId="2994A87D">
      <w:pPr>
        <w:snapToGrid w:val="0"/>
        <w:spacing w:line="380" w:lineRule="exact"/>
        <w:rPr>
          <w:rFonts w:ascii="宋体"/>
          <w:sz w:val="24"/>
          <w:szCs w:val="21"/>
          <w:highlight w:val="none"/>
        </w:rPr>
      </w:pPr>
    </w:p>
    <w:p w14:paraId="7D352515">
      <w:pPr>
        <w:snapToGrid w:val="0"/>
        <w:spacing w:line="380" w:lineRule="exact"/>
        <w:rPr>
          <w:rFonts w:ascii="宋体"/>
          <w:sz w:val="24"/>
          <w:szCs w:val="21"/>
          <w:highlight w:val="none"/>
        </w:rPr>
      </w:pPr>
    </w:p>
    <w:p w14:paraId="18FC4A86">
      <w:pPr>
        <w:snapToGrid w:val="0"/>
        <w:spacing w:line="380" w:lineRule="exact"/>
        <w:rPr>
          <w:rFonts w:ascii="宋体"/>
          <w:b/>
          <w:sz w:val="24"/>
          <w:szCs w:val="21"/>
          <w:highlight w:val="none"/>
        </w:rPr>
      </w:pPr>
      <w:r>
        <w:rPr>
          <w:rFonts w:hint="eastAsia" w:ascii="宋体"/>
          <w:b/>
          <w:sz w:val="24"/>
          <w:szCs w:val="21"/>
          <w:highlight w:val="none"/>
        </w:rPr>
        <w:t>注：</w:t>
      </w:r>
      <w:r>
        <w:rPr>
          <w:rFonts w:ascii="宋体"/>
          <w:b/>
          <w:sz w:val="24"/>
          <w:szCs w:val="21"/>
          <w:highlight w:val="none"/>
        </w:rPr>
        <w:t>1</w:t>
      </w:r>
      <w:r>
        <w:rPr>
          <w:rFonts w:hint="eastAsia" w:ascii="宋体"/>
          <w:b/>
          <w:sz w:val="24"/>
          <w:szCs w:val="21"/>
          <w:highlight w:val="none"/>
        </w:rPr>
        <w:t>、本表中填写的规格、参数、功能等内容应与实际投标产品相一致。存在虚假行为的，供应商应依法承担有关法律责任。</w:t>
      </w:r>
    </w:p>
    <w:p w14:paraId="51C14BB9">
      <w:pPr>
        <w:snapToGrid w:val="0"/>
        <w:spacing w:line="380" w:lineRule="exact"/>
        <w:rPr>
          <w:rFonts w:ascii="宋体"/>
          <w:b/>
          <w:sz w:val="24"/>
          <w:szCs w:val="21"/>
          <w:highlight w:val="none"/>
        </w:rPr>
      </w:pPr>
      <w:r>
        <w:rPr>
          <w:rFonts w:ascii="宋体"/>
          <w:b/>
          <w:sz w:val="24"/>
          <w:szCs w:val="21"/>
          <w:highlight w:val="none"/>
        </w:rPr>
        <w:t>2</w:t>
      </w:r>
      <w:r>
        <w:rPr>
          <w:rFonts w:hint="eastAsia" w:ascii="宋体"/>
          <w:b/>
          <w:sz w:val="24"/>
          <w:szCs w:val="21"/>
          <w:highlight w:val="none"/>
        </w:rPr>
        <w:t>、根据第三章采购需求与技术要求逐条填报技术条款偏离表。</w:t>
      </w:r>
    </w:p>
    <w:p w14:paraId="6278E3D3">
      <w:pPr>
        <w:rPr>
          <w:rFonts w:ascii="宋体" w:hAnsi="宋体" w:cs="宋体"/>
          <w:highlight w:val="none"/>
        </w:rPr>
      </w:pPr>
    </w:p>
    <w:p w14:paraId="4EF865B1">
      <w:pPr>
        <w:pStyle w:val="5"/>
        <w:jc w:val="center"/>
        <w:rPr>
          <w:rFonts w:ascii="仿宋_GB2312" w:hAnsi="仿宋_GB2312" w:eastAsia="仿宋_GB2312" w:cs="仿宋_GB2312"/>
          <w:highlight w:val="none"/>
        </w:rPr>
      </w:pPr>
      <w:r>
        <w:rPr>
          <w:rFonts w:hint="eastAsia" w:ascii="宋体" w:hAnsi="宋体" w:cs="宋体"/>
          <w:bCs w:val="0"/>
          <w:highlight w:val="none"/>
        </w:rPr>
        <w:br w:type="page"/>
      </w:r>
      <w:bookmarkStart w:id="366" w:name="_Toc8488_WPSOffice_Level2"/>
      <w:bookmarkStart w:id="367" w:name="_Toc22574"/>
      <w:bookmarkStart w:id="368" w:name="_Toc4431_WPSOffice_Level2"/>
      <w:r>
        <w:rPr>
          <w:rFonts w:hint="eastAsia"/>
          <w:highlight w:val="none"/>
        </w:rPr>
        <w:t>商务条款偏离表</w:t>
      </w:r>
      <w:bookmarkEnd w:id="366"/>
      <w:bookmarkEnd w:id="367"/>
      <w:bookmarkEnd w:id="368"/>
    </w:p>
    <w:tbl>
      <w:tblPr>
        <w:tblStyle w:val="28"/>
        <w:tblW w:w="9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940"/>
        <w:gridCol w:w="3233"/>
        <w:gridCol w:w="1269"/>
        <w:gridCol w:w="1817"/>
        <w:gridCol w:w="909"/>
      </w:tblGrid>
      <w:tr w14:paraId="5913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85" w:type="dxa"/>
            <w:vAlign w:val="center"/>
          </w:tcPr>
          <w:p w14:paraId="16322C2F">
            <w:pPr>
              <w:spacing w:line="288" w:lineRule="auto"/>
              <w:jc w:val="center"/>
              <w:rPr>
                <w:rFonts w:ascii="宋体"/>
                <w:sz w:val="24"/>
                <w:highlight w:val="none"/>
              </w:rPr>
            </w:pPr>
            <w:r>
              <w:rPr>
                <w:rFonts w:hint="eastAsia" w:ascii="宋体" w:hAnsi="宋体"/>
                <w:sz w:val="24"/>
                <w:highlight w:val="none"/>
              </w:rPr>
              <w:t>序号</w:t>
            </w:r>
          </w:p>
        </w:tc>
        <w:tc>
          <w:tcPr>
            <w:tcW w:w="4173" w:type="dxa"/>
            <w:gridSpan w:val="2"/>
            <w:vAlign w:val="center"/>
          </w:tcPr>
          <w:p w14:paraId="309037A2">
            <w:pPr>
              <w:spacing w:line="288" w:lineRule="auto"/>
              <w:jc w:val="center"/>
              <w:rPr>
                <w:rFonts w:ascii="宋体"/>
                <w:sz w:val="24"/>
                <w:highlight w:val="none"/>
              </w:rPr>
            </w:pPr>
            <w:r>
              <w:rPr>
                <w:rFonts w:hint="eastAsia" w:ascii="宋体" w:hAnsi="宋体"/>
                <w:sz w:val="24"/>
                <w:highlight w:val="none"/>
              </w:rPr>
              <w:t>招标文件的商务条款</w:t>
            </w:r>
          </w:p>
        </w:tc>
        <w:tc>
          <w:tcPr>
            <w:tcW w:w="1269" w:type="dxa"/>
            <w:vAlign w:val="center"/>
          </w:tcPr>
          <w:p w14:paraId="3695256F">
            <w:pPr>
              <w:spacing w:line="288" w:lineRule="auto"/>
              <w:jc w:val="center"/>
              <w:rPr>
                <w:rFonts w:ascii="宋体"/>
                <w:sz w:val="24"/>
                <w:highlight w:val="none"/>
              </w:rPr>
            </w:pPr>
            <w:r>
              <w:rPr>
                <w:rFonts w:hint="eastAsia" w:ascii="宋体" w:hAnsi="宋体"/>
                <w:sz w:val="24"/>
                <w:highlight w:val="none"/>
              </w:rPr>
              <w:t>投标响应</w:t>
            </w:r>
          </w:p>
        </w:tc>
        <w:tc>
          <w:tcPr>
            <w:tcW w:w="1817" w:type="dxa"/>
            <w:vAlign w:val="center"/>
          </w:tcPr>
          <w:p w14:paraId="7215B215">
            <w:pPr>
              <w:spacing w:line="288" w:lineRule="auto"/>
              <w:jc w:val="center"/>
              <w:rPr>
                <w:rFonts w:ascii="宋体"/>
                <w:sz w:val="24"/>
                <w:highlight w:val="none"/>
              </w:rPr>
            </w:pPr>
            <w:r>
              <w:rPr>
                <w:rFonts w:hint="eastAsia" w:ascii="宋体" w:hAnsi="宋体"/>
                <w:sz w:val="24"/>
                <w:highlight w:val="none"/>
              </w:rPr>
              <w:t>是否偏离（正偏离/无偏离/负偏离）</w:t>
            </w:r>
          </w:p>
        </w:tc>
        <w:tc>
          <w:tcPr>
            <w:tcW w:w="909" w:type="dxa"/>
            <w:vAlign w:val="center"/>
          </w:tcPr>
          <w:p w14:paraId="598C52DE">
            <w:pPr>
              <w:spacing w:line="288" w:lineRule="auto"/>
              <w:jc w:val="center"/>
              <w:rPr>
                <w:rFonts w:ascii="宋体"/>
                <w:sz w:val="24"/>
                <w:highlight w:val="none"/>
              </w:rPr>
            </w:pPr>
            <w:r>
              <w:rPr>
                <w:rFonts w:hint="eastAsia" w:ascii="宋体" w:hAnsi="宋体"/>
                <w:sz w:val="24"/>
                <w:highlight w:val="none"/>
              </w:rPr>
              <w:t>备注</w:t>
            </w:r>
          </w:p>
        </w:tc>
      </w:tr>
      <w:tr w14:paraId="49E9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5" w:type="dxa"/>
            <w:vAlign w:val="center"/>
          </w:tcPr>
          <w:p w14:paraId="65E2A4A2">
            <w:pPr>
              <w:spacing w:line="288" w:lineRule="auto"/>
              <w:jc w:val="center"/>
              <w:rPr>
                <w:rFonts w:ascii="宋体"/>
                <w:sz w:val="24"/>
                <w:highlight w:val="none"/>
              </w:rPr>
            </w:pPr>
            <w:r>
              <w:rPr>
                <w:rFonts w:hint="eastAsia" w:ascii="宋体"/>
                <w:sz w:val="24"/>
                <w:highlight w:val="none"/>
              </w:rPr>
              <w:t>1</w:t>
            </w:r>
          </w:p>
        </w:tc>
        <w:tc>
          <w:tcPr>
            <w:tcW w:w="4173" w:type="dxa"/>
            <w:gridSpan w:val="2"/>
          </w:tcPr>
          <w:p w14:paraId="57FFA206">
            <w:pPr>
              <w:spacing w:line="288" w:lineRule="auto"/>
              <w:rPr>
                <w:rFonts w:ascii="宋体"/>
                <w:sz w:val="24"/>
                <w:highlight w:val="none"/>
              </w:rPr>
            </w:pPr>
            <w:r>
              <w:rPr>
                <w:rFonts w:hint="eastAsia" w:ascii="宋体" w:hAnsi="宋体"/>
                <w:sz w:val="24"/>
                <w:highlight w:val="none"/>
              </w:rPr>
              <w:t>★</w:t>
            </w:r>
            <w:r>
              <w:rPr>
                <w:rFonts w:hint="eastAsia" w:ascii="宋体"/>
                <w:sz w:val="24"/>
                <w:highlight w:val="none"/>
              </w:rPr>
              <w:t>付款方式：</w:t>
            </w:r>
            <w:bookmarkStart w:id="369" w:name="OLE_LINK39"/>
            <w:r>
              <w:rPr>
                <w:rFonts w:hint="eastAsia" w:ascii="宋体" w:hAnsi="宋体" w:cs="宋体"/>
                <w:sz w:val="24"/>
                <w:highlight w:val="none"/>
              </w:rPr>
              <w:t>合同签订之日起，设备安装调试合格后支付至合同价款的40%；全部系统安装调试完毕后，支付至合同价款的70%；验收合格后支付至合同价款的90%；余款作为安装维护费，每年支付合同价款的2%（连续支付5年，无息）。</w:t>
            </w:r>
            <w:bookmarkEnd w:id="369"/>
          </w:p>
        </w:tc>
        <w:tc>
          <w:tcPr>
            <w:tcW w:w="1269" w:type="dxa"/>
          </w:tcPr>
          <w:p w14:paraId="2950226A">
            <w:pPr>
              <w:spacing w:line="288" w:lineRule="auto"/>
              <w:rPr>
                <w:rFonts w:ascii="宋体"/>
                <w:sz w:val="24"/>
                <w:highlight w:val="none"/>
              </w:rPr>
            </w:pPr>
          </w:p>
        </w:tc>
        <w:tc>
          <w:tcPr>
            <w:tcW w:w="1817" w:type="dxa"/>
          </w:tcPr>
          <w:p w14:paraId="5322CDBB">
            <w:pPr>
              <w:spacing w:line="288" w:lineRule="auto"/>
              <w:rPr>
                <w:rFonts w:ascii="宋体"/>
                <w:sz w:val="24"/>
                <w:highlight w:val="none"/>
              </w:rPr>
            </w:pPr>
          </w:p>
        </w:tc>
        <w:tc>
          <w:tcPr>
            <w:tcW w:w="909" w:type="dxa"/>
          </w:tcPr>
          <w:p w14:paraId="6EDDA838">
            <w:pPr>
              <w:spacing w:line="288" w:lineRule="auto"/>
              <w:rPr>
                <w:rFonts w:ascii="宋体"/>
                <w:sz w:val="24"/>
                <w:highlight w:val="none"/>
              </w:rPr>
            </w:pPr>
          </w:p>
        </w:tc>
      </w:tr>
      <w:tr w14:paraId="1319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85" w:type="dxa"/>
            <w:vAlign w:val="center"/>
          </w:tcPr>
          <w:p w14:paraId="7CB03760">
            <w:pPr>
              <w:spacing w:line="288" w:lineRule="auto"/>
              <w:jc w:val="center"/>
              <w:rPr>
                <w:rFonts w:ascii="宋体"/>
                <w:sz w:val="24"/>
                <w:highlight w:val="none"/>
              </w:rPr>
            </w:pPr>
            <w:r>
              <w:rPr>
                <w:rFonts w:hint="eastAsia" w:ascii="宋体"/>
                <w:sz w:val="24"/>
                <w:highlight w:val="none"/>
              </w:rPr>
              <w:t>2</w:t>
            </w:r>
          </w:p>
        </w:tc>
        <w:tc>
          <w:tcPr>
            <w:tcW w:w="940" w:type="dxa"/>
            <w:vAlign w:val="center"/>
          </w:tcPr>
          <w:p w14:paraId="2C98976B">
            <w:pPr>
              <w:spacing w:line="288" w:lineRule="auto"/>
              <w:rPr>
                <w:rFonts w:ascii="宋体"/>
                <w:sz w:val="24"/>
                <w:highlight w:val="none"/>
              </w:rPr>
            </w:pPr>
            <w:r>
              <w:rPr>
                <w:rFonts w:hint="eastAsia" w:ascii="宋体"/>
                <w:sz w:val="24"/>
                <w:highlight w:val="none"/>
              </w:rPr>
              <w:t>海基水动力监测系统</w:t>
            </w:r>
          </w:p>
        </w:tc>
        <w:tc>
          <w:tcPr>
            <w:tcW w:w="3233" w:type="dxa"/>
            <w:vAlign w:val="center"/>
          </w:tcPr>
          <w:p w14:paraId="65E8E3C5">
            <w:pPr>
              <w:spacing w:line="288" w:lineRule="auto"/>
              <w:rPr>
                <w:rFonts w:ascii="宋体"/>
                <w:sz w:val="24"/>
                <w:highlight w:val="none"/>
              </w:rPr>
            </w:pPr>
            <w:r>
              <w:rPr>
                <w:rFonts w:hint="eastAsia" w:ascii="宋体"/>
                <w:sz w:val="24"/>
                <w:highlight w:val="none"/>
              </w:rPr>
              <w:t>★安装维护（含测站选址、设备安装、基准点校准等）：</w:t>
            </w:r>
          </w:p>
          <w:p w14:paraId="671624EA">
            <w:pPr>
              <w:spacing w:line="288" w:lineRule="auto"/>
              <w:rPr>
                <w:rFonts w:ascii="宋体"/>
                <w:sz w:val="24"/>
                <w:highlight w:val="none"/>
              </w:rPr>
            </w:pPr>
            <w:r>
              <w:rPr>
                <w:rFonts w:hint="eastAsia" w:ascii="宋体"/>
                <w:sz w:val="24"/>
                <w:highlight w:val="none"/>
              </w:rPr>
              <w:t>1）现场踏勘并方案设计：现场踏勘、提供安装塔设计方案、提供摄像机校正控制点设计方案</w:t>
            </w:r>
          </w:p>
          <w:p w14:paraId="19775610">
            <w:pPr>
              <w:spacing w:line="288" w:lineRule="auto"/>
              <w:rPr>
                <w:rFonts w:ascii="宋体"/>
                <w:sz w:val="24"/>
                <w:highlight w:val="none"/>
              </w:rPr>
            </w:pPr>
            <w:r>
              <w:rPr>
                <w:rFonts w:hint="eastAsia" w:ascii="宋体"/>
                <w:sz w:val="24"/>
                <w:highlight w:val="none"/>
              </w:rPr>
              <w:t>提供系统相机数量，镜头选型及角度的设计方案</w:t>
            </w:r>
          </w:p>
          <w:p w14:paraId="03758718">
            <w:pPr>
              <w:spacing w:line="288" w:lineRule="auto"/>
              <w:rPr>
                <w:rFonts w:ascii="宋体"/>
                <w:sz w:val="24"/>
                <w:highlight w:val="none"/>
              </w:rPr>
            </w:pPr>
            <w:r>
              <w:rPr>
                <w:rFonts w:hint="eastAsia" w:ascii="宋体"/>
                <w:sz w:val="24"/>
                <w:highlight w:val="none"/>
              </w:rPr>
              <w:t>2）安装调试部分：相机的镜头校准、系统在办公室连接调试、系统现场安装、现场校准控制点RTK坐标收集、网络环境的设置后处理数据库的搭建和参数设置</w:t>
            </w:r>
          </w:p>
          <w:p w14:paraId="046E9B75">
            <w:pPr>
              <w:spacing w:line="288" w:lineRule="auto"/>
              <w:rPr>
                <w:rFonts w:ascii="宋体"/>
                <w:sz w:val="24"/>
                <w:highlight w:val="none"/>
              </w:rPr>
            </w:pPr>
            <w:r>
              <w:rPr>
                <w:rFonts w:hint="eastAsia" w:ascii="宋体"/>
                <w:sz w:val="24"/>
                <w:highlight w:val="none"/>
              </w:rPr>
              <w:t>3）培训及技术支持服务： 提供整个系统运行的详细技术培训，使得用户能完全掌握系统的运行原理，系统的日程维护，一般故障排除、提供数据处理的培训、提供为期3年的技术支持服务</w:t>
            </w:r>
          </w:p>
          <w:p w14:paraId="5DACF108">
            <w:pPr>
              <w:spacing w:line="288" w:lineRule="auto"/>
              <w:rPr>
                <w:rFonts w:ascii="宋体"/>
                <w:sz w:val="24"/>
                <w:highlight w:val="none"/>
              </w:rPr>
            </w:pPr>
            <w:r>
              <w:rPr>
                <w:rFonts w:hint="eastAsia" w:ascii="宋体"/>
                <w:sz w:val="24"/>
                <w:highlight w:val="none"/>
              </w:rPr>
              <w:t>4）维护期限：5年</w:t>
            </w:r>
          </w:p>
          <w:p w14:paraId="4A302945">
            <w:pPr>
              <w:spacing w:line="288" w:lineRule="auto"/>
              <w:rPr>
                <w:rFonts w:ascii="宋体"/>
                <w:sz w:val="24"/>
                <w:highlight w:val="none"/>
              </w:rPr>
            </w:pPr>
          </w:p>
        </w:tc>
        <w:tc>
          <w:tcPr>
            <w:tcW w:w="1269" w:type="dxa"/>
            <w:vAlign w:val="center"/>
          </w:tcPr>
          <w:p w14:paraId="389F9A59">
            <w:pPr>
              <w:rPr>
                <w:rFonts w:ascii="宋体"/>
                <w:sz w:val="24"/>
                <w:highlight w:val="none"/>
              </w:rPr>
            </w:pPr>
          </w:p>
        </w:tc>
        <w:tc>
          <w:tcPr>
            <w:tcW w:w="1817" w:type="dxa"/>
          </w:tcPr>
          <w:p w14:paraId="370C6C54">
            <w:pPr>
              <w:spacing w:line="288" w:lineRule="auto"/>
              <w:rPr>
                <w:rFonts w:ascii="宋体"/>
                <w:sz w:val="24"/>
                <w:highlight w:val="none"/>
              </w:rPr>
            </w:pPr>
          </w:p>
        </w:tc>
        <w:tc>
          <w:tcPr>
            <w:tcW w:w="909" w:type="dxa"/>
          </w:tcPr>
          <w:p w14:paraId="394F7A10">
            <w:pPr>
              <w:spacing w:line="288" w:lineRule="auto"/>
              <w:rPr>
                <w:rFonts w:ascii="宋体"/>
                <w:sz w:val="24"/>
                <w:highlight w:val="none"/>
              </w:rPr>
            </w:pPr>
          </w:p>
        </w:tc>
      </w:tr>
      <w:tr w14:paraId="155D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85" w:type="dxa"/>
            <w:vAlign w:val="center"/>
          </w:tcPr>
          <w:p w14:paraId="0CDF25F9">
            <w:pPr>
              <w:spacing w:line="288" w:lineRule="auto"/>
              <w:jc w:val="center"/>
              <w:rPr>
                <w:rFonts w:ascii="宋体"/>
                <w:sz w:val="24"/>
                <w:highlight w:val="none"/>
              </w:rPr>
            </w:pPr>
            <w:r>
              <w:rPr>
                <w:rFonts w:hint="eastAsia" w:ascii="宋体"/>
                <w:sz w:val="24"/>
                <w:highlight w:val="none"/>
              </w:rPr>
              <w:t>3</w:t>
            </w:r>
          </w:p>
        </w:tc>
        <w:tc>
          <w:tcPr>
            <w:tcW w:w="940" w:type="dxa"/>
            <w:vAlign w:val="center"/>
          </w:tcPr>
          <w:p w14:paraId="13B622B8">
            <w:pPr>
              <w:spacing w:line="288" w:lineRule="auto"/>
              <w:rPr>
                <w:rFonts w:ascii="宋体"/>
                <w:sz w:val="24"/>
                <w:highlight w:val="none"/>
              </w:rPr>
            </w:pPr>
            <w:r>
              <w:rPr>
                <w:rFonts w:hint="eastAsia" w:ascii="宋体"/>
                <w:sz w:val="24"/>
                <w:highlight w:val="none"/>
              </w:rPr>
              <w:t>岸基水动力监测系统</w:t>
            </w:r>
          </w:p>
        </w:tc>
        <w:tc>
          <w:tcPr>
            <w:tcW w:w="3233" w:type="dxa"/>
            <w:vAlign w:val="center"/>
          </w:tcPr>
          <w:p w14:paraId="0DDF65D4">
            <w:pPr>
              <w:spacing w:line="288" w:lineRule="auto"/>
              <w:rPr>
                <w:rFonts w:ascii="宋体"/>
                <w:sz w:val="24"/>
                <w:highlight w:val="none"/>
              </w:rPr>
            </w:pPr>
            <w:r>
              <w:rPr>
                <w:rFonts w:hint="eastAsia" w:ascii="宋体"/>
                <w:sz w:val="24"/>
                <w:highlight w:val="none"/>
              </w:rPr>
              <w:t>★安装维护：</w:t>
            </w:r>
          </w:p>
          <w:p w14:paraId="280CD261">
            <w:pPr>
              <w:spacing w:line="288" w:lineRule="auto"/>
              <w:rPr>
                <w:rFonts w:ascii="宋体"/>
                <w:sz w:val="24"/>
                <w:highlight w:val="none"/>
              </w:rPr>
            </w:pPr>
            <w:r>
              <w:rPr>
                <w:rFonts w:hint="eastAsia" w:ascii="宋体"/>
                <w:sz w:val="24"/>
                <w:highlight w:val="none"/>
              </w:rPr>
              <w:t>1）维护主要包括12次/年共计5年的保障数据运行维护，维护内容主要包括仪器校准、基准潮位校核、系统太阳能板及仪器清理。</w:t>
            </w:r>
          </w:p>
          <w:p w14:paraId="0493FE1D">
            <w:pPr>
              <w:spacing w:line="288" w:lineRule="auto"/>
              <w:rPr>
                <w:rFonts w:ascii="宋体"/>
                <w:sz w:val="24"/>
                <w:highlight w:val="none"/>
              </w:rPr>
            </w:pPr>
            <w:r>
              <w:rPr>
                <w:rFonts w:hint="eastAsia" w:ascii="宋体"/>
                <w:sz w:val="24"/>
                <w:highlight w:val="none"/>
              </w:rPr>
              <w:t>2）维护期限：5年</w:t>
            </w:r>
          </w:p>
          <w:p w14:paraId="2006F7DB">
            <w:pPr>
              <w:spacing w:line="288" w:lineRule="auto"/>
              <w:rPr>
                <w:rFonts w:ascii="宋体"/>
                <w:sz w:val="24"/>
                <w:highlight w:val="none"/>
              </w:rPr>
            </w:pPr>
          </w:p>
        </w:tc>
        <w:tc>
          <w:tcPr>
            <w:tcW w:w="1269" w:type="dxa"/>
            <w:vAlign w:val="center"/>
          </w:tcPr>
          <w:p w14:paraId="6450F4F7">
            <w:pPr>
              <w:rPr>
                <w:rFonts w:ascii="宋体"/>
                <w:sz w:val="24"/>
                <w:highlight w:val="none"/>
              </w:rPr>
            </w:pPr>
          </w:p>
        </w:tc>
        <w:tc>
          <w:tcPr>
            <w:tcW w:w="1817" w:type="dxa"/>
            <w:vAlign w:val="center"/>
          </w:tcPr>
          <w:p w14:paraId="5F243E68">
            <w:pPr>
              <w:jc w:val="center"/>
              <w:rPr>
                <w:rFonts w:ascii="宋体"/>
                <w:sz w:val="24"/>
                <w:highlight w:val="none"/>
              </w:rPr>
            </w:pPr>
          </w:p>
        </w:tc>
        <w:tc>
          <w:tcPr>
            <w:tcW w:w="909" w:type="dxa"/>
          </w:tcPr>
          <w:p w14:paraId="44EE5C08">
            <w:pPr>
              <w:spacing w:line="288" w:lineRule="auto"/>
              <w:rPr>
                <w:rFonts w:ascii="宋体"/>
                <w:sz w:val="24"/>
                <w:highlight w:val="none"/>
              </w:rPr>
            </w:pPr>
          </w:p>
        </w:tc>
      </w:tr>
      <w:tr w14:paraId="49EF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85" w:type="dxa"/>
            <w:vAlign w:val="center"/>
          </w:tcPr>
          <w:p w14:paraId="729F6B30">
            <w:pPr>
              <w:spacing w:line="288" w:lineRule="auto"/>
              <w:jc w:val="center"/>
              <w:rPr>
                <w:rFonts w:ascii="宋体"/>
                <w:sz w:val="24"/>
                <w:highlight w:val="none"/>
              </w:rPr>
            </w:pPr>
            <w:r>
              <w:rPr>
                <w:rFonts w:hint="eastAsia" w:ascii="宋体"/>
                <w:sz w:val="24"/>
                <w:highlight w:val="none"/>
              </w:rPr>
              <w:t>4</w:t>
            </w:r>
          </w:p>
        </w:tc>
        <w:tc>
          <w:tcPr>
            <w:tcW w:w="940" w:type="dxa"/>
            <w:vAlign w:val="center"/>
          </w:tcPr>
          <w:p w14:paraId="255A593D">
            <w:pPr>
              <w:spacing w:line="288" w:lineRule="auto"/>
              <w:rPr>
                <w:rFonts w:ascii="宋体"/>
                <w:sz w:val="24"/>
                <w:highlight w:val="none"/>
              </w:rPr>
            </w:pPr>
            <w:r>
              <w:rPr>
                <w:rFonts w:hint="eastAsia" w:ascii="宋体"/>
                <w:sz w:val="24"/>
                <w:highlight w:val="none"/>
              </w:rPr>
              <w:t>岸基水质监测系 统</w:t>
            </w:r>
          </w:p>
        </w:tc>
        <w:tc>
          <w:tcPr>
            <w:tcW w:w="3233" w:type="dxa"/>
            <w:vAlign w:val="center"/>
          </w:tcPr>
          <w:p w14:paraId="4B09A9D7">
            <w:pPr>
              <w:spacing w:line="288" w:lineRule="auto"/>
              <w:rPr>
                <w:rFonts w:ascii="宋体"/>
                <w:sz w:val="24"/>
                <w:highlight w:val="none"/>
              </w:rPr>
            </w:pPr>
            <w:r>
              <w:rPr>
                <w:rFonts w:hint="eastAsia" w:ascii="宋体"/>
                <w:sz w:val="24"/>
                <w:highlight w:val="none"/>
              </w:rPr>
              <w:t>★安装维护：</w:t>
            </w:r>
          </w:p>
          <w:p w14:paraId="586F4EAA">
            <w:pPr>
              <w:spacing w:line="288" w:lineRule="auto"/>
              <w:rPr>
                <w:rFonts w:ascii="宋体"/>
                <w:sz w:val="24"/>
                <w:highlight w:val="none"/>
              </w:rPr>
            </w:pPr>
            <w:r>
              <w:rPr>
                <w:rFonts w:hint="eastAsia" w:ascii="宋体"/>
                <w:sz w:val="24"/>
                <w:highlight w:val="none"/>
              </w:rPr>
              <w:t>1）主要包括站房、站柜等各类分开设备的组装及调试；</w:t>
            </w:r>
          </w:p>
          <w:p w14:paraId="0DB83DD8">
            <w:pPr>
              <w:spacing w:line="288" w:lineRule="auto"/>
              <w:rPr>
                <w:rFonts w:ascii="宋体"/>
                <w:sz w:val="24"/>
                <w:highlight w:val="none"/>
              </w:rPr>
            </w:pPr>
            <w:r>
              <w:rPr>
                <w:rFonts w:hint="eastAsia" w:ascii="宋体"/>
                <w:sz w:val="24"/>
                <w:highlight w:val="none"/>
              </w:rPr>
              <w:t>2）包括日常设备试剂的配置及更换，频率约为20-25日/次；</w:t>
            </w:r>
          </w:p>
          <w:p w14:paraId="51F53121">
            <w:pPr>
              <w:spacing w:line="288" w:lineRule="auto"/>
              <w:rPr>
                <w:rFonts w:ascii="宋体"/>
                <w:sz w:val="24"/>
                <w:highlight w:val="none"/>
              </w:rPr>
            </w:pPr>
            <w:r>
              <w:rPr>
                <w:rFonts w:hint="eastAsia" w:ascii="宋体"/>
                <w:sz w:val="24"/>
                <w:highlight w:val="none"/>
              </w:rPr>
              <w:t>3）各类传感设备的校准，频率约为20-25日/次；</w:t>
            </w:r>
          </w:p>
          <w:p w14:paraId="0A1EA2D3">
            <w:pPr>
              <w:spacing w:line="288" w:lineRule="auto"/>
              <w:rPr>
                <w:rFonts w:ascii="宋体"/>
                <w:sz w:val="24"/>
                <w:highlight w:val="none"/>
              </w:rPr>
            </w:pPr>
            <w:r>
              <w:rPr>
                <w:rFonts w:hint="eastAsia" w:ascii="宋体"/>
                <w:sz w:val="24"/>
                <w:highlight w:val="none"/>
              </w:rPr>
              <w:t>4）取水管路的清理；</w:t>
            </w:r>
          </w:p>
          <w:p w14:paraId="7853B62F">
            <w:pPr>
              <w:spacing w:line="288" w:lineRule="auto"/>
              <w:rPr>
                <w:rFonts w:ascii="宋体"/>
                <w:sz w:val="24"/>
                <w:highlight w:val="none"/>
              </w:rPr>
            </w:pPr>
            <w:r>
              <w:rPr>
                <w:rFonts w:hint="eastAsia" w:ascii="宋体"/>
                <w:sz w:val="24"/>
                <w:highlight w:val="none"/>
              </w:rPr>
              <w:t>5）供电系统的检查及清5理；</w:t>
            </w:r>
          </w:p>
          <w:p w14:paraId="1E6634B5">
            <w:pPr>
              <w:spacing w:line="288" w:lineRule="auto"/>
              <w:rPr>
                <w:rFonts w:ascii="宋体"/>
                <w:sz w:val="24"/>
                <w:highlight w:val="none"/>
              </w:rPr>
            </w:pPr>
            <w:r>
              <w:rPr>
                <w:rFonts w:hint="eastAsia" w:ascii="宋体"/>
                <w:sz w:val="24"/>
                <w:highlight w:val="none"/>
              </w:rPr>
              <w:t>6）站房及站柜的保养维护。</w:t>
            </w:r>
          </w:p>
          <w:p w14:paraId="0288428A">
            <w:pPr>
              <w:spacing w:line="288" w:lineRule="auto"/>
              <w:rPr>
                <w:rFonts w:ascii="宋体"/>
                <w:sz w:val="24"/>
                <w:highlight w:val="none"/>
              </w:rPr>
            </w:pPr>
            <w:r>
              <w:rPr>
                <w:rFonts w:hint="eastAsia" w:ascii="宋体"/>
                <w:sz w:val="24"/>
                <w:highlight w:val="none"/>
              </w:rPr>
              <w:t>7）维护期限：5年</w:t>
            </w:r>
          </w:p>
          <w:p w14:paraId="6AE7283D">
            <w:pPr>
              <w:spacing w:line="288" w:lineRule="auto"/>
              <w:rPr>
                <w:rFonts w:ascii="宋体"/>
                <w:sz w:val="24"/>
                <w:highlight w:val="none"/>
              </w:rPr>
            </w:pPr>
          </w:p>
        </w:tc>
        <w:tc>
          <w:tcPr>
            <w:tcW w:w="1269" w:type="dxa"/>
            <w:vAlign w:val="center"/>
          </w:tcPr>
          <w:p w14:paraId="2A6078A4">
            <w:pPr>
              <w:rPr>
                <w:rFonts w:ascii="宋体"/>
                <w:sz w:val="24"/>
                <w:highlight w:val="none"/>
              </w:rPr>
            </w:pPr>
          </w:p>
        </w:tc>
        <w:tc>
          <w:tcPr>
            <w:tcW w:w="1817" w:type="dxa"/>
          </w:tcPr>
          <w:p w14:paraId="476F1922">
            <w:pPr>
              <w:spacing w:line="288" w:lineRule="auto"/>
              <w:rPr>
                <w:rFonts w:ascii="宋体"/>
                <w:sz w:val="24"/>
                <w:highlight w:val="none"/>
              </w:rPr>
            </w:pPr>
          </w:p>
        </w:tc>
        <w:tc>
          <w:tcPr>
            <w:tcW w:w="909" w:type="dxa"/>
          </w:tcPr>
          <w:p w14:paraId="6D971B88">
            <w:pPr>
              <w:spacing w:line="288" w:lineRule="auto"/>
              <w:rPr>
                <w:rFonts w:ascii="宋体"/>
                <w:sz w:val="24"/>
                <w:highlight w:val="none"/>
              </w:rPr>
            </w:pPr>
          </w:p>
        </w:tc>
      </w:tr>
      <w:tr w14:paraId="3B5D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85" w:type="dxa"/>
            <w:vAlign w:val="center"/>
          </w:tcPr>
          <w:p w14:paraId="546678B6">
            <w:pPr>
              <w:spacing w:line="288" w:lineRule="auto"/>
              <w:jc w:val="center"/>
              <w:rPr>
                <w:rFonts w:ascii="宋体"/>
                <w:sz w:val="24"/>
                <w:highlight w:val="none"/>
              </w:rPr>
            </w:pPr>
            <w:r>
              <w:rPr>
                <w:rFonts w:hint="eastAsia" w:ascii="宋体"/>
                <w:sz w:val="24"/>
                <w:highlight w:val="none"/>
              </w:rPr>
              <w:t>6</w:t>
            </w:r>
          </w:p>
        </w:tc>
        <w:tc>
          <w:tcPr>
            <w:tcW w:w="940" w:type="dxa"/>
            <w:vAlign w:val="center"/>
          </w:tcPr>
          <w:p w14:paraId="01149C00">
            <w:pPr>
              <w:spacing w:line="288" w:lineRule="auto"/>
              <w:rPr>
                <w:rFonts w:ascii="宋体"/>
                <w:sz w:val="24"/>
                <w:highlight w:val="none"/>
              </w:rPr>
            </w:pPr>
            <w:r>
              <w:rPr>
                <w:rFonts w:hint="eastAsia" w:ascii="宋体"/>
                <w:sz w:val="24"/>
                <w:highlight w:val="none"/>
              </w:rPr>
              <w:t>生态数字影像站</w:t>
            </w:r>
          </w:p>
        </w:tc>
        <w:tc>
          <w:tcPr>
            <w:tcW w:w="3233" w:type="dxa"/>
            <w:vAlign w:val="center"/>
          </w:tcPr>
          <w:p w14:paraId="0D62CCC8">
            <w:pPr>
              <w:spacing w:line="288" w:lineRule="auto"/>
              <w:rPr>
                <w:rFonts w:ascii="宋体"/>
                <w:sz w:val="24"/>
                <w:highlight w:val="none"/>
              </w:rPr>
            </w:pPr>
            <w:r>
              <w:rPr>
                <w:rFonts w:hint="eastAsia" w:ascii="宋体"/>
                <w:sz w:val="24"/>
                <w:highlight w:val="none"/>
              </w:rPr>
              <w:t>★安装维护：</w:t>
            </w:r>
          </w:p>
          <w:p w14:paraId="2F6540D9">
            <w:pPr>
              <w:spacing w:line="288" w:lineRule="auto"/>
              <w:rPr>
                <w:rFonts w:ascii="宋体"/>
                <w:sz w:val="24"/>
                <w:highlight w:val="none"/>
              </w:rPr>
            </w:pPr>
            <w:r>
              <w:rPr>
                <w:rFonts w:hint="eastAsia" w:ascii="宋体"/>
                <w:sz w:val="24"/>
                <w:highlight w:val="none"/>
              </w:rPr>
              <w:t>1）日常设备清理维护；</w:t>
            </w:r>
          </w:p>
          <w:p w14:paraId="07E983AF">
            <w:pPr>
              <w:spacing w:line="288" w:lineRule="auto"/>
              <w:rPr>
                <w:rFonts w:ascii="宋体"/>
                <w:sz w:val="24"/>
                <w:highlight w:val="none"/>
              </w:rPr>
            </w:pPr>
            <w:r>
              <w:rPr>
                <w:rFonts w:hint="eastAsia" w:ascii="宋体"/>
                <w:sz w:val="24"/>
                <w:highlight w:val="none"/>
              </w:rPr>
              <w:t>2）气象传感器的校准；</w:t>
            </w:r>
          </w:p>
          <w:p w14:paraId="1AC46B7A">
            <w:pPr>
              <w:spacing w:line="288" w:lineRule="auto"/>
              <w:rPr>
                <w:rFonts w:ascii="宋体"/>
                <w:sz w:val="24"/>
                <w:highlight w:val="none"/>
              </w:rPr>
            </w:pPr>
            <w:r>
              <w:rPr>
                <w:rFonts w:hint="eastAsia" w:ascii="宋体"/>
                <w:sz w:val="24"/>
                <w:highlight w:val="none"/>
              </w:rPr>
              <w:t>3）网络的日常维护；</w:t>
            </w:r>
          </w:p>
          <w:p w14:paraId="41CB812D">
            <w:pPr>
              <w:spacing w:line="288" w:lineRule="auto"/>
              <w:rPr>
                <w:rFonts w:ascii="宋体"/>
                <w:sz w:val="24"/>
                <w:highlight w:val="none"/>
              </w:rPr>
            </w:pPr>
            <w:r>
              <w:rPr>
                <w:rFonts w:hint="eastAsia" w:ascii="宋体"/>
                <w:sz w:val="24"/>
                <w:highlight w:val="none"/>
              </w:rPr>
              <w:t>4）设备的现场组装及调试。</w:t>
            </w:r>
          </w:p>
          <w:p w14:paraId="2C62792A">
            <w:pPr>
              <w:spacing w:line="288" w:lineRule="auto"/>
              <w:rPr>
                <w:rFonts w:ascii="宋体"/>
                <w:sz w:val="24"/>
                <w:highlight w:val="none"/>
              </w:rPr>
            </w:pPr>
            <w:r>
              <w:rPr>
                <w:rFonts w:hint="eastAsia" w:ascii="宋体"/>
                <w:sz w:val="24"/>
                <w:highlight w:val="none"/>
              </w:rPr>
              <w:t>5）维护期限：5年</w:t>
            </w:r>
          </w:p>
          <w:p w14:paraId="58C16974">
            <w:pPr>
              <w:spacing w:line="288" w:lineRule="auto"/>
              <w:rPr>
                <w:rFonts w:ascii="宋体"/>
                <w:sz w:val="24"/>
                <w:highlight w:val="none"/>
              </w:rPr>
            </w:pPr>
          </w:p>
        </w:tc>
        <w:tc>
          <w:tcPr>
            <w:tcW w:w="1269" w:type="dxa"/>
            <w:vAlign w:val="center"/>
          </w:tcPr>
          <w:p w14:paraId="68D8CF24">
            <w:pPr>
              <w:rPr>
                <w:rFonts w:ascii="宋体"/>
                <w:sz w:val="24"/>
                <w:highlight w:val="none"/>
              </w:rPr>
            </w:pPr>
          </w:p>
        </w:tc>
        <w:tc>
          <w:tcPr>
            <w:tcW w:w="1817" w:type="dxa"/>
          </w:tcPr>
          <w:p w14:paraId="1C52F146">
            <w:pPr>
              <w:spacing w:line="288" w:lineRule="auto"/>
              <w:rPr>
                <w:rFonts w:ascii="宋体"/>
                <w:sz w:val="24"/>
                <w:highlight w:val="none"/>
              </w:rPr>
            </w:pPr>
          </w:p>
        </w:tc>
        <w:tc>
          <w:tcPr>
            <w:tcW w:w="909" w:type="dxa"/>
          </w:tcPr>
          <w:p w14:paraId="18F39148">
            <w:pPr>
              <w:spacing w:line="288" w:lineRule="auto"/>
              <w:rPr>
                <w:rFonts w:ascii="宋体"/>
                <w:sz w:val="24"/>
                <w:highlight w:val="none"/>
              </w:rPr>
            </w:pPr>
          </w:p>
        </w:tc>
      </w:tr>
      <w:tr w14:paraId="26F7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85" w:type="dxa"/>
            <w:vAlign w:val="center"/>
          </w:tcPr>
          <w:p w14:paraId="31F535C4">
            <w:pPr>
              <w:spacing w:line="288" w:lineRule="auto"/>
              <w:jc w:val="center"/>
              <w:rPr>
                <w:rFonts w:ascii="宋体"/>
                <w:sz w:val="24"/>
                <w:highlight w:val="none"/>
              </w:rPr>
            </w:pPr>
            <w:r>
              <w:rPr>
                <w:rFonts w:hint="eastAsia" w:ascii="宋体"/>
                <w:sz w:val="24"/>
                <w:highlight w:val="none"/>
              </w:rPr>
              <w:t>7</w:t>
            </w:r>
          </w:p>
        </w:tc>
        <w:tc>
          <w:tcPr>
            <w:tcW w:w="940" w:type="dxa"/>
            <w:vAlign w:val="center"/>
          </w:tcPr>
          <w:p w14:paraId="44E51946">
            <w:pPr>
              <w:spacing w:line="288" w:lineRule="auto"/>
              <w:rPr>
                <w:rFonts w:ascii="宋体"/>
                <w:sz w:val="24"/>
                <w:highlight w:val="none"/>
              </w:rPr>
            </w:pPr>
            <w:r>
              <w:rPr>
                <w:rFonts w:hint="eastAsia" w:ascii="宋体"/>
                <w:sz w:val="24"/>
                <w:highlight w:val="none"/>
              </w:rPr>
              <w:t>沙滩视频观测系 统</w:t>
            </w:r>
          </w:p>
        </w:tc>
        <w:tc>
          <w:tcPr>
            <w:tcW w:w="3233" w:type="dxa"/>
            <w:vAlign w:val="center"/>
          </w:tcPr>
          <w:p w14:paraId="3CA0B8E4">
            <w:pPr>
              <w:spacing w:line="288" w:lineRule="auto"/>
              <w:rPr>
                <w:rFonts w:ascii="宋体"/>
                <w:sz w:val="24"/>
                <w:highlight w:val="none"/>
              </w:rPr>
            </w:pPr>
            <w:r>
              <w:rPr>
                <w:rFonts w:hint="eastAsia" w:ascii="宋体"/>
                <w:sz w:val="24"/>
                <w:highlight w:val="none"/>
              </w:rPr>
              <w:t>★安装维护（含测站选址、设备安装、基准点校准等）：</w:t>
            </w:r>
          </w:p>
          <w:p w14:paraId="6C1BB3C3">
            <w:pPr>
              <w:spacing w:line="288" w:lineRule="auto"/>
              <w:rPr>
                <w:rFonts w:ascii="宋体"/>
                <w:sz w:val="24"/>
                <w:highlight w:val="none"/>
              </w:rPr>
            </w:pPr>
            <w:r>
              <w:rPr>
                <w:rFonts w:hint="eastAsia" w:ascii="宋体"/>
                <w:sz w:val="24"/>
                <w:highlight w:val="none"/>
              </w:rPr>
              <w:t>维护期限：5年</w:t>
            </w:r>
          </w:p>
          <w:p w14:paraId="30497FFE">
            <w:pPr>
              <w:spacing w:line="288" w:lineRule="auto"/>
              <w:rPr>
                <w:rFonts w:ascii="宋体"/>
                <w:sz w:val="24"/>
                <w:highlight w:val="none"/>
              </w:rPr>
            </w:pPr>
          </w:p>
        </w:tc>
        <w:tc>
          <w:tcPr>
            <w:tcW w:w="1269" w:type="dxa"/>
            <w:vAlign w:val="center"/>
          </w:tcPr>
          <w:p w14:paraId="6D60989A">
            <w:pPr>
              <w:rPr>
                <w:sz w:val="20"/>
                <w:highlight w:val="none"/>
              </w:rPr>
            </w:pPr>
          </w:p>
        </w:tc>
        <w:tc>
          <w:tcPr>
            <w:tcW w:w="1817" w:type="dxa"/>
          </w:tcPr>
          <w:p w14:paraId="64AEEE3B">
            <w:pPr>
              <w:spacing w:line="288" w:lineRule="auto"/>
              <w:rPr>
                <w:rFonts w:ascii="宋体"/>
                <w:sz w:val="24"/>
                <w:highlight w:val="none"/>
              </w:rPr>
            </w:pPr>
          </w:p>
        </w:tc>
        <w:tc>
          <w:tcPr>
            <w:tcW w:w="909" w:type="dxa"/>
          </w:tcPr>
          <w:p w14:paraId="31B73702">
            <w:pPr>
              <w:spacing w:line="288" w:lineRule="auto"/>
              <w:rPr>
                <w:rFonts w:ascii="宋体"/>
                <w:sz w:val="24"/>
                <w:highlight w:val="none"/>
              </w:rPr>
            </w:pPr>
          </w:p>
        </w:tc>
      </w:tr>
      <w:tr w14:paraId="1A1C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85" w:type="dxa"/>
            <w:vAlign w:val="center"/>
          </w:tcPr>
          <w:p w14:paraId="797F2AC1">
            <w:pPr>
              <w:spacing w:line="288" w:lineRule="auto"/>
              <w:jc w:val="center"/>
              <w:rPr>
                <w:rFonts w:ascii="宋体"/>
                <w:sz w:val="24"/>
                <w:highlight w:val="none"/>
              </w:rPr>
            </w:pPr>
            <w:r>
              <w:rPr>
                <w:rFonts w:hint="eastAsia" w:ascii="宋体"/>
                <w:sz w:val="24"/>
                <w:highlight w:val="none"/>
              </w:rPr>
              <w:t>8</w:t>
            </w:r>
          </w:p>
        </w:tc>
        <w:tc>
          <w:tcPr>
            <w:tcW w:w="4173" w:type="dxa"/>
            <w:gridSpan w:val="2"/>
          </w:tcPr>
          <w:p w14:paraId="7A0D6CB3">
            <w:pPr>
              <w:snapToGrid w:val="0"/>
              <w:spacing w:line="360" w:lineRule="auto"/>
              <w:rPr>
                <w:rFonts w:ascii="宋体" w:hAnsi="宋体" w:cs="宋体"/>
                <w:sz w:val="24"/>
                <w:szCs w:val="24"/>
                <w:highlight w:val="none"/>
              </w:rPr>
            </w:pPr>
            <w:r>
              <w:rPr>
                <w:rFonts w:hint="eastAsia" w:ascii="宋体" w:hAnsi="宋体" w:cs="宋体"/>
                <w:sz w:val="24"/>
                <w:szCs w:val="24"/>
                <w:highlight w:val="none"/>
              </w:rPr>
              <w:t>服务期限：</w:t>
            </w:r>
          </w:p>
          <w:p w14:paraId="215AF6F1">
            <w:pPr>
              <w:snapToGrid w:val="0"/>
              <w:spacing w:line="360" w:lineRule="auto"/>
              <w:rPr>
                <w:rFonts w:ascii="宋体" w:hAnsi="宋体" w:cs="宋体"/>
                <w:sz w:val="24"/>
                <w:szCs w:val="24"/>
                <w:highlight w:val="none"/>
              </w:rPr>
            </w:pPr>
            <w:r>
              <w:rPr>
                <w:rFonts w:hint="eastAsia" w:ascii="宋体" w:hAnsi="宋体" w:cs="宋体"/>
                <w:sz w:val="24"/>
                <w:szCs w:val="24"/>
                <w:highlight w:val="none"/>
              </w:rPr>
              <w:t>合同签订后两年，完成全部服务内容。（具体时间以合同签订为准）。</w:t>
            </w:r>
          </w:p>
          <w:p w14:paraId="38A81F25">
            <w:pPr>
              <w:spacing w:line="288" w:lineRule="auto"/>
              <w:rPr>
                <w:rFonts w:ascii="宋体"/>
                <w:sz w:val="24"/>
                <w:highlight w:val="none"/>
              </w:rPr>
            </w:pPr>
            <w:r>
              <w:rPr>
                <w:rFonts w:hint="eastAsia" w:ascii="宋体"/>
                <w:sz w:val="24"/>
                <w:highlight w:val="none"/>
              </w:rPr>
              <w:t>供货及安装调试完成时间：</w:t>
            </w:r>
          </w:p>
          <w:p w14:paraId="24796FA5">
            <w:pPr>
              <w:spacing w:line="288" w:lineRule="auto"/>
              <w:rPr>
                <w:rFonts w:ascii="宋体"/>
                <w:sz w:val="24"/>
                <w:highlight w:val="none"/>
              </w:rPr>
            </w:pPr>
            <w:r>
              <w:rPr>
                <w:rFonts w:hint="eastAsia" w:ascii="宋体" w:hAnsi="宋体" w:cs="宋体"/>
                <w:bCs/>
                <w:sz w:val="24"/>
                <w:szCs w:val="24"/>
                <w:highlight w:val="none"/>
              </w:rPr>
              <w:t>合同签订后（ 60 ）日内完成仪器设备供货安装。仪器设备调试完成，保证仪器设备正常运行。（具体时间以合同签订为准）</w:t>
            </w:r>
          </w:p>
        </w:tc>
        <w:tc>
          <w:tcPr>
            <w:tcW w:w="1269" w:type="dxa"/>
          </w:tcPr>
          <w:p w14:paraId="36C9F0C1">
            <w:pPr>
              <w:spacing w:line="288" w:lineRule="auto"/>
              <w:rPr>
                <w:rFonts w:ascii="宋体"/>
                <w:sz w:val="24"/>
                <w:highlight w:val="none"/>
              </w:rPr>
            </w:pPr>
          </w:p>
        </w:tc>
        <w:tc>
          <w:tcPr>
            <w:tcW w:w="1817" w:type="dxa"/>
          </w:tcPr>
          <w:p w14:paraId="6408FF36">
            <w:pPr>
              <w:spacing w:line="288" w:lineRule="auto"/>
              <w:rPr>
                <w:rFonts w:ascii="宋体"/>
                <w:sz w:val="24"/>
                <w:highlight w:val="none"/>
              </w:rPr>
            </w:pPr>
          </w:p>
        </w:tc>
        <w:tc>
          <w:tcPr>
            <w:tcW w:w="909" w:type="dxa"/>
          </w:tcPr>
          <w:p w14:paraId="54727D99">
            <w:pPr>
              <w:spacing w:line="288" w:lineRule="auto"/>
              <w:rPr>
                <w:rFonts w:ascii="宋体"/>
                <w:sz w:val="24"/>
                <w:highlight w:val="none"/>
              </w:rPr>
            </w:pPr>
          </w:p>
        </w:tc>
      </w:tr>
      <w:tr w14:paraId="48AA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85" w:type="dxa"/>
            <w:vAlign w:val="center"/>
          </w:tcPr>
          <w:p w14:paraId="4AB5B36F">
            <w:pPr>
              <w:spacing w:line="288" w:lineRule="auto"/>
              <w:jc w:val="center"/>
              <w:rPr>
                <w:rFonts w:ascii="宋体"/>
                <w:sz w:val="24"/>
                <w:highlight w:val="none"/>
              </w:rPr>
            </w:pPr>
            <w:r>
              <w:rPr>
                <w:rFonts w:hint="eastAsia" w:ascii="宋体"/>
                <w:sz w:val="24"/>
                <w:highlight w:val="none"/>
              </w:rPr>
              <w:t>9</w:t>
            </w:r>
          </w:p>
        </w:tc>
        <w:tc>
          <w:tcPr>
            <w:tcW w:w="4173" w:type="dxa"/>
            <w:gridSpan w:val="2"/>
          </w:tcPr>
          <w:p w14:paraId="08A788A1">
            <w:pPr>
              <w:spacing w:line="288" w:lineRule="auto"/>
              <w:rPr>
                <w:rFonts w:ascii="宋体"/>
                <w:sz w:val="24"/>
                <w:highlight w:val="none"/>
              </w:rPr>
            </w:pPr>
            <w:r>
              <w:rPr>
                <w:rFonts w:hint="eastAsia" w:ascii="宋体"/>
                <w:sz w:val="24"/>
                <w:highlight w:val="none"/>
              </w:rPr>
              <w:t>交货地点：招标人指定地点</w:t>
            </w:r>
          </w:p>
        </w:tc>
        <w:tc>
          <w:tcPr>
            <w:tcW w:w="1269" w:type="dxa"/>
          </w:tcPr>
          <w:p w14:paraId="27583D07">
            <w:pPr>
              <w:spacing w:line="288" w:lineRule="auto"/>
              <w:rPr>
                <w:rFonts w:ascii="宋体"/>
                <w:sz w:val="24"/>
                <w:highlight w:val="none"/>
              </w:rPr>
            </w:pPr>
          </w:p>
        </w:tc>
        <w:tc>
          <w:tcPr>
            <w:tcW w:w="1817" w:type="dxa"/>
          </w:tcPr>
          <w:p w14:paraId="72EB5AC9">
            <w:pPr>
              <w:spacing w:line="288" w:lineRule="auto"/>
              <w:rPr>
                <w:rFonts w:ascii="宋体"/>
                <w:sz w:val="24"/>
                <w:highlight w:val="none"/>
              </w:rPr>
            </w:pPr>
          </w:p>
        </w:tc>
        <w:tc>
          <w:tcPr>
            <w:tcW w:w="909" w:type="dxa"/>
          </w:tcPr>
          <w:p w14:paraId="32F83686">
            <w:pPr>
              <w:spacing w:line="288" w:lineRule="auto"/>
              <w:rPr>
                <w:rFonts w:ascii="宋体"/>
                <w:sz w:val="24"/>
                <w:highlight w:val="none"/>
              </w:rPr>
            </w:pPr>
          </w:p>
        </w:tc>
      </w:tr>
      <w:tr w14:paraId="28BD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885" w:type="dxa"/>
            <w:vAlign w:val="center"/>
          </w:tcPr>
          <w:p w14:paraId="4ADBA564">
            <w:pPr>
              <w:spacing w:line="288" w:lineRule="auto"/>
              <w:jc w:val="center"/>
              <w:rPr>
                <w:rFonts w:ascii="宋体"/>
                <w:sz w:val="24"/>
                <w:highlight w:val="none"/>
              </w:rPr>
            </w:pPr>
            <w:r>
              <w:rPr>
                <w:rFonts w:hint="eastAsia" w:ascii="宋体"/>
                <w:sz w:val="24"/>
                <w:highlight w:val="none"/>
              </w:rPr>
              <w:t>10</w:t>
            </w:r>
          </w:p>
        </w:tc>
        <w:tc>
          <w:tcPr>
            <w:tcW w:w="4173" w:type="dxa"/>
            <w:gridSpan w:val="2"/>
          </w:tcPr>
          <w:p w14:paraId="49F62627">
            <w:pPr>
              <w:spacing w:line="288" w:lineRule="auto"/>
              <w:rPr>
                <w:rFonts w:ascii="宋体"/>
                <w:sz w:val="24"/>
                <w:highlight w:val="none"/>
              </w:rPr>
            </w:pPr>
            <w:r>
              <w:rPr>
                <w:rFonts w:hint="eastAsia" w:ascii="宋体"/>
                <w:sz w:val="24"/>
                <w:highlight w:val="none"/>
              </w:rPr>
              <w:t>售后服务要求：提供网络在线咨询服务。</w:t>
            </w:r>
          </w:p>
        </w:tc>
        <w:tc>
          <w:tcPr>
            <w:tcW w:w="1269" w:type="dxa"/>
          </w:tcPr>
          <w:p w14:paraId="1413DE46">
            <w:pPr>
              <w:spacing w:line="288" w:lineRule="auto"/>
              <w:rPr>
                <w:rFonts w:ascii="宋体"/>
                <w:sz w:val="24"/>
                <w:highlight w:val="none"/>
              </w:rPr>
            </w:pPr>
          </w:p>
        </w:tc>
        <w:tc>
          <w:tcPr>
            <w:tcW w:w="1817" w:type="dxa"/>
          </w:tcPr>
          <w:p w14:paraId="04305E41">
            <w:pPr>
              <w:spacing w:line="288" w:lineRule="auto"/>
              <w:rPr>
                <w:rFonts w:ascii="宋体"/>
                <w:sz w:val="24"/>
                <w:highlight w:val="none"/>
              </w:rPr>
            </w:pPr>
          </w:p>
        </w:tc>
        <w:tc>
          <w:tcPr>
            <w:tcW w:w="909" w:type="dxa"/>
          </w:tcPr>
          <w:p w14:paraId="49179400">
            <w:pPr>
              <w:spacing w:line="288" w:lineRule="auto"/>
              <w:rPr>
                <w:rFonts w:ascii="宋体"/>
                <w:sz w:val="24"/>
                <w:highlight w:val="none"/>
              </w:rPr>
            </w:pPr>
          </w:p>
        </w:tc>
      </w:tr>
      <w:tr w14:paraId="3B70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85" w:type="dxa"/>
            <w:vAlign w:val="center"/>
          </w:tcPr>
          <w:p w14:paraId="533F0B14">
            <w:pPr>
              <w:spacing w:line="288" w:lineRule="auto"/>
              <w:jc w:val="center"/>
              <w:rPr>
                <w:rFonts w:ascii="宋体"/>
                <w:sz w:val="24"/>
                <w:highlight w:val="none"/>
              </w:rPr>
            </w:pPr>
            <w:r>
              <w:rPr>
                <w:rFonts w:hint="eastAsia" w:ascii="宋体"/>
                <w:sz w:val="24"/>
                <w:highlight w:val="none"/>
              </w:rPr>
              <w:t>11</w:t>
            </w:r>
          </w:p>
        </w:tc>
        <w:tc>
          <w:tcPr>
            <w:tcW w:w="4173" w:type="dxa"/>
            <w:gridSpan w:val="2"/>
          </w:tcPr>
          <w:p w14:paraId="1F2B33D2">
            <w:pPr>
              <w:adjustRightInd w:val="0"/>
              <w:snapToGrid w:val="0"/>
              <w:rPr>
                <w:rFonts w:ascii="宋体"/>
                <w:sz w:val="24"/>
                <w:highlight w:val="none"/>
              </w:rPr>
            </w:pPr>
            <w:r>
              <w:rPr>
                <w:rFonts w:hint="eastAsia" w:ascii="宋体"/>
                <w:sz w:val="24"/>
                <w:highlight w:val="none"/>
              </w:rPr>
              <w:t>质量保证期：验收书签署之日起至少（5）年；</w:t>
            </w:r>
          </w:p>
          <w:p w14:paraId="10E4BC67">
            <w:pPr>
              <w:adjustRightInd w:val="0"/>
              <w:snapToGrid w:val="0"/>
              <w:rPr>
                <w:rFonts w:ascii="宋体"/>
                <w:sz w:val="24"/>
                <w:highlight w:val="none"/>
              </w:rPr>
            </w:pPr>
            <w:r>
              <w:rPr>
                <w:rFonts w:hint="eastAsia" w:ascii="宋体"/>
                <w:sz w:val="24"/>
                <w:highlight w:val="none"/>
              </w:rPr>
              <w:t>免费保修期：验收书签署之日起至少5年</w:t>
            </w:r>
          </w:p>
        </w:tc>
        <w:tc>
          <w:tcPr>
            <w:tcW w:w="1269" w:type="dxa"/>
          </w:tcPr>
          <w:p w14:paraId="13564C17">
            <w:pPr>
              <w:spacing w:line="288" w:lineRule="auto"/>
              <w:rPr>
                <w:rFonts w:ascii="宋体"/>
                <w:sz w:val="24"/>
                <w:highlight w:val="none"/>
              </w:rPr>
            </w:pPr>
          </w:p>
        </w:tc>
        <w:tc>
          <w:tcPr>
            <w:tcW w:w="1817" w:type="dxa"/>
          </w:tcPr>
          <w:p w14:paraId="14BD562A">
            <w:pPr>
              <w:spacing w:line="288" w:lineRule="auto"/>
              <w:rPr>
                <w:rFonts w:ascii="宋体"/>
                <w:sz w:val="24"/>
                <w:highlight w:val="none"/>
              </w:rPr>
            </w:pPr>
          </w:p>
        </w:tc>
        <w:tc>
          <w:tcPr>
            <w:tcW w:w="909" w:type="dxa"/>
          </w:tcPr>
          <w:p w14:paraId="0F57A4B5">
            <w:pPr>
              <w:spacing w:line="288" w:lineRule="auto"/>
              <w:rPr>
                <w:rFonts w:ascii="宋体"/>
                <w:sz w:val="24"/>
                <w:highlight w:val="none"/>
              </w:rPr>
            </w:pPr>
          </w:p>
        </w:tc>
      </w:tr>
      <w:tr w14:paraId="1A8C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85" w:type="dxa"/>
            <w:vAlign w:val="center"/>
          </w:tcPr>
          <w:p w14:paraId="3A688C63">
            <w:pPr>
              <w:spacing w:line="288" w:lineRule="auto"/>
              <w:jc w:val="center"/>
              <w:rPr>
                <w:rFonts w:ascii="宋体"/>
                <w:sz w:val="24"/>
                <w:highlight w:val="none"/>
              </w:rPr>
            </w:pPr>
            <w:r>
              <w:rPr>
                <w:rFonts w:hint="eastAsia" w:ascii="宋体"/>
                <w:sz w:val="24"/>
                <w:highlight w:val="none"/>
              </w:rPr>
              <w:t>12</w:t>
            </w:r>
          </w:p>
        </w:tc>
        <w:tc>
          <w:tcPr>
            <w:tcW w:w="4173" w:type="dxa"/>
            <w:gridSpan w:val="2"/>
          </w:tcPr>
          <w:p w14:paraId="7B5496C8">
            <w:pPr>
              <w:adjustRightInd w:val="0"/>
              <w:snapToGrid w:val="0"/>
              <w:rPr>
                <w:rFonts w:ascii="宋体"/>
                <w:sz w:val="24"/>
                <w:highlight w:val="none"/>
              </w:rPr>
            </w:pPr>
            <w:r>
              <w:rPr>
                <w:rFonts w:hint="eastAsia" w:ascii="宋体"/>
                <w:sz w:val="24"/>
                <w:highlight w:val="none"/>
              </w:rPr>
              <w:t>违约责任：质保期内未履行技术维护服务，处以合同金额的20%罚款，并应承担由此产生的各种后果。</w:t>
            </w:r>
          </w:p>
        </w:tc>
        <w:tc>
          <w:tcPr>
            <w:tcW w:w="1269" w:type="dxa"/>
          </w:tcPr>
          <w:p w14:paraId="6D1A84E8">
            <w:pPr>
              <w:spacing w:line="288" w:lineRule="auto"/>
              <w:rPr>
                <w:rFonts w:ascii="宋体"/>
                <w:sz w:val="24"/>
                <w:highlight w:val="none"/>
              </w:rPr>
            </w:pPr>
          </w:p>
        </w:tc>
        <w:tc>
          <w:tcPr>
            <w:tcW w:w="1817" w:type="dxa"/>
          </w:tcPr>
          <w:p w14:paraId="053ECB08">
            <w:pPr>
              <w:spacing w:line="288" w:lineRule="auto"/>
              <w:rPr>
                <w:rFonts w:ascii="宋体"/>
                <w:sz w:val="24"/>
                <w:highlight w:val="none"/>
              </w:rPr>
            </w:pPr>
          </w:p>
        </w:tc>
        <w:tc>
          <w:tcPr>
            <w:tcW w:w="909" w:type="dxa"/>
          </w:tcPr>
          <w:p w14:paraId="5764EE6A">
            <w:pPr>
              <w:spacing w:line="288" w:lineRule="auto"/>
              <w:rPr>
                <w:rFonts w:ascii="宋体"/>
                <w:sz w:val="24"/>
                <w:highlight w:val="none"/>
              </w:rPr>
            </w:pPr>
          </w:p>
        </w:tc>
      </w:tr>
    </w:tbl>
    <w:p w14:paraId="2F3A13BA">
      <w:pPr>
        <w:spacing w:line="288" w:lineRule="auto"/>
        <w:rPr>
          <w:rFonts w:ascii="宋体"/>
          <w:sz w:val="24"/>
          <w:highlight w:val="none"/>
        </w:rPr>
      </w:pPr>
    </w:p>
    <w:p w14:paraId="46D64820">
      <w:pPr>
        <w:snapToGrid w:val="0"/>
        <w:spacing w:line="380" w:lineRule="exact"/>
        <w:rPr>
          <w:rFonts w:ascii="宋体"/>
          <w:b/>
          <w:sz w:val="24"/>
          <w:szCs w:val="21"/>
          <w:highlight w:val="none"/>
        </w:rPr>
      </w:pPr>
      <w:r>
        <w:rPr>
          <w:rFonts w:hint="eastAsia" w:ascii="宋体"/>
          <w:b/>
          <w:sz w:val="24"/>
          <w:szCs w:val="21"/>
          <w:highlight w:val="none"/>
        </w:rPr>
        <w:t>注：</w:t>
      </w:r>
      <w:r>
        <w:rPr>
          <w:rFonts w:ascii="宋体"/>
          <w:b/>
          <w:sz w:val="24"/>
          <w:szCs w:val="21"/>
          <w:highlight w:val="none"/>
        </w:rPr>
        <w:t xml:space="preserve"> </w:t>
      </w:r>
    </w:p>
    <w:p w14:paraId="51B17CFC">
      <w:pPr>
        <w:snapToGrid w:val="0"/>
        <w:spacing w:line="380" w:lineRule="exact"/>
        <w:rPr>
          <w:rFonts w:ascii="宋体"/>
          <w:b/>
          <w:sz w:val="24"/>
          <w:szCs w:val="21"/>
          <w:highlight w:val="none"/>
        </w:rPr>
      </w:pPr>
      <w:r>
        <w:rPr>
          <w:rFonts w:ascii="宋体"/>
          <w:b/>
          <w:sz w:val="24"/>
          <w:szCs w:val="21"/>
          <w:highlight w:val="none"/>
        </w:rPr>
        <w:t>1</w:t>
      </w:r>
      <w:r>
        <w:rPr>
          <w:rFonts w:hint="eastAsia" w:ascii="宋体"/>
          <w:b/>
          <w:sz w:val="24"/>
          <w:szCs w:val="21"/>
          <w:highlight w:val="none"/>
        </w:rPr>
        <w:t>、有偏离的条款进行</w:t>
      </w:r>
      <w:r>
        <w:rPr>
          <w:rFonts w:hint="eastAsia" w:ascii="宋体" w:hAnsi="宋体"/>
          <w:b/>
          <w:sz w:val="24"/>
          <w:highlight w:val="none"/>
        </w:rPr>
        <w:t>招、投标文件的比对说明，偏离说明栏应明确正偏离或者负偏离。</w:t>
      </w:r>
    </w:p>
    <w:p w14:paraId="0F817D1D">
      <w:pPr>
        <w:snapToGrid w:val="0"/>
        <w:spacing w:line="380" w:lineRule="exact"/>
        <w:rPr>
          <w:rFonts w:ascii="宋体"/>
          <w:b/>
          <w:sz w:val="24"/>
          <w:szCs w:val="21"/>
          <w:highlight w:val="none"/>
        </w:rPr>
      </w:pPr>
      <w:r>
        <w:rPr>
          <w:rFonts w:ascii="宋体"/>
          <w:b/>
          <w:sz w:val="24"/>
          <w:szCs w:val="21"/>
          <w:highlight w:val="none"/>
        </w:rPr>
        <w:t>2</w:t>
      </w:r>
      <w:r>
        <w:rPr>
          <w:rFonts w:hint="eastAsia" w:ascii="宋体"/>
          <w:b/>
          <w:sz w:val="24"/>
          <w:szCs w:val="21"/>
          <w:highlight w:val="none"/>
        </w:rPr>
        <w:t>、带有</w:t>
      </w:r>
      <w:r>
        <w:rPr>
          <w:rFonts w:hint="eastAsia" w:ascii="宋体" w:hAnsi="宋体"/>
          <w:b/>
          <w:sz w:val="24"/>
          <w:highlight w:val="none"/>
        </w:rPr>
        <w:t>★的商务要求必须在此表中做明确响应，并对本条款进行招、投标文件的比对说明，偏离说明栏应明确正偏离或者负偏离或者无偏离。不明确响应或为负偏离的投标无效。</w:t>
      </w:r>
    </w:p>
    <w:p w14:paraId="4ED6A286">
      <w:pPr>
        <w:snapToGrid w:val="0"/>
        <w:spacing w:line="380" w:lineRule="exact"/>
        <w:rPr>
          <w:rFonts w:ascii="宋体" w:hAnsi="宋体"/>
          <w:b/>
          <w:bCs/>
          <w:sz w:val="44"/>
          <w:szCs w:val="44"/>
          <w:highlight w:val="none"/>
        </w:rPr>
      </w:pPr>
      <w:r>
        <w:rPr>
          <w:rFonts w:ascii="宋体"/>
          <w:sz w:val="24"/>
          <w:szCs w:val="21"/>
          <w:highlight w:val="none"/>
        </w:rPr>
        <w:br w:type="page"/>
      </w:r>
    </w:p>
    <w:p w14:paraId="259B00A6">
      <w:pPr>
        <w:pStyle w:val="5"/>
        <w:spacing w:line="360" w:lineRule="auto"/>
        <w:jc w:val="center"/>
        <w:rPr>
          <w:rFonts w:ascii="宋体" w:hAnsi="宋体" w:cs="宋体"/>
          <w:sz w:val="28"/>
          <w:szCs w:val="28"/>
          <w:highlight w:val="none"/>
        </w:rPr>
        <w:sectPr>
          <w:headerReference r:id="rId15" w:type="default"/>
          <w:pgSz w:w="11906" w:h="16838"/>
          <w:pgMar w:top="1134" w:right="1134" w:bottom="992" w:left="1134" w:header="454" w:footer="454" w:gutter="0"/>
          <w:cols w:space="0" w:num="1"/>
          <w:docGrid w:linePitch="312" w:charSpace="0"/>
        </w:sectPr>
      </w:pPr>
    </w:p>
    <w:p w14:paraId="6801DA32">
      <w:pPr>
        <w:pStyle w:val="5"/>
        <w:spacing w:line="360" w:lineRule="auto"/>
        <w:jc w:val="center"/>
        <w:rPr>
          <w:rFonts w:ascii="宋体" w:hAnsi="宋体" w:cs="宋体"/>
          <w:highlight w:val="none"/>
        </w:rPr>
      </w:pPr>
      <w:bookmarkStart w:id="370" w:name="_Toc24114"/>
      <w:bookmarkStart w:id="371" w:name="_Toc23478"/>
      <w:bookmarkStart w:id="372" w:name="_Toc349914548"/>
      <w:bookmarkStart w:id="373" w:name="_Toc369353511"/>
      <w:bookmarkStart w:id="374" w:name="_Toc7616"/>
      <w:bookmarkStart w:id="375" w:name="_Toc350515673"/>
      <w:bookmarkStart w:id="376" w:name="_Toc23964"/>
      <w:bookmarkStart w:id="377" w:name="_Toc350516687"/>
      <w:r>
        <w:rPr>
          <w:rFonts w:hint="eastAsia" w:ascii="仿宋_GB2312" w:hAnsi="仿宋_GB2312" w:eastAsia="仿宋_GB2312" w:cs="仿宋_GB2312"/>
          <w:highlight w:val="none"/>
        </w:rPr>
        <w:t>技术方案</w:t>
      </w:r>
      <w:bookmarkEnd w:id="370"/>
    </w:p>
    <w:p w14:paraId="2F4022E0">
      <w:pPr>
        <w:spacing w:before="240" w:after="60" w:line="360" w:lineRule="auto"/>
        <w:ind w:firstLine="510"/>
        <w:rPr>
          <w:rFonts w:ascii="宋体" w:hAnsi="宋体" w:cs="宋体"/>
          <w:sz w:val="24"/>
          <w:highlight w:val="none"/>
        </w:rPr>
      </w:pPr>
      <w:r>
        <w:rPr>
          <w:rFonts w:hint="eastAsia" w:ascii="宋体" w:hAnsi="宋体" w:cs="宋体"/>
          <w:sz w:val="24"/>
          <w:highlight w:val="none"/>
        </w:rPr>
        <w:t>投标人根据招标文件的要求对所投服务的以下方面进行技术说明，格式自拟：</w:t>
      </w:r>
    </w:p>
    <w:p w14:paraId="1D465B07">
      <w:pPr>
        <w:spacing w:before="240" w:after="60" w:line="360" w:lineRule="auto"/>
        <w:ind w:firstLine="510"/>
        <w:rPr>
          <w:rFonts w:ascii="宋体" w:hAnsi="宋体" w:cs="宋体"/>
          <w:sz w:val="24"/>
          <w:highlight w:val="none"/>
        </w:rPr>
      </w:pPr>
      <w:r>
        <w:rPr>
          <w:rFonts w:hint="eastAsia" w:ascii="宋体" w:hAnsi="宋体" w:cs="宋体"/>
          <w:sz w:val="24"/>
          <w:highlight w:val="none"/>
        </w:rPr>
        <w:t>1、总体技术工作方案</w:t>
      </w:r>
    </w:p>
    <w:p w14:paraId="1E03ADDF">
      <w:pPr>
        <w:spacing w:before="240" w:after="60" w:line="360" w:lineRule="auto"/>
        <w:ind w:firstLine="510"/>
        <w:rPr>
          <w:rFonts w:ascii="宋体" w:hAnsi="宋体" w:cs="宋体"/>
          <w:sz w:val="24"/>
          <w:highlight w:val="none"/>
        </w:rPr>
      </w:pPr>
      <w:r>
        <w:rPr>
          <w:rFonts w:hint="eastAsia" w:ascii="宋体" w:hAnsi="宋体" w:cs="宋体"/>
          <w:sz w:val="24"/>
          <w:highlight w:val="none"/>
        </w:rPr>
        <w:t>2、设备保障</w:t>
      </w:r>
    </w:p>
    <w:p w14:paraId="45DE37F3">
      <w:pPr>
        <w:spacing w:before="240" w:after="60" w:line="360" w:lineRule="auto"/>
        <w:ind w:firstLine="510"/>
        <w:rPr>
          <w:rFonts w:ascii="宋体" w:hAnsi="宋体" w:cs="宋体"/>
          <w:sz w:val="24"/>
          <w:highlight w:val="none"/>
        </w:rPr>
      </w:pPr>
      <w:r>
        <w:rPr>
          <w:rFonts w:hint="eastAsia" w:ascii="宋体" w:hAnsi="宋体" w:cs="宋体"/>
          <w:sz w:val="24"/>
          <w:highlight w:val="none"/>
        </w:rPr>
        <w:t>3、数值模拟、系统开发方案</w:t>
      </w:r>
    </w:p>
    <w:p w14:paraId="6311CDD5">
      <w:pPr>
        <w:spacing w:before="240" w:after="60" w:line="360" w:lineRule="auto"/>
        <w:ind w:firstLine="510"/>
        <w:rPr>
          <w:rFonts w:ascii="宋体" w:hAnsi="宋体" w:cs="宋体"/>
          <w:sz w:val="24"/>
          <w:highlight w:val="none"/>
        </w:rPr>
      </w:pPr>
      <w:r>
        <w:rPr>
          <w:rFonts w:hint="eastAsia" w:ascii="宋体" w:hAnsi="宋体" w:cs="宋体"/>
          <w:sz w:val="24"/>
          <w:highlight w:val="none"/>
        </w:rPr>
        <w:t>4、售后服务方案</w:t>
      </w:r>
    </w:p>
    <w:p w14:paraId="740EF75F">
      <w:pPr>
        <w:spacing w:before="240" w:after="60" w:line="360" w:lineRule="auto"/>
        <w:ind w:firstLine="510"/>
        <w:rPr>
          <w:rFonts w:ascii="宋体" w:hAnsi="宋体" w:cs="宋体"/>
          <w:sz w:val="24"/>
          <w:highlight w:val="none"/>
        </w:rPr>
      </w:pPr>
      <w:r>
        <w:rPr>
          <w:rFonts w:hint="eastAsia" w:ascii="宋体" w:hAnsi="宋体" w:cs="宋体"/>
          <w:sz w:val="24"/>
          <w:highlight w:val="none"/>
        </w:rPr>
        <w:t>5、供货及安装调试方案</w:t>
      </w:r>
    </w:p>
    <w:p w14:paraId="1DBE0018">
      <w:pPr>
        <w:spacing w:before="240" w:after="60" w:line="360" w:lineRule="auto"/>
        <w:ind w:firstLine="510"/>
        <w:rPr>
          <w:rFonts w:ascii="宋体" w:hAnsi="宋体" w:cs="宋体"/>
          <w:sz w:val="24"/>
          <w:highlight w:val="none"/>
        </w:rPr>
      </w:pPr>
      <w:r>
        <w:rPr>
          <w:rFonts w:hint="eastAsia" w:ascii="宋体" w:hAnsi="宋体" w:cs="宋体"/>
          <w:sz w:val="24"/>
          <w:highlight w:val="none"/>
        </w:rPr>
        <w:t>6、质量控制保证措施</w:t>
      </w:r>
    </w:p>
    <w:p w14:paraId="073196CD">
      <w:pPr>
        <w:spacing w:before="240" w:after="60" w:line="360" w:lineRule="auto"/>
        <w:ind w:firstLine="510"/>
        <w:rPr>
          <w:rFonts w:ascii="宋体" w:hAnsi="宋体" w:cs="宋体"/>
          <w:sz w:val="24"/>
          <w:highlight w:val="none"/>
        </w:rPr>
      </w:pPr>
      <w:r>
        <w:rPr>
          <w:rFonts w:hint="eastAsia" w:ascii="宋体" w:hAnsi="宋体" w:cs="宋体"/>
          <w:sz w:val="24"/>
          <w:highlight w:val="none"/>
        </w:rPr>
        <w:t>7、实施进度计划及保障措施</w:t>
      </w:r>
    </w:p>
    <w:p w14:paraId="27A785C4">
      <w:pPr>
        <w:spacing w:before="240" w:after="60" w:line="360" w:lineRule="auto"/>
        <w:ind w:firstLine="510"/>
        <w:rPr>
          <w:rFonts w:ascii="宋体" w:hAnsi="宋体" w:cs="宋体"/>
          <w:sz w:val="24"/>
          <w:highlight w:val="none"/>
        </w:rPr>
      </w:pPr>
      <w:r>
        <w:rPr>
          <w:rFonts w:hint="eastAsia" w:ascii="宋体" w:hAnsi="宋体" w:cs="宋体"/>
          <w:sz w:val="24"/>
          <w:highlight w:val="none"/>
        </w:rPr>
        <w:t>8、项目重点难点的理解及突发情况的预见和解决方案</w:t>
      </w:r>
    </w:p>
    <w:p w14:paraId="01FA8AF8">
      <w:pPr>
        <w:pStyle w:val="5"/>
        <w:spacing w:line="360" w:lineRule="auto"/>
        <w:jc w:val="center"/>
        <w:rPr>
          <w:rFonts w:ascii="宋体" w:hAnsi="宋体" w:cs="宋体"/>
          <w:highlight w:val="none"/>
        </w:rPr>
      </w:pPr>
    </w:p>
    <w:p w14:paraId="51596A27">
      <w:pPr>
        <w:pStyle w:val="5"/>
        <w:spacing w:line="360" w:lineRule="auto"/>
        <w:jc w:val="center"/>
        <w:rPr>
          <w:rFonts w:ascii="宋体" w:hAnsi="宋体" w:cs="宋体"/>
          <w:highlight w:val="none"/>
        </w:rPr>
      </w:pPr>
    </w:p>
    <w:p w14:paraId="6A156AA5">
      <w:pPr>
        <w:rPr>
          <w:rFonts w:ascii="宋体" w:hAnsi="宋体" w:cs="宋体"/>
          <w:highlight w:val="none"/>
        </w:rPr>
      </w:pPr>
    </w:p>
    <w:p w14:paraId="13D5F275">
      <w:pPr>
        <w:pStyle w:val="2"/>
        <w:rPr>
          <w:rFonts w:ascii="宋体" w:hAnsi="宋体" w:cs="宋体"/>
          <w:highlight w:val="none"/>
        </w:rPr>
      </w:pPr>
    </w:p>
    <w:p w14:paraId="23F8D5ED">
      <w:pPr>
        <w:rPr>
          <w:rFonts w:ascii="宋体" w:hAnsi="宋体" w:cs="宋体"/>
          <w:highlight w:val="none"/>
        </w:rPr>
      </w:pPr>
    </w:p>
    <w:p w14:paraId="455DDCB9">
      <w:pPr>
        <w:pStyle w:val="2"/>
        <w:rPr>
          <w:rFonts w:ascii="宋体" w:hAnsi="宋体" w:cs="宋体"/>
          <w:highlight w:val="none"/>
        </w:rPr>
      </w:pPr>
    </w:p>
    <w:p w14:paraId="60E5FB4F">
      <w:pPr>
        <w:rPr>
          <w:rFonts w:ascii="宋体" w:hAnsi="宋体" w:cs="宋体"/>
          <w:highlight w:val="none"/>
        </w:rPr>
      </w:pPr>
    </w:p>
    <w:p w14:paraId="430E7B22">
      <w:pPr>
        <w:pStyle w:val="2"/>
        <w:rPr>
          <w:rFonts w:ascii="宋体" w:hAnsi="宋体" w:cs="宋体"/>
          <w:highlight w:val="none"/>
        </w:rPr>
      </w:pPr>
    </w:p>
    <w:p w14:paraId="148A243F">
      <w:pPr>
        <w:rPr>
          <w:rFonts w:ascii="宋体" w:hAnsi="宋体" w:cs="宋体"/>
          <w:highlight w:val="none"/>
        </w:rPr>
      </w:pPr>
    </w:p>
    <w:p w14:paraId="3C347552">
      <w:pPr>
        <w:pStyle w:val="2"/>
        <w:rPr>
          <w:rFonts w:ascii="宋体" w:hAnsi="宋体" w:cs="宋体"/>
          <w:highlight w:val="none"/>
        </w:rPr>
      </w:pPr>
    </w:p>
    <w:p w14:paraId="55C47CEF">
      <w:pPr>
        <w:rPr>
          <w:rFonts w:ascii="宋体" w:hAnsi="宋体" w:cs="宋体"/>
          <w:highlight w:val="none"/>
        </w:rPr>
      </w:pPr>
    </w:p>
    <w:p w14:paraId="465DBCEA">
      <w:pPr>
        <w:pStyle w:val="2"/>
        <w:rPr>
          <w:highlight w:val="none"/>
        </w:rPr>
      </w:pPr>
    </w:p>
    <w:p w14:paraId="279AD957">
      <w:pPr>
        <w:rPr>
          <w:rFonts w:ascii="宋体" w:hAnsi="宋体" w:cs="宋体"/>
          <w:highlight w:val="none"/>
        </w:rPr>
      </w:pPr>
    </w:p>
    <w:p w14:paraId="6FBDF625">
      <w:pPr>
        <w:pStyle w:val="2"/>
        <w:rPr>
          <w:rFonts w:ascii="宋体" w:hAnsi="宋体" w:cs="宋体"/>
          <w:highlight w:val="none"/>
        </w:rPr>
      </w:pPr>
    </w:p>
    <w:p w14:paraId="2EB33214">
      <w:pPr>
        <w:rPr>
          <w:rFonts w:ascii="宋体" w:hAnsi="宋体" w:cs="宋体"/>
          <w:highlight w:val="none"/>
        </w:rPr>
      </w:pPr>
    </w:p>
    <w:p w14:paraId="644D9E5F">
      <w:pPr>
        <w:pStyle w:val="2"/>
        <w:rPr>
          <w:highlight w:val="none"/>
        </w:rPr>
      </w:pPr>
    </w:p>
    <w:p w14:paraId="3CDC6874">
      <w:pPr>
        <w:pStyle w:val="2"/>
        <w:rPr>
          <w:rFonts w:ascii="宋体" w:hAnsi="宋体" w:cs="宋体"/>
          <w:highlight w:val="none"/>
        </w:rPr>
      </w:pPr>
    </w:p>
    <w:p w14:paraId="2D08420D">
      <w:pPr>
        <w:rPr>
          <w:rFonts w:ascii="宋体" w:hAnsi="宋体" w:cs="宋体"/>
          <w:highlight w:val="none"/>
        </w:rPr>
      </w:pPr>
    </w:p>
    <w:p w14:paraId="5D8EF812">
      <w:pPr>
        <w:pStyle w:val="2"/>
        <w:rPr>
          <w:highlight w:val="none"/>
        </w:rPr>
      </w:pPr>
    </w:p>
    <w:p w14:paraId="3508E57F">
      <w:pPr>
        <w:pStyle w:val="5"/>
        <w:spacing w:line="360" w:lineRule="auto"/>
        <w:jc w:val="center"/>
        <w:rPr>
          <w:rFonts w:ascii="宋体" w:hAnsi="宋体" w:cs="宋体"/>
          <w:sz w:val="28"/>
          <w:szCs w:val="28"/>
          <w:highlight w:val="none"/>
        </w:rPr>
      </w:pPr>
      <w:bookmarkStart w:id="378" w:name="_Toc23681"/>
      <w:r>
        <w:rPr>
          <w:rFonts w:hint="eastAsia" w:ascii="宋体" w:hAnsi="宋体" w:cs="宋体"/>
          <w:highlight w:val="none"/>
        </w:rPr>
        <w:t>第四部分 商务部分</w:t>
      </w:r>
      <w:bookmarkEnd w:id="371"/>
      <w:bookmarkEnd w:id="378"/>
    </w:p>
    <w:p w14:paraId="0EA3EA27">
      <w:pPr>
        <w:pStyle w:val="4"/>
        <w:adjustRightInd w:val="0"/>
        <w:snapToGrid w:val="0"/>
        <w:spacing w:line="240" w:lineRule="auto"/>
        <w:jc w:val="left"/>
        <w:rPr>
          <w:rFonts w:ascii="宋体" w:hAnsi="宋体" w:cs="宋体"/>
          <w:sz w:val="28"/>
          <w:szCs w:val="28"/>
          <w:highlight w:val="none"/>
        </w:rPr>
      </w:pPr>
    </w:p>
    <w:p w14:paraId="6F885B3F">
      <w:pPr>
        <w:pStyle w:val="4"/>
        <w:adjustRightInd w:val="0"/>
        <w:snapToGrid w:val="0"/>
        <w:spacing w:line="240" w:lineRule="auto"/>
        <w:jc w:val="left"/>
        <w:rPr>
          <w:rFonts w:ascii="宋体" w:hAnsi="宋体" w:cs="宋体"/>
          <w:sz w:val="28"/>
          <w:szCs w:val="28"/>
          <w:highlight w:val="none"/>
        </w:rPr>
      </w:pPr>
      <w:bookmarkStart w:id="429" w:name="_GoBack"/>
      <w:bookmarkEnd w:id="429"/>
    </w:p>
    <w:p w14:paraId="5B810DBD">
      <w:pPr>
        <w:pStyle w:val="5"/>
        <w:spacing w:line="360" w:lineRule="auto"/>
        <w:rPr>
          <w:rFonts w:ascii="宋体" w:hAnsi="宋体" w:cs="宋体"/>
          <w:sz w:val="28"/>
          <w:szCs w:val="28"/>
          <w:highlight w:val="none"/>
        </w:rPr>
      </w:pPr>
      <w:bookmarkStart w:id="379" w:name="_Toc10604"/>
      <w:bookmarkStart w:id="380" w:name="_Toc27054"/>
      <w:r>
        <w:rPr>
          <w:rFonts w:hint="eastAsia" w:ascii="宋体" w:hAnsi="宋体" w:cs="宋体"/>
          <w:sz w:val="28"/>
          <w:szCs w:val="28"/>
          <w:highlight w:val="none"/>
        </w:rPr>
        <w:t>1、拟投入本项目的人员情况（格式）</w:t>
      </w:r>
      <w:bookmarkEnd w:id="379"/>
      <w:bookmarkEnd w:id="380"/>
    </w:p>
    <w:p w14:paraId="025B3A5E">
      <w:pPr>
        <w:spacing w:line="360" w:lineRule="auto"/>
        <w:jc w:val="center"/>
        <w:rPr>
          <w:rFonts w:ascii="宋体" w:hAnsi="宋体" w:cs="宋体"/>
          <w:b/>
          <w:highlight w:val="none"/>
        </w:rPr>
      </w:pPr>
      <w:r>
        <w:rPr>
          <w:rFonts w:hint="eastAsia" w:ascii="宋体" w:hAnsi="宋体" w:cs="宋体"/>
          <w:b/>
          <w:sz w:val="28"/>
          <w:szCs w:val="28"/>
          <w:highlight w:val="none"/>
        </w:rPr>
        <w:t>拟投入本项目的人员情况</w:t>
      </w:r>
    </w:p>
    <w:tbl>
      <w:tblPr>
        <w:tblStyle w:val="28"/>
        <w:tblW w:w="9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1282"/>
        <w:gridCol w:w="2433"/>
        <w:gridCol w:w="1732"/>
        <w:gridCol w:w="2025"/>
      </w:tblGrid>
      <w:tr w14:paraId="7CE4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293" w:type="dxa"/>
            <w:vAlign w:val="center"/>
          </w:tcPr>
          <w:p w14:paraId="41B684D1">
            <w:pPr>
              <w:pStyle w:val="17"/>
              <w:spacing w:line="360" w:lineRule="auto"/>
              <w:rPr>
                <w:rFonts w:hAnsi="宋体" w:cs="宋体"/>
                <w:sz w:val="28"/>
                <w:szCs w:val="28"/>
                <w:highlight w:val="none"/>
              </w:rPr>
            </w:pPr>
            <w:r>
              <w:rPr>
                <w:rFonts w:hint="eastAsia" w:hAnsi="宋体" w:cs="宋体"/>
                <w:sz w:val="28"/>
                <w:szCs w:val="28"/>
                <w:highlight w:val="none"/>
              </w:rPr>
              <w:t>人员姓名</w:t>
            </w:r>
          </w:p>
        </w:tc>
        <w:tc>
          <w:tcPr>
            <w:tcW w:w="1282" w:type="dxa"/>
            <w:vAlign w:val="center"/>
          </w:tcPr>
          <w:p w14:paraId="44D3A67B">
            <w:pPr>
              <w:pStyle w:val="17"/>
              <w:spacing w:line="360" w:lineRule="auto"/>
              <w:rPr>
                <w:rFonts w:hAnsi="宋体" w:cs="宋体"/>
                <w:sz w:val="28"/>
                <w:szCs w:val="28"/>
                <w:highlight w:val="none"/>
              </w:rPr>
            </w:pPr>
            <w:r>
              <w:rPr>
                <w:rFonts w:hint="eastAsia" w:hAnsi="宋体" w:cs="宋体"/>
                <w:sz w:val="28"/>
                <w:szCs w:val="28"/>
                <w:highlight w:val="none"/>
              </w:rPr>
              <w:t>岗位</w:t>
            </w:r>
          </w:p>
        </w:tc>
        <w:tc>
          <w:tcPr>
            <w:tcW w:w="2433" w:type="dxa"/>
            <w:vAlign w:val="center"/>
          </w:tcPr>
          <w:p w14:paraId="686D0D01">
            <w:pPr>
              <w:pStyle w:val="17"/>
              <w:spacing w:line="360" w:lineRule="auto"/>
              <w:rPr>
                <w:rFonts w:hAnsi="宋体" w:cs="宋体"/>
                <w:sz w:val="28"/>
                <w:szCs w:val="28"/>
                <w:highlight w:val="none"/>
              </w:rPr>
            </w:pPr>
            <w:r>
              <w:rPr>
                <w:rFonts w:hint="eastAsia" w:hAnsi="宋体" w:cs="宋体"/>
                <w:sz w:val="28"/>
                <w:szCs w:val="28"/>
                <w:highlight w:val="none"/>
              </w:rPr>
              <w:t>专业工作年限</w:t>
            </w:r>
          </w:p>
        </w:tc>
        <w:tc>
          <w:tcPr>
            <w:tcW w:w="1732" w:type="dxa"/>
            <w:vAlign w:val="center"/>
          </w:tcPr>
          <w:p w14:paraId="21C9FF6A">
            <w:pPr>
              <w:pStyle w:val="17"/>
              <w:spacing w:line="360" w:lineRule="auto"/>
              <w:jc w:val="center"/>
              <w:rPr>
                <w:rFonts w:hAnsi="宋体" w:cs="宋体"/>
                <w:sz w:val="28"/>
                <w:szCs w:val="28"/>
                <w:highlight w:val="none"/>
              </w:rPr>
            </w:pPr>
            <w:r>
              <w:rPr>
                <w:rFonts w:hint="eastAsia" w:hAnsi="宋体" w:cs="宋体"/>
                <w:sz w:val="28"/>
                <w:szCs w:val="28"/>
                <w:highlight w:val="none"/>
              </w:rPr>
              <w:t>证书</w:t>
            </w:r>
          </w:p>
        </w:tc>
        <w:tc>
          <w:tcPr>
            <w:tcW w:w="2025" w:type="dxa"/>
            <w:vAlign w:val="center"/>
          </w:tcPr>
          <w:p w14:paraId="28D2B040">
            <w:pPr>
              <w:pStyle w:val="17"/>
              <w:spacing w:line="360" w:lineRule="auto"/>
              <w:rPr>
                <w:rFonts w:hAnsi="宋体" w:cs="宋体"/>
                <w:sz w:val="28"/>
                <w:szCs w:val="28"/>
                <w:highlight w:val="none"/>
              </w:rPr>
            </w:pPr>
            <w:r>
              <w:rPr>
                <w:rFonts w:hint="eastAsia" w:hAnsi="宋体" w:cs="宋体"/>
                <w:sz w:val="28"/>
                <w:szCs w:val="28"/>
                <w:highlight w:val="none"/>
              </w:rPr>
              <w:t>其他</w:t>
            </w:r>
          </w:p>
        </w:tc>
      </w:tr>
      <w:tr w14:paraId="1BD3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293" w:type="dxa"/>
            <w:vAlign w:val="center"/>
          </w:tcPr>
          <w:p w14:paraId="4DC6C638">
            <w:pPr>
              <w:pStyle w:val="17"/>
              <w:spacing w:line="360" w:lineRule="auto"/>
              <w:rPr>
                <w:rFonts w:hAnsi="宋体" w:cs="宋体"/>
                <w:sz w:val="28"/>
                <w:szCs w:val="28"/>
                <w:highlight w:val="none"/>
              </w:rPr>
            </w:pPr>
          </w:p>
        </w:tc>
        <w:tc>
          <w:tcPr>
            <w:tcW w:w="1282" w:type="dxa"/>
            <w:vAlign w:val="center"/>
          </w:tcPr>
          <w:p w14:paraId="192A38B1">
            <w:pPr>
              <w:pStyle w:val="17"/>
              <w:spacing w:line="360" w:lineRule="auto"/>
              <w:rPr>
                <w:rFonts w:hAnsi="宋体" w:cs="宋体"/>
                <w:sz w:val="28"/>
                <w:szCs w:val="28"/>
                <w:highlight w:val="none"/>
              </w:rPr>
            </w:pPr>
          </w:p>
        </w:tc>
        <w:tc>
          <w:tcPr>
            <w:tcW w:w="2433" w:type="dxa"/>
            <w:vAlign w:val="center"/>
          </w:tcPr>
          <w:p w14:paraId="241DA47F">
            <w:pPr>
              <w:pStyle w:val="17"/>
              <w:spacing w:line="360" w:lineRule="auto"/>
              <w:rPr>
                <w:rFonts w:hAnsi="宋体" w:cs="宋体"/>
                <w:sz w:val="28"/>
                <w:szCs w:val="28"/>
                <w:highlight w:val="none"/>
              </w:rPr>
            </w:pPr>
          </w:p>
        </w:tc>
        <w:tc>
          <w:tcPr>
            <w:tcW w:w="1732" w:type="dxa"/>
            <w:vAlign w:val="center"/>
          </w:tcPr>
          <w:p w14:paraId="2ED50699">
            <w:pPr>
              <w:pStyle w:val="17"/>
              <w:spacing w:line="360" w:lineRule="auto"/>
              <w:rPr>
                <w:rFonts w:hAnsi="宋体" w:cs="宋体"/>
                <w:sz w:val="28"/>
                <w:szCs w:val="28"/>
                <w:highlight w:val="none"/>
              </w:rPr>
            </w:pPr>
          </w:p>
        </w:tc>
        <w:tc>
          <w:tcPr>
            <w:tcW w:w="2025" w:type="dxa"/>
            <w:vAlign w:val="center"/>
          </w:tcPr>
          <w:p w14:paraId="0C214693">
            <w:pPr>
              <w:pStyle w:val="17"/>
              <w:spacing w:line="360" w:lineRule="auto"/>
              <w:rPr>
                <w:rFonts w:hAnsi="宋体" w:cs="宋体"/>
                <w:sz w:val="28"/>
                <w:szCs w:val="28"/>
                <w:highlight w:val="none"/>
              </w:rPr>
            </w:pPr>
          </w:p>
        </w:tc>
      </w:tr>
      <w:tr w14:paraId="3544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293" w:type="dxa"/>
            <w:vAlign w:val="center"/>
          </w:tcPr>
          <w:p w14:paraId="049EEF27">
            <w:pPr>
              <w:pStyle w:val="17"/>
              <w:spacing w:line="360" w:lineRule="auto"/>
              <w:rPr>
                <w:rFonts w:hAnsi="宋体" w:cs="宋体"/>
                <w:sz w:val="28"/>
                <w:szCs w:val="28"/>
                <w:highlight w:val="none"/>
              </w:rPr>
            </w:pPr>
          </w:p>
        </w:tc>
        <w:tc>
          <w:tcPr>
            <w:tcW w:w="1282" w:type="dxa"/>
            <w:vAlign w:val="center"/>
          </w:tcPr>
          <w:p w14:paraId="6C11958C">
            <w:pPr>
              <w:pStyle w:val="17"/>
              <w:spacing w:line="360" w:lineRule="auto"/>
              <w:rPr>
                <w:rFonts w:hAnsi="宋体" w:cs="宋体"/>
                <w:sz w:val="28"/>
                <w:szCs w:val="28"/>
                <w:highlight w:val="none"/>
              </w:rPr>
            </w:pPr>
          </w:p>
        </w:tc>
        <w:tc>
          <w:tcPr>
            <w:tcW w:w="2433" w:type="dxa"/>
            <w:vAlign w:val="center"/>
          </w:tcPr>
          <w:p w14:paraId="40A667F3">
            <w:pPr>
              <w:pStyle w:val="17"/>
              <w:spacing w:line="360" w:lineRule="auto"/>
              <w:rPr>
                <w:rFonts w:hAnsi="宋体" w:cs="宋体"/>
                <w:sz w:val="28"/>
                <w:szCs w:val="28"/>
                <w:highlight w:val="none"/>
              </w:rPr>
            </w:pPr>
          </w:p>
        </w:tc>
        <w:tc>
          <w:tcPr>
            <w:tcW w:w="1732" w:type="dxa"/>
            <w:vAlign w:val="center"/>
          </w:tcPr>
          <w:p w14:paraId="4F5B38DC">
            <w:pPr>
              <w:pStyle w:val="17"/>
              <w:spacing w:line="360" w:lineRule="auto"/>
              <w:rPr>
                <w:rFonts w:hAnsi="宋体" w:cs="宋体"/>
                <w:sz w:val="28"/>
                <w:szCs w:val="28"/>
                <w:highlight w:val="none"/>
              </w:rPr>
            </w:pPr>
          </w:p>
        </w:tc>
        <w:tc>
          <w:tcPr>
            <w:tcW w:w="2025" w:type="dxa"/>
            <w:vAlign w:val="center"/>
          </w:tcPr>
          <w:p w14:paraId="202B36C4">
            <w:pPr>
              <w:pStyle w:val="17"/>
              <w:spacing w:line="360" w:lineRule="auto"/>
              <w:rPr>
                <w:rFonts w:hAnsi="宋体" w:cs="宋体"/>
                <w:sz w:val="28"/>
                <w:szCs w:val="28"/>
                <w:highlight w:val="none"/>
              </w:rPr>
            </w:pPr>
          </w:p>
        </w:tc>
      </w:tr>
      <w:tr w14:paraId="362C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293" w:type="dxa"/>
            <w:vAlign w:val="center"/>
          </w:tcPr>
          <w:p w14:paraId="3A48D005">
            <w:pPr>
              <w:pStyle w:val="17"/>
              <w:spacing w:line="360" w:lineRule="auto"/>
              <w:rPr>
                <w:rFonts w:hAnsi="宋体" w:cs="宋体"/>
                <w:sz w:val="28"/>
                <w:szCs w:val="28"/>
                <w:highlight w:val="none"/>
              </w:rPr>
            </w:pPr>
          </w:p>
        </w:tc>
        <w:tc>
          <w:tcPr>
            <w:tcW w:w="1282" w:type="dxa"/>
            <w:vAlign w:val="center"/>
          </w:tcPr>
          <w:p w14:paraId="1BF45C3A">
            <w:pPr>
              <w:pStyle w:val="17"/>
              <w:spacing w:line="360" w:lineRule="auto"/>
              <w:rPr>
                <w:rFonts w:hAnsi="宋体" w:cs="宋体"/>
                <w:sz w:val="28"/>
                <w:szCs w:val="28"/>
                <w:highlight w:val="none"/>
              </w:rPr>
            </w:pPr>
          </w:p>
        </w:tc>
        <w:tc>
          <w:tcPr>
            <w:tcW w:w="2433" w:type="dxa"/>
            <w:vAlign w:val="center"/>
          </w:tcPr>
          <w:p w14:paraId="09ED19E2">
            <w:pPr>
              <w:pStyle w:val="17"/>
              <w:spacing w:line="360" w:lineRule="auto"/>
              <w:rPr>
                <w:rFonts w:hAnsi="宋体" w:cs="宋体"/>
                <w:sz w:val="28"/>
                <w:szCs w:val="28"/>
                <w:highlight w:val="none"/>
              </w:rPr>
            </w:pPr>
          </w:p>
        </w:tc>
        <w:tc>
          <w:tcPr>
            <w:tcW w:w="1732" w:type="dxa"/>
            <w:vAlign w:val="center"/>
          </w:tcPr>
          <w:p w14:paraId="3A90B09A">
            <w:pPr>
              <w:pStyle w:val="17"/>
              <w:spacing w:line="360" w:lineRule="auto"/>
              <w:rPr>
                <w:rFonts w:hAnsi="宋体" w:cs="宋体"/>
                <w:sz w:val="28"/>
                <w:szCs w:val="28"/>
                <w:highlight w:val="none"/>
              </w:rPr>
            </w:pPr>
          </w:p>
        </w:tc>
        <w:tc>
          <w:tcPr>
            <w:tcW w:w="2025" w:type="dxa"/>
            <w:vAlign w:val="center"/>
          </w:tcPr>
          <w:p w14:paraId="07DCD837">
            <w:pPr>
              <w:pStyle w:val="17"/>
              <w:spacing w:line="360" w:lineRule="auto"/>
              <w:rPr>
                <w:rFonts w:hAnsi="宋体" w:cs="宋体"/>
                <w:sz w:val="28"/>
                <w:szCs w:val="28"/>
                <w:highlight w:val="none"/>
              </w:rPr>
            </w:pPr>
          </w:p>
        </w:tc>
      </w:tr>
      <w:tr w14:paraId="5D6B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293" w:type="dxa"/>
            <w:vAlign w:val="center"/>
          </w:tcPr>
          <w:p w14:paraId="182B9C7E">
            <w:pPr>
              <w:pStyle w:val="17"/>
              <w:spacing w:line="360" w:lineRule="auto"/>
              <w:rPr>
                <w:rFonts w:hAnsi="宋体" w:cs="宋体"/>
                <w:sz w:val="28"/>
                <w:szCs w:val="28"/>
                <w:highlight w:val="none"/>
              </w:rPr>
            </w:pPr>
          </w:p>
        </w:tc>
        <w:tc>
          <w:tcPr>
            <w:tcW w:w="1282" w:type="dxa"/>
            <w:vAlign w:val="center"/>
          </w:tcPr>
          <w:p w14:paraId="2933CDED">
            <w:pPr>
              <w:pStyle w:val="17"/>
              <w:spacing w:line="360" w:lineRule="auto"/>
              <w:rPr>
                <w:rFonts w:hAnsi="宋体" w:cs="宋体"/>
                <w:sz w:val="28"/>
                <w:szCs w:val="28"/>
                <w:highlight w:val="none"/>
              </w:rPr>
            </w:pPr>
          </w:p>
        </w:tc>
        <w:tc>
          <w:tcPr>
            <w:tcW w:w="2433" w:type="dxa"/>
            <w:vAlign w:val="center"/>
          </w:tcPr>
          <w:p w14:paraId="0CE0A3EC">
            <w:pPr>
              <w:pStyle w:val="17"/>
              <w:spacing w:line="360" w:lineRule="auto"/>
              <w:rPr>
                <w:rFonts w:hAnsi="宋体" w:cs="宋体"/>
                <w:sz w:val="28"/>
                <w:szCs w:val="28"/>
                <w:highlight w:val="none"/>
              </w:rPr>
            </w:pPr>
          </w:p>
        </w:tc>
        <w:tc>
          <w:tcPr>
            <w:tcW w:w="1732" w:type="dxa"/>
            <w:vAlign w:val="center"/>
          </w:tcPr>
          <w:p w14:paraId="5EE8EAE7">
            <w:pPr>
              <w:pStyle w:val="17"/>
              <w:spacing w:line="360" w:lineRule="auto"/>
              <w:rPr>
                <w:rFonts w:hAnsi="宋体" w:cs="宋体"/>
                <w:sz w:val="28"/>
                <w:szCs w:val="28"/>
                <w:highlight w:val="none"/>
              </w:rPr>
            </w:pPr>
          </w:p>
        </w:tc>
        <w:tc>
          <w:tcPr>
            <w:tcW w:w="2025" w:type="dxa"/>
            <w:vAlign w:val="center"/>
          </w:tcPr>
          <w:p w14:paraId="7604B24C">
            <w:pPr>
              <w:pStyle w:val="17"/>
              <w:spacing w:line="360" w:lineRule="auto"/>
              <w:rPr>
                <w:rFonts w:hAnsi="宋体" w:cs="宋体"/>
                <w:sz w:val="28"/>
                <w:szCs w:val="28"/>
                <w:highlight w:val="none"/>
              </w:rPr>
            </w:pPr>
          </w:p>
        </w:tc>
      </w:tr>
      <w:tr w14:paraId="4702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293" w:type="dxa"/>
            <w:vAlign w:val="center"/>
          </w:tcPr>
          <w:p w14:paraId="45DE9346">
            <w:pPr>
              <w:pStyle w:val="17"/>
              <w:spacing w:line="360" w:lineRule="auto"/>
              <w:rPr>
                <w:rFonts w:hAnsi="宋体" w:cs="宋体"/>
                <w:sz w:val="28"/>
                <w:szCs w:val="28"/>
                <w:highlight w:val="none"/>
              </w:rPr>
            </w:pPr>
          </w:p>
        </w:tc>
        <w:tc>
          <w:tcPr>
            <w:tcW w:w="1282" w:type="dxa"/>
            <w:vAlign w:val="center"/>
          </w:tcPr>
          <w:p w14:paraId="3784850F">
            <w:pPr>
              <w:pStyle w:val="17"/>
              <w:spacing w:line="360" w:lineRule="auto"/>
              <w:rPr>
                <w:rFonts w:hAnsi="宋体" w:cs="宋体"/>
                <w:sz w:val="28"/>
                <w:szCs w:val="28"/>
                <w:highlight w:val="none"/>
              </w:rPr>
            </w:pPr>
          </w:p>
        </w:tc>
        <w:tc>
          <w:tcPr>
            <w:tcW w:w="2433" w:type="dxa"/>
            <w:vAlign w:val="center"/>
          </w:tcPr>
          <w:p w14:paraId="22FD6012">
            <w:pPr>
              <w:pStyle w:val="17"/>
              <w:spacing w:line="360" w:lineRule="auto"/>
              <w:rPr>
                <w:rFonts w:hAnsi="宋体" w:cs="宋体"/>
                <w:sz w:val="28"/>
                <w:szCs w:val="28"/>
                <w:highlight w:val="none"/>
              </w:rPr>
            </w:pPr>
          </w:p>
        </w:tc>
        <w:tc>
          <w:tcPr>
            <w:tcW w:w="1732" w:type="dxa"/>
            <w:vAlign w:val="center"/>
          </w:tcPr>
          <w:p w14:paraId="5D91389F">
            <w:pPr>
              <w:pStyle w:val="17"/>
              <w:spacing w:line="360" w:lineRule="auto"/>
              <w:rPr>
                <w:rFonts w:hAnsi="宋体" w:cs="宋体"/>
                <w:sz w:val="28"/>
                <w:szCs w:val="28"/>
                <w:highlight w:val="none"/>
              </w:rPr>
            </w:pPr>
          </w:p>
        </w:tc>
        <w:tc>
          <w:tcPr>
            <w:tcW w:w="2025" w:type="dxa"/>
            <w:vAlign w:val="center"/>
          </w:tcPr>
          <w:p w14:paraId="30840877">
            <w:pPr>
              <w:pStyle w:val="17"/>
              <w:spacing w:line="360" w:lineRule="auto"/>
              <w:rPr>
                <w:rFonts w:hAnsi="宋体" w:cs="宋体"/>
                <w:sz w:val="28"/>
                <w:szCs w:val="28"/>
                <w:highlight w:val="none"/>
              </w:rPr>
            </w:pPr>
          </w:p>
        </w:tc>
      </w:tr>
      <w:tr w14:paraId="731B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293" w:type="dxa"/>
            <w:vAlign w:val="center"/>
          </w:tcPr>
          <w:p w14:paraId="16E5818A">
            <w:pPr>
              <w:pStyle w:val="17"/>
              <w:spacing w:line="360" w:lineRule="auto"/>
              <w:rPr>
                <w:rFonts w:hAnsi="宋体" w:cs="宋体"/>
                <w:sz w:val="28"/>
                <w:szCs w:val="28"/>
                <w:highlight w:val="none"/>
              </w:rPr>
            </w:pPr>
          </w:p>
        </w:tc>
        <w:tc>
          <w:tcPr>
            <w:tcW w:w="1282" w:type="dxa"/>
            <w:vAlign w:val="center"/>
          </w:tcPr>
          <w:p w14:paraId="49A79E02">
            <w:pPr>
              <w:pStyle w:val="17"/>
              <w:spacing w:line="360" w:lineRule="auto"/>
              <w:rPr>
                <w:rFonts w:hAnsi="宋体" w:cs="宋体"/>
                <w:sz w:val="28"/>
                <w:szCs w:val="28"/>
                <w:highlight w:val="none"/>
              </w:rPr>
            </w:pPr>
          </w:p>
        </w:tc>
        <w:tc>
          <w:tcPr>
            <w:tcW w:w="2433" w:type="dxa"/>
            <w:vAlign w:val="center"/>
          </w:tcPr>
          <w:p w14:paraId="27218823">
            <w:pPr>
              <w:pStyle w:val="17"/>
              <w:spacing w:line="360" w:lineRule="auto"/>
              <w:rPr>
                <w:rFonts w:hAnsi="宋体" w:cs="宋体"/>
                <w:sz w:val="28"/>
                <w:szCs w:val="28"/>
                <w:highlight w:val="none"/>
              </w:rPr>
            </w:pPr>
          </w:p>
        </w:tc>
        <w:tc>
          <w:tcPr>
            <w:tcW w:w="1732" w:type="dxa"/>
            <w:vAlign w:val="center"/>
          </w:tcPr>
          <w:p w14:paraId="325938F4">
            <w:pPr>
              <w:pStyle w:val="17"/>
              <w:spacing w:line="360" w:lineRule="auto"/>
              <w:rPr>
                <w:rFonts w:hAnsi="宋体" w:cs="宋体"/>
                <w:sz w:val="28"/>
                <w:szCs w:val="28"/>
                <w:highlight w:val="none"/>
              </w:rPr>
            </w:pPr>
          </w:p>
        </w:tc>
        <w:tc>
          <w:tcPr>
            <w:tcW w:w="2025" w:type="dxa"/>
            <w:vAlign w:val="center"/>
          </w:tcPr>
          <w:p w14:paraId="342B2FFB">
            <w:pPr>
              <w:pStyle w:val="17"/>
              <w:spacing w:line="360" w:lineRule="auto"/>
              <w:rPr>
                <w:rFonts w:hAnsi="宋体" w:cs="宋体"/>
                <w:sz w:val="28"/>
                <w:szCs w:val="28"/>
                <w:highlight w:val="none"/>
              </w:rPr>
            </w:pPr>
          </w:p>
        </w:tc>
      </w:tr>
      <w:tr w14:paraId="5320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93" w:type="dxa"/>
            <w:vAlign w:val="center"/>
          </w:tcPr>
          <w:p w14:paraId="5F450F37">
            <w:pPr>
              <w:pStyle w:val="17"/>
              <w:spacing w:line="360" w:lineRule="auto"/>
              <w:rPr>
                <w:rFonts w:hAnsi="宋体" w:cs="宋体"/>
                <w:sz w:val="28"/>
                <w:szCs w:val="28"/>
                <w:highlight w:val="none"/>
              </w:rPr>
            </w:pPr>
          </w:p>
        </w:tc>
        <w:tc>
          <w:tcPr>
            <w:tcW w:w="1282" w:type="dxa"/>
            <w:vAlign w:val="center"/>
          </w:tcPr>
          <w:p w14:paraId="42522CD2">
            <w:pPr>
              <w:pStyle w:val="17"/>
              <w:spacing w:line="360" w:lineRule="auto"/>
              <w:rPr>
                <w:rFonts w:hAnsi="宋体" w:cs="宋体"/>
                <w:sz w:val="28"/>
                <w:szCs w:val="28"/>
                <w:highlight w:val="none"/>
              </w:rPr>
            </w:pPr>
          </w:p>
        </w:tc>
        <w:tc>
          <w:tcPr>
            <w:tcW w:w="2433" w:type="dxa"/>
            <w:vAlign w:val="center"/>
          </w:tcPr>
          <w:p w14:paraId="3BB6BECF">
            <w:pPr>
              <w:pStyle w:val="17"/>
              <w:spacing w:line="360" w:lineRule="auto"/>
              <w:rPr>
                <w:rFonts w:hAnsi="宋体" w:cs="宋体"/>
                <w:sz w:val="28"/>
                <w:szCs w:val="28"/>
                <w:highlight w:val="none"/>
              </w:rPr>
            </w:pPr>
          </w:p>
        </w:tc>
        <w:tc>
          <w:tcPr>
            <w:tcW w:w="1732" w:type="dxa"/>
            <w:vAlign w:val="center"/>
          </w:tcPr>
          <w:p w14:paraId="1DDA0D4F">
            <w:pPr>
              <w:pStyle w:val="17"/>
              <w:spacing w:line="360" w:lineRule="auto"/>
              <w:rPr>
                <w:rFonts w:hAnsi="宋体" w:cs="宋体"/>
                <w:sz w:val="28"/>
                <w:szCs w:val="28"/>
                <w:highlight w:val="none"/>
              </w:rPr>
            </w:pPr>
          </w:p>
        </w:tc>
        <w:tc>
          <w:tcPr>
            <w:tcW w:w="2025" w:type="dxa"/>
            <w:vAlign w:val="center"/>
          </w:tcPr>
          <w:p w14:paraId="0F93F6EB">
            <w:pPr>
              <w:pStyle w:val="17"/>
              <w:spacing w:line="360" w:lineRule="auto"/>
              <w:rPr>
                <w:rFonts w:hAnsi="宋体" w:cs="宋体"/>
                <w:sz w:val="28"/>
                <w:szCs w:val="28"/>
                <w:highlight w:val="none"/>
              </w:rPr>
            </w:pPr>
          </w:p>
        </w:tc>
      </w:tr>
      <w:tr w14:paraId="05AA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93" w:type="dxa"/>
            <w:vAlign w:val="center"/>
          </w:tcPr>
          <w:p w14:paraId="078D0DC5">
            <w:pPr>
              <w:pStyle w:val="17"/>
              <w:spacing w:line="360" w:lineRule="auto"/>
              <w:rPr>
                <w:rFonts w:hAnsi="宋体" w:cs="宋体"/>
                <w:sz w:val="28"/>
                <w:szCs w:val="28"/>
                <w:highlight w:val="none"/>
              </w:rPr>
            </w:pPr>
          </w:p>
        </w:tc>
        <w:tc>
          <w:tcPr>
            <w:tcW w:w="1282" w:type="dxa"/>
            <w:vAlign w:val="center"/>
          </w:tcPr>
          <w:p w14:paraId="5D76E847">
            <w:pPr>
              <w:pStyle w:val="17"/>
              <w:spacing w:line="360" w:lineRule="auto"/>
              <w:rPr>
                <w:rFonts w:hAnsi="宋体" w:cs="宋体"/>
                <w:sz w:val="28"/>
                <w:szCs w:val="28"/>
                <w:highlight w:val="none"/>
              </w:rPr>
            </w:pPr>
          </w:p>
        </w:tc>
        <w:tc>
          <w:tcPr>
            <w:tcW w:w="2433" w:type="dxa"/>
            <w:vAlign w:val="center"/>
          </w:tcPr>
          <w:p w14:paraId="19B88446">
            <w:pPr>
              <w:pStyle w:val="17"/>
              <w:spacing w:line="360" w:lineRule="auto"/>
              <w:rPr>
                <w:rFonts w:hAnsi="宋体" w:cs="宋体"/>
                <w:sz w:val="28"/>
                <w:szCs w:val="28"/>
                <w:highlight w:val="none"/>
              </w:rPr>
            </w:pPr>
          </w:p>
        </w:tc>
        <w:tc>
          <w:tcPr>
            <w:tcW w:w="1732" w:type="dxa"/>
            <w:vAlign w:val="center"/>
          </w:tcPr>
          <w:p w14:paraId="61934D7D">
            <w:pPr>
              <w:pStyle w:val="17"/>
              <w:spacing w:line="360" w:lineRule="auto"/>
              <w:rPr>
                <w:rFonts w:hAnsi="宋体" w:cs="宋体"/>
                <w:sz w:val="28"/>
                <w:szCs w:val="28"/>
                <w:highlight w:val="none"/>
              </w:rPr>
            </w:pPr>
          </w:p>
        </w:tc>
        <w:tc>
          <w:tcPr>
            <w:tcW w:w="2025" w:type="dxa"/>
            <w:vAlign w:val="center"/>
          </w:tcPr>
          <w:p w14:paraId="261EE9F1">
            <w:pPr>
              <w:pStyle w:val="17"/>
              <w:spacing w:line="360" w:lineRule="auto"/>
              <w:rPr>
                <w:rFonts w:hAnsi="宋体" w:cs="宋体"/>
                <w:sz w:val="28"/>
                <w:szCs w:val="28"/>
                <w:highlight w:val="none"/>
              </w:rPr>
            </w:pPr>
          </w:p>
        </w:tc>
      </w:tr>
      <w:tr w14:paraId="4D07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293" w:type="dxa"/>
            <w:vAlign w:val="center"/>
          </w:tcPr>
          <w:p w14:paraId="76175C86">
            <w:pPr>
              <w:pStyle w:val="17"/>
              <w:spacing w:line="360" w:lineRule="auto"/>
              <w:rPr>
                <w:rFonts w:hAnsi="宋体" w:cs="宋体"/>
                <w:sz w:val="28"/>
                <w:szCs w:val="28"/>
                <w:highlight w:val="none"/>
              </w:rPr>
            </w:pPr>
          </w:p>
        </w:tc>
        <w:tc>
          <w:tcPr>
            <w:tcW w:w="1282" w:type="dxa"/>
            <w:vAlign w:val="center"/>
          </w:tcPr>
          <w:p w14:paraId="508A2849">
            <w:pPr>
              <w:pStyle w:val="17"/>
              <w:spacing w:line="360" w:lineRule="auto"/>
              <w:rPr>
                <w:rFonts w:hAnsi="宋体" w:cs="宋体"/>
                <w:sz w:val="28"/>
                <w:szCs w:val="28"/>
                <w:highlight w:val="none"/>
              </w:rPr>
            </w:pPr>
          </w:p>
        </w:tc>
        <w:tc>
          <w:tcPr>
            <w:tcW w:w="2433" w:type="dxa"/>
            <w:vAlign w:val="center"/>
          </w:tcPr>
          <w:p w14:paraId="38C71E7A">
            <w:pPr>
              <w:pStyle w:val="17"/>
              <w:spacing w:line="360" w:lineRule="auto"/>
              <w:rPr>
                <w:rFonts w:hAnsi="宋体" w:cs="宋体"/>
                <w:sz w:val="28"/>
                <w:szCs w:val="28"/>
                <w:highlight w:val="none"/>
              </w:rPr>
            </w:pPr>
          </w:p>
        </w:tc>
        <w:tc>
          <w:tcPr>
            <w:tcW w:w="1732" w:type="dxa"/>
            <w:vAlign w:val="center"/>
          </w:tcPr>
          <w:p w14:paraId="053F11D6">
            <w:pPr>
              <w:pStyle w:val="17"/>
              <w:spacing w:line="360" w:lineRule="auto"/>
              <w:rPr>
                <w:rFonts w:hAnsi="宋体" w:cs="宋体"/>
                <w:sz w:val="28"/>
                <w:szCs w:val="28"/>
                <w:highlight w:val="none"/>
              </w:rPr>
            </w:pPr>
          </w:p>
        </w:tc>
        <w:tc>
          <w:tcPr>
            <w:tcW w:w="2025" w:type="dxa"/>
            <w:vAlign w:val="center"/>
          </w:tcPr>
          <w:p w14:paraId="6239C6B5">
            <w:pPr>
              <w:pStyle w:val="17"/>
              <w:spacing w:line="360" w:lineRule="auto"/>
              <w:rPr>
                <w:rFonts w:hAnsi="宋体" w:cs="宋体"/>
                <w:sz w:val="28"/>
                <w:szCs w:val="28"/>
                <w:highlight w:val="none"/>
              </w:rPr>
            </w:pPr>
          </w:p>
        </w:tc>
      </w:tr>
    </w:tbl>
    <w:p w14:paraId="2C9E98A8">
      <w:pPr>
        <w:spacing w:before="240" w:after="60" w:line="360" w:lineRule="auto"/>
        <w:rPr>
          <w:rFonts w:ascii="宋体" w:hAnsi="宋体" w:cs="宋体"/>
          <w:sz w:val="24"/>
          <w:highlight w:val="none"/>
        </w:rPr>
      </w:pPr>
      <w:r>
        <w:rPr>
          <w:rFonts w:hint="eastAsia" w:ascii="宋体" w:hAnsi="宋体" w:cs="宋体"/>
          <w:sz w:val="24"/>
          <w:highlight w:val="none"/>
        </w:rPr>
        <w:t>注：后附材料详见详细评审。</w:t>
      </w:r>
    </w:p>
    <w:p w14:paraId="61A2B98F">
      <w:pPr>
        <w:spacing w:before="240" w:after="60" w:line="360" w:lineRule="auto"/>
        <w:ind w:firstLine="510"/>
        <w:rPr>
          <w:rFonts w:ascii="宋体" w:hAnsi="宋体" w:cs="宋体"/>
          <w:sz w:val="24"/>
          <w:highlight w:val="none"/>
        </w:rPr>
      </w:pPr>
      <w:r>
        <w:rPr>
          <w:rFonts w:hint="eastAsia" w:ascii="宋体" w:hAnsi="宋体" w:cs="宋体"/>
          <w:sz w:val="24"/>
          <w:highlight w:val="none"/>
        </w:rPr>
        <w:t>投标人全称（公章）：</w:t>
      </w:r>
      <w:r>
        <w:rPr>
          <w:rFonts w:hint="eastAsia" w:ascii="宋体" w:hAnsi="宋体" w:cs="宋体"/>
          <w:sz w:val="24"/>
          <w:highlight w:val="none"/>
          <w:u w:val="single"/>
        </w:rPr>
        <w:t xml:space="preserve">                          </w:t>
      </w:r>
    </w:p>
    <w:p w14:paraId="071473AC">
      <w:pPr>
        <w:spacing w:before="240" w:after="60" w:line="360" w:lineRule="auto"/>
        <w:ind w:firstLine="510"/>
        <w:rPr>
          <w:rFonts w:ascii="宋体" w:hAnsi="宋体" w:cs="宋体"/>
          <w:sz w:val="24"/>
          <w:highlight w:val="none"/>
          <w:u w:val="single"/>
        </w:rPr>
      </w:pPr>
      <w:r>
        <w:rPr>
          <w:rFonts w:hint="eastAsia" w:ascii="宋体" w:hAnsi="宋体" w:cs="宋体"/>
          <w:sz w:val="24"/>
          <w:highlight w:val="none"/>
        </w:rPr>
        <w:t>法定代表人或授权委托人（签字或盖章）：</w:t>
      </w:r>
      <w:r>
        <w:rPr>
          <w:rFonts w:hint="eastAsia" w:ascii="宋体" w:hAnsi="宋体" w:cs="宋体"/>
          <w:sz w:val="24"/>
          <w:highlight w:val="none"/>
          <w:u w:val="single"/>
        </w:rPr>
        <w:t xml:space="preserve">                </w:t>
      </w:r>
    </w:p>
    <w:p w14:paraId="00C48918">
      <w:pPr>
        <w:spacing w:before="240" w:after="60" w:line="360" w:lineRule="auto"/>
        <w:ind w:firstLine="510"/>
        <w:rPr>
          <w:rFonts w:ascii="宋体" w:hAnsi="宋体" w:cs="宋体"/>
          <w:sz w:val="28"/>
          <w:szCs w:val="28"/>
          <w:highlight w:val="none"/>
        </w:rPr>
      </w:pPr>
      <w:r>
        <w:rPr>
          <w:rFonts w:hint="eastAsia" w:ascii="宋体" w:hAnsi="宋体" w:cs="宋体"/>
          <w:sz w:val="24"/>
          <w:highlight w:val="none"/>
        </w:rPr>
        <w:t>日期：________年_____月_____日</w:t>
      </w:r>
    </w:p>
    <w:p w14:paraId="3A5D1C5B">
      <w:pPr>
        <w:pStyle w:val="4"/>
        <w:adjustRightInd w:val="0"/>
        <w:snapToGrid w:val="0"/>
        <w:spacing w:line="240" w:lineRule="auto"/>
        <w:jc w:val="left"/>
        <w:rPr>
          <w:rFonts w:ascii="宋体" w:hAnsi="宋体" w:cs="宋体"/>
          <w:b w:val="0"/>
          <w:bCs w:val="0"/>
          <w:sz w:val="28"/>
          <w:szCs w:val="28"/>
          <w:highlight w:val="none"/>
        </w:rPr>
      </w:pPr>
    </w:p>
    <w:p w14:paraId="03F92D83">
      <w:pPr>
        <w:pStyle w:val="4"/>
        <w:adjustRightInd w:val="0"/>
        <w:snapToGrid w:val="0"/>
        <w:spacing w:line="240" w:lineRule="auto"/>
        <w:jc w:val="left"/>
        <w:rPr>
          <w:rFonts w:ascii="宋体" w:hAnsi="宋体" w:cs="宋体"/>
          <w:sz w:val="28"/>
          <w:szCs w:val="28"/>
          <w:highlight w:val="none"/>
        </w:rPr>
      </w:pPr>
    </w:p>
    <w:p w14:paraId="197EB5ED">
      <w:pPr>
        <w:pStyle w:val="4"/>
        <w:adjustRightInd w:val="0"/>
        <w:snapToGrid w:val="0"/>
        <w:spacing w:line="240" w:lineRule="auto"/>
        <w:jc w:val="left"/>
        <w:rPr>
          <w:rFonts w:ascii="宋体" w:hAnsi="宋体" w:cs="宋体"/>
          <w:sz w:val="28"/>
          <w:szCs w:val="28"/>
          <w:highlight w:val="none"/>
        </w:rPr>
      </w:pPr>
    </w:p>
    <w:p w14:paraId="7FDE1EE8">
      <w:pPr>
        <w:pStyle w:val="4"/>
        <w:adjustRightInd w:val="0"/>
        <w:snapToGrid w:val="0"/>
        <w:spacing w:line="240" w:lineRule="auto"/>
        <w:jc w:val="left"/>
        <w:rPr>
          <w:rFonts w:ascii="宋体" w:hAnsi="宋体" w:cs="宋体"/>
          <w:sz w:val="28"/>
          <w:szCs w:val="28"/>
          <w:highlight w:val="none"/>
        </w:rPr>
      </w:pPr>
    </w:p>
    <w:p w14:paraId="1EC587D1">
      <w:pPr>
        <w:pStyle w:val="4"/>
        <w:adjustRightInd w:val="0"/>
        <w:snapToGrid w:val="0"/>
        <w:spacing w:line="240" w:lineRule="auto"/>
        <w:jc w:val="left"/>
        <w:rPr>
          <w:rFonts w:ascii="宋体" w:hAnsi="宋体" w:cs="宋体"/>
          <w:sz w:val="28"/>
          <w:szCs w:val="28"/>
          <w:highlight w:val="none"/>
        </w:rPr>
      </w:pPr>
    </w:p>
    <w:bookmarkEnd w:id="372"/>
    <w:bookmarkEnd w:id="373"/>
    <w:bookmarkEnd w:id="374"/>
    <w:bookmarkEnd w:id="375"/>
    <w:bookmarkEnd w:id="376"/>
    <w:bookmarkEnd w:id="377"/>
    <w:p w14:paraId="5AA4402E">
      <w:pPr>
        <w:pStyle w:val="27"/>
        <w:ind w:firstLine="753"/>
        <w:rPr>
          <w:rFonts w:ascii="仿宋_GB2312" w:hAnsi="仿宋_GB2312" w:eastAsia="仿宋_GB2312" w:cs="仿宋_GB2312"/>
          <w:highlight w:val="none"/>
        </w:rPr>
      </w:pPr>
    </w:p>
    <w:p w14:paraId="025F6E7F">
      <w:pPr>
        <w:rPr>
          <w:rFonts w:ascii="仿宋_GB2312" w:hAnsi="仿宋_GB2312" w:eastAsia="仿宋_GB2312" w:cs="仿宋_GB2312"/>
          <w:szCs w:val="28"/>
          <w:highlight w:val="none"/>
        </w:rPr>
      </w:pPr>
      <w:r>
        <w:rPr>
          <w:rFonts w:hint="eastAsia" w:ascii="仿宋_GB2312" w:hAnsi="仿宋_GB2312" w:eastAsia="仿宋_GB2312" w:cs="仿宋_GB2312"/>
          <w:szCs w:val="28"/>
          <w:highlight w:val="none"/>
        </w:rPr>
        <w:br w:type="page"/>
      </w:r>
    </w:p>
    <w:p w14:paraId="14DE51E4">
      <w:pPr>
        <w:spacing w:line="360" w:lineRule="auto"/>
        <w:ind w:firstLine="480" w:firstLineChars="200"/>
        <w:rPr>
          <w:rFonts w:ascii="宋体" w:hAnsi="宋体" w:cs="宋体"/>
          <w:sz w:val="24"/>
          <w:highlight w:val="none"/>
        </w:rPr>
      </w:pPr>
    </w:p>
    <w:p w14:paraId="03CD561E">
      <w:pPr>
        <w:pStyle w:val="5"/>
        <w:spacing w:line="360" w:lineRule="auto"/>
        <w:rPr>
          <w:rFonts w:ascii="宋体" w:hAnsi="宋体" w:cs="宋体"/>
          <w:sz w:val="28"/>
          <w:szCs w:val="28"/>
          <w:highlight w:val="none"/>
        </w:rPr>
      </w:pPr>
      <w:bookmarkStart w:id="381" w:name="_Toc15944"/>
      <w:bookmarkStart w:id="382" w:name="_Toc32458"/>
      <w:r>
        <w:rPr>
          <w:rFonts w:hint="eastAsia" w:ascii="宋体" w:hAnsi="宋体" w:cs="宋体"/>
          <w:sz w:val="28"/>
          <w:szCs w:val="28"/>
          <w:highlight w:val="none"/>
        </w:rPr>
        <w:t>2、2022年1月1日至今类似业绩（如有）</w:t>
      </w:r>
      <w:bookmarkEnd w:id="381"/>
      <w:bookmarkEnd w:id="382"/>
    </w:p>
    <w:p w14:paraId="31E7AE44">
      <w:pPr>
        <w:spacing w:line="360" w:lineRule="auto"/>
        <w:rPr>
          <w:rFonts w:ascii="宋体" w:hAnsi="宋体" w:cs="宋体"/>
          <w:b/>
          <w:sz w:val="24"/>
          <w:highlight w:val="none"/>
        </w:rPr>
      </w:pPr>
    </w:p>
    <w:p w14:paraId="6319C0A6">
      <w:pPr>
        <w:numPr>
          <w:ilvl w:val="0"/>
          <w:numId w:val="0"/>
        </w:numPr>
        <w:spacing w:line="360" w:lineRule="auto"/>
        <w:rPr>
          <w:rFonts w:ascii="宋体" w:hAnsi="宋体" w:cs="宋体"/>
          <w:b/>
          <w:sz w:val="24"/>
          <w:highlight w:val="none"/>
        </w:rPr>
      </w:pPr>
      <w:r>
        <w:rPr>
          <w:rFonts w:hint="eastAsia" w:ascii="宋体" w:hAnsi="宋体" w:cs="宋体"/>
          <w:b/>
          <w:sz w:val="24"/>
          <w:highlight w:val="none"/>
        </w:rPr>
        <w:t>投标人提供2022年1月1日至开标前类似业绩。(具有类似项目海洋仪器设备研发或集成，海洋生物生态调查监测、遥感监测，浒苔治理研究，海洋数值模拟预报相关业绩。注：须提供项目合同原件的电子扫描件并加盖公章，承揽时间以合同签署时间为准。)</w:t>
      </w:r>
    </w:p>
    <w:p w14:paraId="632D3CED">
      <w:pPr>
        <w:pStyle w:val="5"/>
        <w:spacing w:line="360" w:lineRule="auto"/>
        <w:rPr>
          <w:rFonts w:hint="eastAsia" w:ascii="宋体" w:hAnsi="宋体" w:cs="宋体"/>
          <w:sz w:val="28"/>
          <w:szCs w:val="28"/>
          <w:highlight w:val="none"/>
          <w:lang w:val="en-US" w:eastAsia="zh-CN"/>
        </w:rPr>
      </w:pPr>
    </w:p>
    <w:p w14:paraId="2AF3425F">
      <w:pPr>
        <w:pStyle w:val="5"/>
        <w:numPr>
          <w:ilvl w:val="0"/>
          <w:numId w:val="7"/>
        </w:numPr>
        <w:spacing w:line="360" w:lineRule="auto"/>
        <w:ind w:left="390" w:leftChars="0" w:hanging="390" w:firstLineChars="0"/>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认证证书（如有）</w:t>
      </w:r>
    </w:p>
    <w:p w14:paraId="4603C989">
      <w:pPr>
        <w:pStyle w:val="5"/>
        <w:numPr>
          <w:numId w:val="0"/>
        </w:numPr>
        <w:spacing w:line="360" w:lineRule="auto"/>
        <w:ind w:leftChars="0"/>
        <w:rPr>
          <w:rFonts w:hint="eastAsia" w:ascii="宋体" w:hAnsi="宋体" w:eastAsia="宋体" w:cs="宋体"/>
          <w:b/>
          <w:bCs w:val="0"/>
          <w:kern w:val="2"/>
          <w:sz w:val="24"/>
          <w:szCs w:val="20"/>
          <w:highlight w:val="none"/>
          <w:lang w:val="en-US" w:eastAsia="zh-CN" w:bidi="ar-SA"/>
        </w:rPr>
        <w:sectPr>
          <w:headerReference r:id="rId16" w:type="default"/>
          <w:pgSz w:w="11906" w:h="16838"/>
          <w:pgMar w:top="1134" w:right="1134" w:bottom="992" w:left="1134" w:header="454" w:footer="454" w:gutter="0"/>
          <w:cols w:space="0" w:num="1"/>
          <w:docGrid w:linePitch="312" w:charSpace="0"/>
        </w:sectPr>
      </w:pPr>
      <w:r>
        <w:rPr>
          <w:rFonts w:hint="eastAsia" w:ascii="宋体" w:hAnsi="宋体" w:eastAsia="宋体" w:cs="宋体"/>
          <w:b/>
          <w:bCs w:val="0"/>
          <w:kern w:val="2"/>
          <w:sz w:val="24"/>
          <w:szCs w:val="20"/>
          <w:highlight w:val="none"/>
          <w:lang w:val="en-US" w:eastAsia="zh-CN" w:bidi="ar-SA"/>
        </w:rPr>
        <w:t>需提供质量技术监督部门颁发的CMA认证证书，认证监测范围需包括：海水监测、海洋生态与生物监测（含浮游植物、大型浮游生物）、海洋水文与气象。</w:t>
      </w:r>
    </w:p>
    <w:p w14:paraId="0607A512">
      <w:pPr>
        <w:pStyle w:val="8"/>
        <w:jc w:val="both"/>
        <w:rPr>
          <w:rFonts w:ascii="宋体" w:hAnsi="宋体" w:cs="宋体"/>
          <w:b/>
          <w:bCs/>
          <w:sz w:val="28"/>
          <w:szCs w:val="28"/>
          <w:highlight w:val="none"/>
        </w:rPr>
      </w:pPr>
    </w:p>
    <w:p w14:paraId="757AA588">
      <w:pPr>
        <w:pStyle w:val="5"/>
        <w:spacing w:line="360" w:lineRule="auto"/>
        <w:jc w:val="center"/>
        <w:rPr>
          <w:rFonts w:ascii="宋体" w:hAnsi="宋体" w:cs="宋体"/>
          <w:bCs w:val="0"/>
          <w:highlight w:val="none"/>
        </w:rPr>
      </w:pPr>
    </w:p>
    <w:p w14:paraId="6C83EE4A">
      <w:pPr>
        <w:pStyle w:val="5"/>
        <w:spacing w:line="360" w:lineRule="auto"/>
        <w:jc w:val="center"/>
        <w:rPr>
          <w:rFonts w:ascii="宋体" w:hAnsi="宋体" w:cs="宋体"/>
          <w:sz w:val="28"/>
          <w:szCs w:val="28"/>
          <w:highlight w:val="none"/>
        </w:rPr>
      </w:pPr>
      <w:bookmarkStart w:id="383" w:name="_Toc20167"/>
      <w:r>
        <w:rPr>
          <w:rFonts w:hint="eastAsia" w:ascii="宋体" w:hAnsi="宋体" w:cs="宋体"/>
          <w:bCs w:val="0"/>
          <w:highlight w:val="none"/>
        </w:rPr>
        <w:t>第五部分 其他资料</w:t>
      </w:r>
      <w:bookmarkEnd w:id="383"/>
    </w:p>
    <w:p w14:paraId="6308EEDA">
      <w:pPr>
        <w:pStyle w:val="5"/>
        <w:spacing w:line="360" w:lineRule="auto"/>
        <w:rPr>
          <w:rFonts w:ascii="宋体" w:hAnsi="宋体" w:cs="宋体"/>
          <w:sz w:val="28"/>
          <w:szCs w:val="28"/>
          <w:highlight w:val="none"/>
        </w:rPr>
      </w:pPr>
      <w:bookmarkStart w:id="384" w:name="_Toc343510627"/>
      <w:bookmarkStart w:id="385" w:name="_Toc350516691"/>
      <w:bookmarkStart w:id="386" w:name="_Toc21061"/>
      <w:bookmarkStart w:id="387" w:name="_Toc349568752"/>
      <w:bookmarkStart w:id="388" w:name="_Toc26376"/>
      <w:bookmarkStart w:id="389" w:name="_Toc10836"/>
      <w:bookmarkStart w:id="390" w:name="_Toc369353515"/>
      <w:bookmarkStart w:id="391" w:name="_Toc344397394"/>
      <w:bookmarkStart w:id="392" w:name="_Toc20287"/>
      <w:bookmarkStart w:id="393" w:name="_Toc344394228"/>
      <w:bookmarkStart w:id="394" w:name="_Toc330342573"/>
      <w:bookmarkStart w:id="395" w:name="_Toc349914552"/>
      <w:bookmarkStart w:id="396" w:name="_Toc563"/>
      <w:bookmarkStart w:id="397" w:name="_Toc350515677"/>
      <w:bookmarkStart w:id="398" w:name="_Toc330342824"/>
      <w:r>
        <w:rPr>
          <w:rFonts w:hint="eastAsia" w:ascii="宋体" w:hAnsi="宋体" w:cs="宋体"/>
          <w:sz w:val="28"/>
          <w:szCs w:val="28"/>
          <w:highlight w:val="none"/>
        </w:rPr>
        <w:t>1、承诺书</w:t>
      </w:r>
      <w:r>
        <w:rPr>
          <w:rFonts w:hint="eastAsia" w:ascii="宋体" w:hAnsi="宋体" w:cs="宋体"/>
          <w:bCs w:val="0"/>
          <w:sz w:val="28"/>
          <w:szCs w:val="28"/>
          <w:highlight w:val="none"/>
        </w:rPr>
        <w:t>（格式）</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4B331FB3">
      <w:pPr>
        <w:autoSpaceDE w:val="0"/>
        <w:autoSpaceDN w:val="0"/>
        <w:adjustRightInd w:val="0"/>
        <w:spacing w:after="240" w:line="360" w:lineRule="auto"/>
        <w:jc w:val="left"/>
        <w:rPr>
          <w:rFonts w:ascii="宋体" w:hAnsi="宋体" w:cs="宋体"/>
          <w:b/>
          <w:bCs/>
          <w:kern w:val="0"/>
          <w:sz w:val="28"/>
          <w:szCs w:val="28"/>
          <w:highlight w:val="none"/>
          <w:lang w:val="zh-CN"/>
        </w:rPr>
      </w:pPr>
      <w:r>
        <w:rPr>
          <w:rFonts w:hint="eastAsia" w:ascii="宋体" w:hAnsi="宋体" w:cs="宋体"/>
          <w:b/>
          <w:bCs/>
          <w:kern w:val="0"/>
          <w:sz w:val="24"/>
          <w:highlight w:val="none"/>
          <w:lang w:val="zh-CN"/>
        </w:rPr>
        <w:t>致：</w:t>
      </w:r>
      <w:r>
        <w:rPr>
          <w:rFonts w:hint="eastAsia" w:ascii="宋体" w:hAnsi="宋体" w:cs="宋体"/>
          <w:b/>
          <w:kern w:val="0"/>
          <w:sz w:val="24"/>
          <w:highlight w:val="none"/>
          <w:lang w:val="zh-CN"/>
        </w:rPr>
        <w:t>营口市海洋与渔业局</w:t>
      </w:r>
    </w:p>
    <w:p w14:paraId="6B929DF0">
      <w:pPr>
        <w:autoSpaceDE w:val="0"/>
        <w:autoSpaceDN w:val="0"/>
        <w:adjustRightInd w:val="0"/>
        <w:spacing w:line="360" w:lineRule="auto"/>
        <w:ind w:firstLine="576"/>
        <w:jc w:val="left"/>
        <w:rPr>
          <w:rFonts w:ascii="宋体" w:hAnsi="宋体" w:cs="宋体"/>
          <w:kern w:val="0"/>
          <w:sz w:val="24"/>
          <w:highlight w:val="none"/>
          <w:lang w:val="zh-CN"/>
        </w:rPr>
      </w:pPr>
      <w:r>
        <w:rPr>
          <w:rFonts w:hint="eastAsia" w:ascii="宋体" w:hAnsi="宋体" w:cs="宋体"/>
          <w:kern w:val="0"/>
          <w:sz w:val="24"/>
          <w:highlight w:val="none"/>
          <w:lang w:val="zh-CN"/>
        </w:rPr>
        <w:t>为满足“</w:t>
      </w:r>
      <w:r>
        <w:rPr>
          <w:rFonts w:hint="eastAsia" w:ascii="宋体" w:hAnsi="宋体" w:cs="宋体"/>
          <w:sz w:val="24"/>
          <w:highlight w:val="none"/>
        </w:rPr>
        <w:t>辽宁省营口市海洋生态保护修复工程项目管护能力建设及浒苔处置监测预报服务</w:t>
      </w:r>
      <w:r>
        <w:rPr>
          <w:rFonts w:hint="eastAsia" w:ascii="宋体" w:hAnsi="宋体" w:cs="宋体"/>
          <w:kern w:val="0"/>
          <w:sz w:val="24"/>
          <w:highlight w:val="none"/>
          <w:lang w:val="zh-CN"/>
        </w:rPr>
        <w:t>”资格审查的要求，我方</w:t>
      </w:r>
      <w:r>
        <w:rPr>
          <w:rFonts w:hint="eastAsia" w:ascii="宋体" w:hAnsi="宋体" w:cs="宋体"/>
          <w:b/>
          <w:bCs/>
          <w:kern w:val="0"/>
          <w:sz w:val="24"/>
          <w:highlight w:val="none"/>
          <w:u w:val="single"/>
          <w:lang w:val="zh-CN"/>
        </w:rPr>
        <w:t>(投标人全称)</w:t>
      </w:r>
      <w:r>
        <w:rPr>
          <w:rFonts w:hint="eastAsia" w:ascii="宋体" w:hAnsi="宋体" w:cs="宋体"/>
          <w:kern w:val="0"/>
          <w:sz w:val="24"/>
          <w:highlight w:val="none"/>
          <w:lang w:val="zh-CN"/>
        </w:rPr>
        <w:t>在此承诺所提供的申请材料均为真实的，我方理解你们将不受必须接受我方的约束。</w:t>
      </w:r>
    </w:p>
    <w:p w14:paraId="33F4B49A">
      <w:pPr>
        <w:autoSpaceDE w:val="0"/>
        <w:autoSpaceDN w:val="0"/>
        <w:adjustRightInd w:val="0"/>
        <w:spacing w:line="360" w:lineRule="auto"/>
        <w:rPr>
          <w:rFonts w:ascii="宋体" w:hAnsi="宋体" w:cs="宋体"/>
          <w:sz w:val="28"/>
          <w:szCs w:val="28"/>
          <w:highlight w:val="none"/>
          <w:lang w:val="zh-CN"/>
        </w:rPr>
      </w:pPr>
    </w:p>
    <w:p w14:paraId="7A79BA6B">
      <w:pPr>
        <w:autoSpaceDE w:val="0"/>
        <w:autoSpaceDN w:val="0"/>
        <w:adjustRightInd w:val="0"/>
        <w:spacing w:line="360" w:lineRule="auto"/>
        <w:ind w:firstLine="3799"/>
        <w:jc w:val="left"/>
        <w:rPr>
          <w:rFonts w:ascii="宋体" w:hAnsi="宋体" w:cs="宋体"/>
          <w:kern w:val="0"/>
          <w:sz w:val="28"/>
          <w:szCs w:val="28"/>
          <w:highlight w:val="none"/>
          <w:lang w:val="zh-CN"/>
        </w:rPr>
      </w:pPr>
    </w:p>
    <w:p w14:paraId="60E0C62C">
      <w:pPr>
        <w:autoSpaceDE w:val="0"/>
        <w:autoSpaceDN w:val="0"/>
        <w:adjustRightInd w:val="0"/>
        <w:spacing w:line="360" w:lineRule="auto"/>
        <w:ind w:firstLine="3799"/>
        <w:jc w:val="left"/>
        <w:rPr>
          <w:rFonts w:ascii="宋体" w:hAnsi="宋体" w:cs="宋体"/>
          <w:kern w:val="0"/>
          <w:sz w:val="28"/>
          <w:szCs w:val="28"/>
          <w:highlight w:val="none"/>
          <w:lang w:val="zh-CN"/>
        </w:rPr>
      </w:pPr>
    </w:p>
    <w:p w14:paraId="3CC43FEF">
      <w:pPr>
        <w:autoSpaceDE w:val="0"/>
        <w:autoSpaceDN w:val="0"/>
        <w:adjustRightInd w:val="0"/>
        <w:spacing w:line="360" w:lineRule="auto"/>
        <w:ind w:firstLine="3799"/>
        <w:jc w:val="left"/>
        <w:rPr>
          <w:rFonts w:ascii="宋体" w:hAnsi="宋体" w:cs="宋体"/>
          <w:kern w:val="0"/>
          <w:sz w:val="28"/>
          <w:szCs w:val="28"/>
          <w:highlight w:val="none"/>
          <w:lang w:val="zh-CN"/>
        </w:rPr>
      </w:pPr>
    </w:p>
    <w:p w14:paraId="63FC8701">
      <w:pPr>
        <w:autoSpaceDE w:val="0"/>
        <w:autoSpaceDN w:val="0"/>
        <w:adjustRightInd w:val="0"/>
        <w:spacing w:line="360" w:lineRule="auto"/>
        <w:ind w:firstLine="3799"/>
        <w:jc w:val="left"/>
        <w:rPr>
          <w:rFonts w:ascii="宋体" w:hAnsi="宋体" w:cs="宋体"/>
          <w:kern w:val="0"/>
          <w:sz w:val="28"/>
          <w:szCs w:val="28"/>
          <w:highlight w:val="none"/>
          <w:lang w:val="zh-CN"/>
        </w:rPr>
      </w:pPr>
    </w:p>
    <w:p w14:paraId="599F891F">
      <w:pPr>
        <w:autoSpaceDE w:val="0"/>
        <w:autoSpaceDN w:val="0"/>
        <w:adjustRightInd w:val="0"/>
        <w:spacing w:line="360" w:lineRule="auto"/>
        <w:ind w:firstLine="3799"/>
        <w:jc w:val="left"/>
        <w:rPr>
          <w:rFonts w:ascii="宋体" w:hAnsi="宋体" w:cs="宋体"/>
          <w:kern w:val="0"/>
          <w:sz w:val="28"/>
          <w:szCs w:val="28"/>
          <w:highlight w:val="none"/>
          <w:lang w:val="zh-CN"/>
        </w:rPr>
      </w:pPr>
    </w:p>
    <w:p w14:paraId="235DA3F8">
      <w:pPr>
        <w:autoSpaceDE w:val="0"/>
        <w:autoSpaceDN w:val="0"/>
        <w:adjustRightInd w:val="0"/>
        <w:spacing w:line="360" w:lineRule="auto"/>
        <w:ind w:firstLine="3799"/>
        <w:jc w:val="left"/>
        <w:rPr>
          <w:rFonts w:ascii="宋体" w:hAnsi="宋体" w:cs="宋体"/>
          <w:kern w:val="0"/>
          <w:sz w:val="28"/>
          <w:szCs w:val="28"/>
          <w:highlight w:val="none"/>
          <w:lang w:val="zh-CN"/>
        </w:rPr>
      </w:pPr>
    </w:p>
    <w:p w14:paraId="3CDFFDA2">
      <w:pPr>
        <w:autoSpaceDE w:val="0"/>
        <w:autoSpaceDN w:val="0"/>
        <w:adjustRightInd w:val="0"/>
        <w:spacing w:line="360" w:lineRule="auto"/>
        <w:ind w:firstLine="3799"/>
        <w:jc w:val="left"/>
        <w:rPr>
          <w:rFonts w:ascii="宋体" w:hAnsi="宋体" w:cs="宋体"/>
          <w:kern w:val="0"/>
          <w:sz w:val="28"/>
          <w:szCs w:val="28"/>
          <w:highlight w:val="none"/>
          <w:lang w:val="zh-CN"/>
        </w:rPr>
      </w:pPr>
    </w:p>
    <w:p w14:paraId="3F69525D">
      <w:pPr>
        <w:autoSpaceDE w:val="0"/>
        <w:autoSpaceDN w:val="0"/>
        <w:adjustRightInd w:val="0"/>
        <w:spacing w:line="360" w:lineRule="auto"/>
        <w:ind w:firstLine="2640" w:firstLineChars="1100"/>
        <w:jc w:val="left"/>
        <w:rPr>
          <w:rFonts w:ascii="宋体" w:hAnsi="宋体" w:cs="宋体"/>
          <w:kern w:val="0"/>
          <w:sz w:val="24"/>
          <w:highlight w:val="none"/>
          <w:u w:val="single"/>
          <w:lang w:val="zh-CN"/>
        </w:rPr>
      </w:pPr>
      <w:r>
        <w:rPr>
          <w:rFonts w:hint="eastAsia" w:ascii="宋体" w:hAnsi="宋体" w:cs="宋体"/>
          <w:kern w:val="0"/>
          <w:sz w:val="24"/>
          <w:highlight w:val="none"/>
          <w:lang w:val="zh-CN"/>
        </w:rPr>
        <w:t>投标人(盖公章)：</w:t>
      </w:r>
      <w:r>
        <w:rPr>
          <w:rFonts w:hint="eastAsia" w:ascii="宋体" w:hAnsi="宋体" w:cs="宋体"/>
          <w:kern w:val="0"/>
          <w:sz w:val="24"/>
          <w:highlight w:val="none"/>
          <w:u w:val="single"/>
          <w:lang w:val="zh-CN"/>
        </w:rPr>
        <w:t xml:space="preserve">                                   </w:t>
      </w:r>
    </w:p>
    <w:p w14:paraId="1430F337">
      <w:pPr>
        <w:autoSpaceDE w:val="0"/>
        <w:autoSpaceDN w:val="0"/>
        <w:adjustRightInd w:val="0"/>
        <w:spacing w:line="360" w:lineRule="auto"/>
        <w:ind w:firstLine="3271"/>
        <w:jc w:val="left"/>
        <w:rPr>
          <w:rFonts w:ascii="宋体" w:hAnsi="宋体" w:cs="宋体"/>
          <w:kern w:val="0"/>
          <w:sz w:val="24"/>
          <w:highlight w:val="none"/>
          <w:u w:val="single"/>
          <w:lang w:val="zh-CN"/>
        </w:rPr>
      </w:pPr>
    </w:p>
    <w:p w14:paraId="71DB759B">
      <w:pPr>
        <w:autoSpaceDE w:val="0"/>
        <w:autoSpaceDN w:val="0"/>
        <w:adjustRightInd w:val="0"/>
        <w:spacing w:line="360" w:lineRule="auto"/>
        <w:ind w:firstLine="2640" w:firstLineChars="1100"/>
        <w:jc w:val="left"/>
        <w:rPr>
          <w:rFonts w:ascii="宋体" w:hAnsi="宋体" w:cs="宋体"/>
          <w:kern w:val="0"/>
          <w:sz w:val="24"/>
          <w:highlight w:val="none"/>
          <w:u w:val="single"/>
          <w:lang w:val="zh-CN"/>
        </w:rPr>
      </w:pPr>
      <w:r>
        <w:rPr>
          <w:rFonts w:hint="eastAsia" w:ascii="宋体" w:hAnsi="宋体" w:cs="宋体"/>
          <w:kern w:val="0"/>
          <w:sz w:val="24"/>
          <w:highlight w:val="none"/>
          <w:lang w:val="zh-CN"/>
        </w:rPr>
        <w:t>法定代表人或授权委托人(签字或盖章)：</w:t>
      </w:r>
      <w:r>
        <w:rPr>
          <w:rFonts w:hint="eastAsia" w:ascii="宋体" w:hAnsi="宋体" w:cs="宋体"/>
          <w:kern w:val="0"/>
          <w:sz w:val="24"/>
          <w:highlight w:val="none"/>
          <w:u w:val="single"/>
          <w:lang w:val="zh-CN"/>
        </w:rPr>
        <w:t xml:space="preserve">                         </w:t>
      </w:r>
    </w:p>
    <w:p w14:paraId="6680E5E3">
      <w:pPr>
        <w:autoSpaceDE w:val="0"/>
        <w:autoSpaceDN w:val="0"/>
        <w:adjustRightInd w:val="0"/>
        <w:spacing w:line="360" w:lineRule="auto"/>
        <w:ind w:firstLine="2640" w:firstLineChars="1100"/>
        <w:jc w:val="left"/>
        <w:rPr>
          <w:rFonts w:ascii="宋体" w:hAnsi="宋体" w:cs="宋体"/>
          <w:kern w:val="0"/>
          <w:sz w:val="24"/>
          <w:highlight w:val="none"/>
          <w:lang w:val="zh-CN"/>
        </w:rPr>
      </w:pPr>
    </w:p>
    <w:p w14:paraId="4A619853">
      <w:pPr>
        <w:jc w:val="right"/>
        <w:rPr>
          <w:rFonts w:ascii="宋体" w:hAnsi="宋体" w:cs="宋体"/>
          <w:kern w:val="0"/>
          <w:highlight w:val="none"/>
          <w:lang w:val="zh-CN"/>
        </w:rPr>
      </w:pPr>
      <w:r>
        <w:rPr>
          <w:rFonts w:hint="eastAsia" w:ascii="宋体" w:hAnsi="宋体" w:cs="宋体"/>
          <w:sz w:val="24"/>
          <w:highlight w:val="none"/>
        </w:rPr>
        <w:t>日期：________年_____月_____日</w:t>
      </w:r>
    </w:p>
    <w:p w14:paraId="02D6445C">
      <w:pPr>
        <w:rPr>
          <w:rFonts w:ascii="宋体" w:hAnsi="宋体" w:cs="宋体"/>
          <w:kern w:val="0"/>
          <w:sz w:val="24"/>
          <w:highlight w:val="none"/>
          <w:lang w:val="zh-CN"/>
        </w:rPr>
      </w:pPr>
      <w:r>
        <w:rPr>
          <w:rFonts w:hint="eastAsia" w:ascii="宋体" w:hAnsi="宋体" w:cs="宋体"/>
          <w:kern w:val="0"/>
          <w:sz w:val="24"/>
          <w:highlight w:val="none"/>
          <w:lang w:val="zh-CN"/>
        </w:rPr>
        <w:br w:type="page"/>
      </w:r>
    </w:p>
    <w:p w14:paraId="02E27888">
      <w:pPr>
        <w:pStyle w:val="5"/>
        <w:spacing w:line="360" w:lineRule="auto"/>
        <w:rPr>
          <w:rFonts w:ascii="宋体" w:hAnsi="宋体" w:cs="宋体"/>
          <w:sz w:val="28"/>
          <w:szCs w:val="28"/>
          <w:highlight w:val="none"/>
        </w:rPr>
      </w:pPr>
      <w:bookmarkStart w:id="399" w:name="_Toc2242"/>
      <w:r>
        <w:rPr>
          <w:rFonts w:hint="eastAsia" w:ascii="宋体" w:hAnsi="宋体" w:cs="宋体"/>
          <w:sz w:val="28"/>
          <w:szCs w:val="28"/>
          <w:highlight w:val="none"/>
        </w:rPr>
        <w:t>2、待解决的诉讼</w:t>
      </w:r>
      <w:bookmarkEnd w:id="313"/>
      <w:r>
        <w:rPr>
          <w:rFonts w:hint="eastAsia" w:ascii="宋体" w:hAnsi="宋体" w:cs="宋体"/>
          <w:bCs w:val="0"/>
          <w:sz w:val="28"/>
          <w:szCs w:val="28"/>
          <w:highlight w:val="none"/>
        </w:rPr>
        <w:t>（格式）</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48"/>
      <w:bookmarkEnd w:id="399"/>
    </w:p>
    <w:tbl>
      <w:tblPr>
        <w:tblStyle w:val="28"/>
        <w:tblW w:w="8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2206"/>
        <w:gridCol w:w="2206"/>
        <w:gridCol w:w="2211"/>
      </w:tblGrid>
      <w:tr w14:paraId="1425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8828" w:type="dxa"/>
            <w:gridSpan w:val="4"/>
            <w:vAlign w:val="center"/>
          </w:tcPr>
          <w:p w14:paraId="27F761D6">
            <w:pPr>
              <w:spacing w:line="360" w:lineRule="auto"/>
              <w:jc w:val="center"/>
              <w:rPr>
                <w:rFonts w:ascii="宋体" w:hAnsi="宋体" w:cs="宋体"/>
                <w:sz w:val="28"/>
                <w:szCs w:val="28"/>
                <w:highlight w:val="none"/>
              </w:rPr>
            </w:pPr>
            <w:r>
              <w:rPr>
                <w:rFonts w:hint="eastAsia" w:ascii="宋体" w:hAnsi="宋体" w:cs="宋体"/>
                <w:sz w:val="28"/>
                <w:szCs w:val="28"/>
                <w:highlight w:val="none"/>
              </w:rPr>
              <w:t>待解决的诉讼   □有   □无</w:t>
            </w:r>
          </w:p>
        </w:tc>
      </w:tr>
      <w:tr w14:paraId="05E7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2205" w:type="dxa"/>
            <w:vAlign w:val="center"/>
          </w:tcPr>
          <w:p w14:paraId="090A9E6F">
            <w:pPr>
              <w:spacing w:line="360" w:lineRule="auto"/>
              <w:jc w:val="center"/>
              <w:rPr>
                <w:rFonts w:ascii="宋体" w:hAnsi="宋体" w:cs="宋体"/>
                <w:kern w:val="0"/>
                <w:sz w:val="24"/>
                <w:highlight w:val="none"/>
              </w:rPr>
            </w:pPr>
            <w:r>
              <w:rPr>
                <w:rFonts w:hint="eastAsia" w:ascii="宋体" w:hAnsi="宋体" w:cs="宋体"/>
                <w:kern w:val="0"/>
                <w:sz w:val="24"/>
                <w:highlight w:val="none"/>
              </w:rPr>
              <w:t>年份</w:t>
            </w:r>
          </w:p>
        </w:tc>
        <w:tc>
          <w:tcPr>
            <w:tcW w:w="2206" w:type="dxa"/>
            <w:vAlign w:val="center"/>
          </w:tcPr>
          <w:p w14:paraId="5005CD9C">
            <w:pPr>
              <w:spacing w:line="360" w:lineRule="auto"/>
              <w:jc w:val="center"/>
              <w:rPr>
                <w:rFonts w:ascii="宋体" w:hAnsi="宋体" w:cs="宋体"/>
                <w:kern w:val="0"/>
                <w:sz w:val="24"/>
                <w:highlight w:val="none"/>
              </w:rPr>
            </w:pPr>
            <w:r>
              <w:rPr>
                <w:rFonts w:hint="eastAsia" w:ascii="宋体" w:hAnsi="宋体" w:cs="宋体"/>
                <w:kern w:val="0"/>
                <w:sz w:val="24"/>
                <w:highlight w:val="none"/>
              </w:rPr>
              <w:t>争议事项</w:t>
            </w:r>
          </w:p>
        </w:tc>
        <w:tc>
          <w:tcPr>
            <w:tcW w:w="2206" w:type="dxa"/>
            <w:vAlign w:val="center"/>
          </w:tcPr>
          <w:p w14:paraId="3A1BCA47">
            <w:pPr>
              <w:spacing w:line="360" w:lineRule="auto"/>
              <w:jc w:val="center"/>
              <w:rPr>
                <w:rFonts w:ascii="宋体" w:hAnsi="宋体" w:cs="宋体"/>
                <w:kern w:val="0"/>
                <w:sz w:val="24"/>
                <w:highlight w:val="none"/>
              </w:rPr>
            </w:pPr>
            <w:r>
              <w:rPr>
                <w:rFonts w:hint="eastAsia" w:ascii="宋体" w:hAnsi="宋体" w:cs="宋体"/>
                <w:kern w:val="0"/>
                <w:sz w:val="24"/>
                <w:highlight w:val="none"/>
              </w:rPr>
              <w:t>未决所赔金额</w:t>
            </w:r>
          </w:p>
        </w:tc>
        <w:tc>
          <w:tcPr>
            <w:tcW w:w="2211" w:type="dxa"/>
            <w:vAlign w:val="center"/>
          </w:tcPr>
          <w:p w14:paraId="111BCD97">
            <w:pPr>
              <w:spacing w:line="360" w:lineRule="auto"/>
              <w:jc w:val="center"/>
              <w:rPr>
                <w:rFonts w:ascii="宋体" w:hAnsi="宋体" w:cs="宋体"/>
                <w:kern w:val="0"/>
                <w:sz w:val="24"/>
                <w:highlight w:val="none"/>
              </w:rPr>
            </w:pPr>
            <w:r>
              <w:rPr>
                <w:rFonts w:hint="eastAsia" w:ascii="宋体" w:hAnsi="宋体" w:cs="宋体"/>
                <w:kern w:val="0"/>
                <w:sz w:val="24"/>
                <w:highlight w:val="none"/>
              </w:rPr>
              <w:t>未决所赔金额占资产的比例</w:t>
            </w:r>
          </w:p>
        </w:tc>
      </w:tr>
      <w:tr w14:paraId="1860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05" w:type="dxa"/>
          </w:tcPr>
          <w:p w14:paraId="38D1F006">
            <w:pPr>
              <w:spacing w:line="360" w:lineRule="auto"/>
              <w:rPr>
                <w:rFonts w:ascii="宋体" w:hAnsi="宋体" w:cs="宋体"/>
                <w:kern w:val="0"/>
                <w:sz w:val="24"/>
                <w:highlight w:val="none"/>
              </w:rPr>
            </w:pPr>
          </w:p>
        </w:tc>
        <w:tc>
          <w:tcPr>
            <w:tcW w:w="2206" w:type="dxa"/>
          </w:tcPr>
          <w:p w14:paraId="37198E02">
            <w:pPr>
              <w:spacing w:line="360" w:lineRule="auto"/>
              <w:rPr>
                <w:rFonts w:ascii="宋体" w:hAnsi="宋体" w:cs="宋体"/>
                <w:kern w:val="0"/>
                <w:sz w:val="24"/>
                <w:highlight w:val="none"/>
              </w:rPr>
            </w:pPr>
          </w:p>
        </w:tc>
        <w:tc>
          <w:tcPr>
            <w:tcW w:w="2206" w:type="dxa"/>
          </w:tcPr>
          <w:p w14:paraId="2BC7EED1">
            <w:pPr>
              <w:spacing w:line="360" w:lineRule="auto"/>
              <w:rPr>
                <w:rFonts w:ascii="宋体" w:hAnsi="宋体" w:cs="宋体"/>
                <w:kern w:val="0"/>
                <w:sz w:val="24"/>
                <w:highlight w:val="none"/>
              </w:rPr>
            </w:pPr>
          </w:p>
        </w:tc>
        <w:tc>
          <w:tcPr>
            <w:tcW w:w="2211" w:type="dxa"/>
          </w:tcPr>
          <w:p w14:paraId="5CE81315">
            <w:pPr>
              <w:spacing w:line="360" w:lineRule="auto"/>
              <w:rPr>
                <w:rFonts w:ascii="宋体" w:hAnsi="宋体" w:cs="宋体"/>
                <w:kern w:val="0"/>
                <w:sz w:val="24"/>
                <w:highlight w:val="none"/>
              </w:rPr>
            </w:pPr>
          </w:p>
        </w:tc>
      </w:tr>
      <w:tr w14:paraId="69A9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05" w:type="dxa"/>
          </w:tcPr>
          <w:p w14:paraId="193EAD1B">
            <w:pPr>
              <w:spacing w:line="360" w:lineRule="auto"/>
              <w:rPr>
                <w:rFonts w:ascii="宋体" w:hAnsi="宋体" w:cs="宋体"/>
                <w:kern w:val="0"/>
                <w:sz w:val="24"/>
                <w:highlight w:val="none"/>
              </w:rPr>
            </w:pPr>
          </w:p>
        </w:tc>
        <w:tc>
          <w:tcPr>
            <w:tcW w:w="2206" w:type="dxa"/>
          </w:tcPr>
          <w:p w14:paraId="6C3FE41A">
            <w:pPr>
              <w:spacing w:line="360" w:lineRule="auto"/>
              <w:rPr>
                <w:rFonts w:ascii="宋体" w:hAnsi="宋体" w:cs="宋体"/>
                <w:kern w:val="0"/>
                <w:sz w:val="24"/>
                <w:highlight w:val="none"/>
              </w:rPr>
            </w:pPr>
          </w:p>
        </w:tc>
        <w:tc>
          <w:tcPr>
            <w:tcW w:w="2206" w:type="dxa"/>
          </w:tcPr>
          <w:p w14:paraId="1112ADFE">
            <w:pPr>
              <w:spacing w:line="360" w:lineRule="auto"/>
              <w:rPr>
                <w:rFonts w:ascii="宋体" w:hAnsi="宋体" w:cs="宋体"/>
                <w:kern w:val="0"/>
                <w:sz w:val="24"/>
                <w:highlight w:val="none"/>
              </w:rPr>
            </w:pPr>
          </w:p>
        </w:tc>
        <w:tc>
          <w:tcPr>
            <w:tcW w:w="2211" w:type="dxa"/>
          </w:tcPr>
          <w:p w14:paraId="0419CC9B">
            <w:pPr>
              <w:spacing w:line="360" w:lineRule="auto"/>
              <w:rPr>
                <w:rFonts w:ascii="宋体" w:hAnsi="宋体" w:cs="宋体"/>
                <w:kern w:val="0"/>
                <w:sz w:val="24"/>
                <w:highlight w:val="none"/>
              </w:rPr>
            </w:pPr>
          </w:p>
        </w:tc>
      </w:tr>
      <w:tr w14:paraId="72CC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205" w:type="dxa"/>
          </w:tcPr>
          <w:p w14:paraId="538841AD">
            <w:pPr>
              <w:spacing w:line="360" w:lineRule="auto"/>
              <w:rPr>
                <w:rFonts w:ascii="宋体" w:hAnsi="宋体" w:cs="宋体"/>
                <w:kern w:val="0"/>
                <w:sz w:val="24"/>
                <w:highlight w:val="none"/>
              </w:rPr>
            </w:pPr>
          </w:p>
        </w:tc>
        <w:tc>
          <w:tcPr>
            <w:tcW w:w="2206" w:type="dxa"/>
          </w:tcPr>
          <w:p w14:paraId="46338D19">
            <w:pPr>
              <w:spacing w:line="360" w:lineRule="auto"/>
              <w:rPr>
                <w:rFonts w:ascii="宋体" w:hAnsi="宋体" w:cs="宋体"/>
                <w:kern w:val="0"/>
                <w:sz w:val="24"/>
                <w:highlight w:val="none"/>
              </w:rPr>
            </w:pPr>
          </w:p>
        </w:tc>
        <w:tc>
          <w:tcPr>
            <w:tcW w:w="2206" w:type="dxa"/>
          </w:tcPr>
          <w:p w14:paraId="4242692B">
            <w:pPr>
              <w:spacing w:line="360" w:lineRule="auto"/>
              <w:rPr>
                <w:rFonts w:ascii="宋体" w:hAnsi="宋体" w:cs="宋体"/>
                <w:kern w:val="0"/>
                <w:sz w:val="24"/>
                <w:highlight w:val="none"/>
              </w:rPr>
            </w:pPr>
          </w:p>
        </w:tc>
        <w:tc>
          <w:tcPr>
            <w:tcW w:w="2211" w:type="dxa"/>
          </w:tcPr>
          <w:p w14:paraId="03B83C57">
            <w:pPr>
              <w:spacing w:line="360" w:lineRule="auto"/>
              <w:rPr>
                <w:rFonts w:ascii="宋体" w:hAnsi="宋体" w:cs="宋体"/>
                <w:kern w:val="0"/>
                <w:sz w:val="24"/>
                <w:highlight w:val="none"/>
              </w:rPr>
            </w:pPr>
          </w:p>
        </w:tc>
      </w:tr>
      <w:tr w14:paraId="6B56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8828" w:type="dxa"/>
            <w:gridSpan w:val="4"/>
            <w:vAlign w:val="center"/>
          </w:tcPr>
          <w:p w14:paraId="4CD41876">
            <w:pPr>
              <w:spacing w:line="360" w:lineRule="auto"/>
              <w:jc w:val="center"/>
              <w:rPr>
                <w:rFonts w:ascii="宋体" w:hAnsi="宋体" w:cs="宋体"/>
                <w:kern w:val="0"/>
                <w:sz w:val="24"/>
                <w:highlight w:val="none"/>
              </w:rPr>
            </w:pPr>
            <w:r>
              <w:rPr>
                <w:rFonts w:hint="eastAsia" w:ascii="宋体" w:hAnsi="宋体" w:cs="宋体"/>
                <w:kern w:val="0"/>
                <w:sz w:val="24"/>
                <w:highlight w:val="none"/>
              </w:rPr>
              <w:t>不良记录       □有   □无</w:t>
            </w:r>
          </w:p>
        </w:tc>
      </w:tr>
      <w:tr w14:paraId="59EE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205" w:type="dxa"/>
            <w:vAlign w:val="center"/>
          </w:tcPr>
          <w:p w14:paraId="5EB4C29F">
            <w:pPr>
              <w:spacing w:line="360" w:lineRule="auto"/>
              <w:jc w:val="center"/>
              <w:rPr>
                <w:rFonts w:ascii="宋体" w:hAnsi="宋体" w:cs="宋体"/>
                <w:kern w:val="0"/>
                <w:sz w:val="24"/>
                <w:highlight w:val="none"/>
              </w:rPr>
            </w:pPr>
            <w:r>
              <w:rPr>
                <w:rFonts w:hint="eastAsia" w:ascii="宋体" w:hAnsi="宋体" w:cs="宋体"/>
                <w:kern w:val="0"/>
                <w:sz w:val="24"/>
                <w:highlight w:val="none"/>
              </w:rPr>
              <w:t>时间</w:t>
            </w:r>
          </w:p>
        </w:tc>
        <w:tc>
          <w:tcPr>
            <w:tcW w:w="4412" w:type="dxa"/>
            <w:gridSpan w:val="2"/>
            <w:vAlign w:val="center"/>
          </w:tcPr>
          <w:p w14:paraId="5ED479F8">
            <w:pPr>
              <w:spacing w:line="360" w:lineRule="auto"/>
              <w:jc w:val="center"/>
              <w:rPr>
                <w:rFonts w:ascii="宋体" w:hAnsi="宋体" w:cs="宋体"/>
                <w:kern w:val="0"/>
                <w:sz w:val="24"/>
                <w:highlight w:val="none"/>
              </w:rPr>
            </w:pPr>
            <w:r>
              <w:rPr>
                <w:rFonts w:hint="eastAsia" w:ascii="宋体" w:hAnsi="宋体" w:cs="宋体"/>
                <w:kern w:val="0"/>
                <w:sz w:val="24"/>
                <w:highlight w:val="none"/>
              </w:rPr>
              <w:t>不良记录情况说明</w:t>
            </w:r>
          </w:p>
        </w:tc>
        <w:tc>
          <w:tcPr>
            <w:tcW w:w="2211" w:type="dxa"/>
            <w:vAlign w:val="center"/>
          </w:tcPr>
          <w:p w14:paraId="266936B8">
            <w:pPr>
              <w:spacing w:line="360" w:lineRule="auto"/>
              <w:jc w:val="center"/>
              <w:rPr>
                <w:rFonts w:ascii="宋体" w:hAnsi="宋体" w:cs="宋体"/>
                <w:kern w:val="0"/>
                <w:sz w:val="24"/>
                <w:highlight w:val="none"/>
              </w:rPr>
            </w:pPr>
            <w:r>
              <w:rPr>
                <w:rFonts w:hint="eastAsia" w:ascii="宋体" w:hAnsi="宋体" w:cs="宋体"/>
                <w:kern w:val="0"/>
                <w:sz w:val="24"/>
                <w:highlight w:val="none"/>
              </w:rPr>
              <w:t>处罚情况</w:t>
            </w:r>
          </w:p>
        </w:tc>
      </w:tr>
      <w:tr w14:paraId="2E95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205" w:type="dxa"/>
          </w:tcPr>
          <w:p w14:paraId="17804557">
            <w:pPr>
              <w:spacing w:line="360" w:lineRule="auto"/>
              <w:rPr>
                <w:rFonts w:ascii="宋体" w:hAnsi="宋体" w:cs="宋体"/>
                <w:kern w:val="0"/>
                <w:sz w:val="24"/>
                <w:highlight w:val="none"/>
              </w:rPr>
            </w:pPr>
          </w:p>
        </w:tc>
        <w:tc>
          <w:tcPr>
            <w:tcW w:w="4412" w:type="dxa"/>
            <w:gridSpan w:val="2"/>
          </w:tcPr>
          <w:p w14:paraId="377C7779">
            <w:pPr>
              <w:spacing w:line="360" w:lineRule="auto"/>
              <w:rPr>
                <w:rFonts w:ascii="宋体" w:hAnsi="宋体" w:cs="宋体"/>
                <w:kern w:val="0"/>
                <w:sz w:val="24"/>
                <w:highlight w:val="none"/>
              </w:rPr>
            </w:pPr>
          </w:p>
        </w:tc>
        <w:tc>
          <w:tcPr>
            <w:tcW w:w="2211" w:type="dxa"/>
          </w:tcPr>
          <w:p w14:paraId="0E7A3186">
            <w:pPr>
              <w:spacing w:line="360" w:lineRule="auto"/>
              <w:rPr>
                <w:rFonts w:ascii="宋体" w:hAnsi="宋体" w:cs="宋体"/>
                <w:kern w:val="0"/>
                <w:sz w:val="24"/>
                <w:highlight w:val="none"/>
              </w:rPr>
            </w:pPr>
          </w:p>
        </w:tc>
      </w:tr>
      <w:tr w14:paraId="2B7E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205" w:type="dxa"/>
          </w:tcPr>
          <w:p w14:paraId="658439FD">
            <w:pPr>
              <w:spacing w:line="360" w:lineRule="auto"/>
              <w:rPr>
                <w:rFonts w:ascii="宋体" w:hAnsi="宋体" w:cs="宋体"/>
                <w:kern w:val="0"/>
                <w:sz w:val="24"/>
                <w:highlight w:val="none"/>
              </w:rPr>
            </w:pPr>
          </w:p>
        </w:tc>
        <w:tc>
          <w:tcPr>
            <w:tcW w:w="4412" w:type="dxa"/>
            <w:gridSpan w:val="2"/>
          </w:tcPr>
          <w:p w14:paraId="00632D7B">
            <w:pPr>
              <w:spacing w:line="360" w:lineRule="auto"/>
              <w:rPr>
                <w:rFonts w:ascii="宋体" w:hAnsi="宋体" w:cs="宋体"/>
                <w:kern w:val="0"/>
                <w:sz w:val="24"/>
                <w:highlight w:val="none"/>
              </w:rPr>
            </w:pPr>
          </w:p>
        </w:tc>
        <w:tc>
          <w:tcPr>
            <w:tcW w:w="2211" w:type="dxa"/>
          </w:tcPr>
          <w:p w14:paraId="39D3F8B0">
            <w:pPr>
              <w:spacing w:line="360" w:lineRule="auto"/>
              <w:rPr>
                <w:rFonts w:ascii="宋体" w:hAnsi="宋体" w:cs="宋体"/>
                <w:kern w:val="0"/>
                <w:sz w:val="24"/>
                <w:highlight w:val="none"/>
              </w:rPr>
            </w:pPr>
          </w:p>
        </w:tc>
      </w:tr>
    </w:tbl>
    <w:p w14:paraId="7ED568D9">
      <w:pPr>
        <w:spacing w:line="360" w:lineRule="auto"/>
        <w:rPr>
          <w:rFonts w:ascii="宋体" w:hAnsi="宋体" w:cs="宋体"/>
          <w:highlight w:val="none"/>
        </w:rPr>
      </w:pPr>
    </w:p>
    <w:p w14:paraId="3D7EB52F">
      <w:pPr>
        <w:spacing w:line="360" w:lineRule="auto"/>
        <w:ind w:firstLine="120" w:firstLineChars="50"/>
        <w:rPr>
          <w:rFonts w:ascii="宋体" w:hAnsi="宋体" w:cs="宋体"/>
          <w:kern w:val="0"/>
          <w:sz w:val="24"/>
          <w:highlight w:val="none"/>
        </w:rPr>
      </w:pPr>
      <w:r>
        <w:rPr>
          <w:rFonts w:hint="eastAsia" w:ascii="宋体" w:hAnsi="宋体" w:cs="宋体"/>
          <w:kern w:val="0"/>
          <w:sz w:val="24"/>
          <w:highlight w:val="none"/>
        </w:rPr>
        <w:t>注：1、近年为2022年1月1日至今。</w:t>
      </w:r>
    </w:p>
    <w:p w14:paraId="705C9708">
      <w:pPr>
        <w:spacing w:line="360" w:lineRule="auto"/>
        <w:ind w:firstLine="600" w:firstLineChars="250"/>
        <w:rPr>
          <w:rFonts w:ascii="宋体" w:hAnsi="宋体" w:cs="宋体"/>
          <w:kern w:val="0"/>
          <w:sz w:val="24"/>
          <w:highlight w:val="none"/>
        </w:rPr>
      </w:pPr>
      <w:r>
        <w:rPr>
          <w:rFonts w:hint="eastAsia" w:ascii="宋体" w:hAnsi="宋体" w:cs="宋体"/>
          <w:kern w:val="0"/>
          <w:sz w:val="24"/>
          <w:highlight w:val="none"/>
        </w:rPr>
        <w:t>2、如有诉讼附法院判决书等证明材料。</w:t>
      </w:r>
    </w:p>
    <w:p w14:paraId="3C9DA591">
      <w:pPr>
        <w:spacing w:line="360" w:lineRule="auto"/>
        <w:rPr>
          <w:rFonts w:ascii="宋体" w:hAnsi="宋体" w:cs="宋体"/>
          <w:kern w:val="0"/>
          <w:sz w:val="24"/>
          <w:highlight w:val="none"/>
        </w:rPr>
      </w:pPr>
    </w:p>
    <w:p w14:paraId="271634CF">
      <w:pPr>
        <w:spacing w:line="360" w:lineRule="auto"/>
        <w:rPr>
          <w:rFonts w:ascii="宋体" w:hAnsi="宋体" w:cs="宋体"/>
          <w:highlight w:val="none"/>
        </w:rPr>
      </w:pPr>
    </w:p>
    <w:p w14:paraId="2AAC5A7F">
      <w:pPr>
        <w:spacing w:line="360" w:lineRule="auto"/>
        <w:rPr>
          <w:rFonts w:ascii="宋体" w:hAnsi="宋体" w:cs="宋体"/>
          <w:highlight w:val="none"/>
        </w:rPr>
      </w:pPr>
    </w:p>
    <w:p w14:paraId="30169CF4">
      <w:pPr>
        <w:spacing w:line="360" w:lineRule="auto"/>
        <w:rPr>
          <w:rFonts w:ascii="宋体" w:hAnsi="宋体" w:cs="宋体"/>
          <w:highlight w:val="none"/>
        </w:rPr>
      </w:pPr>
    </w:p>
    <w:p w14:paraId="74E71AAA">
      <w:pPr>
        <w:spacing w:line="360" w:lineRule="auto"/>
        <w:ind w:left="3118" w:leftChars="1485"/>
        <w:rPr>
          <w:rFonts w:ascii="宋体" w:hAnsi="宋体" w:cs="宋体"/>
          <w:sz w:val="24"/>
          <w:highlight w:val="none"/>
        </w:rPr>
      </w:pPr>
      <w:r>
        <w:rPr>
          <w:rFonts w:hint="eastAsia" w:ascii="宋体" w:hAnsi="宋体" w:cs="宋体"/>
          <w:sz w:val="24"/>
          <w:highlight w:val="none"/>
        </w:rPr>
        <w:t xml:space="preserve">投标人名称： </w:t>
      </w:r>
      <w:r>
        <w:rPr>
          <w:rFonts w:hint="eastAsia" w:ascii="宋体" w:hAnsi="宋体" w:cs="宋体"/>
          <w:sz w:val="24"/>
          <w:highlight w:val="none"/>
          <w:u w:val="single"/>
        </w:rPr>
        <w:t xml:space="preserve">                          （盖公章）</w:t>
      </w:r>
    </w:p>
    <w:p w14:paraId="49369881">
      <w:pPr>
        <w:spacing w:line="360" w:lineRule="auto"/>
        <w:ind w:left="3118" w:leftChars="1485"/>
        <w:rPr>
          <w:rFonts w:ascii="宋体" w:hAnsi="宋体" w:cs="宋体"/>
          <w:sz w:val="24"/>
          <w:highlight w:val="none"/>
        </w:rPr>
      </w:pPr>
    </w:p>
    <w:p w14:paraId="30BFB731">
      <w:pPr>
        <w:spacing w:line="360" w:lineRule="auto"/>
        <w:ind w:left="3118" w:leftChars="1485"/>
        <w:rPr>
          <w:rFonts w:ascii="宋体" w:hAnsi="宋体" w:cs="宋体"/>
          <w:sz w:val="24"/>
          <w:highlight w:val="none"/>
          <w:u w:val="single"/>
        </w:rPr>
      </w:pPr>
      <w:r>
        <w:rPr>
          <w:rFonts w:hint="eastAsia" w:ascii="宋体" w:hAnsi="宋体" w:cs="宋体"/>
          <w:sz w:val="24"/>
          <w:highlight w:val="none"/>
        </w:rPr>
        <w:t>法定代表人或授权委托人：（签字或盖章）:</w:t>
      </w:r>
      <w:r>
        <w:rPr>
          <w:rFonts w:hint="eastAsia" w:ascii="宋体" w:hAnsi="宋体" w:cs="宋体"/>
          <w:sz w:val="24"/>
          <w:highlight w:val="none"/>
          <w:u w:val="single"/>
        </w:rPr>
        <w:t xml:space="preserve">                        </w:t>
      </w:r>
    </w:p>
    <w:p w14:paraId="0AE081CF">
      <w:pPr>
        <w:spacing w:line="360" w:lineRule="auto"/>
        <w:ind w:left="3118" w:leftChars="1485"/>
        <w:rPr>
          <w:rFonts w:ascii="宋体" w:hAnsi="宋体" w:cs="宋体"/>
          <w:sz w:val="24"/>
          <w:highlight w:val="none"/>
          <w:u w:val="single"/>
        </w:rPr>
      </w:pPr>
    </w:p>
    <w:p w14:paraId="41FB6C82">
      <w:pPr>
        <w:spacing w:line="360" w:lineRule="auto"/>
        <w:ind w:left="3118" w:leftChars="1485"/>
        <w:rPr>
          <w:rFonts w:ascii="宋体" w:hAnsi="宋体" w:cs="宋体"/>
          <w:sz w:val="24"/>
          <w:highlight w:val="none"/>
        </w:rPr>
      </w:pPr>
      <w:r>
        <w:rPr>
          <w:rFonts w:hint="eastAsia" w:ascii="宋体" w:hAnsi="宋体" w:cs="宋体"/>
          <w:sz w:val="24"/>
          <w:highlight w:val="none"/>
        </w:rPr>
        <w:t>日         期：</w:t>
      </w:r>
      <w:r>
        <w:rPr>
          <w:rFonts w:hint="eastAsia" w:ascii="宋体" w:hAnsi="宋体" w:cs="宋体"/>
          <w:sz w:val="24"/>
          <w:highlight w:val="none"/>
          <w:u w:val="single"/>
        </w:rPr>
        <w:t xml:space="preserve">                                    </w:t>
      </w:r>
    </w:p>
    <w:p w14:paraId="4254576F">
      <w:pPr>
        <w:pStyle w:val="5"/>
        <w:spacing w:line="360" w:lineRule="auto"/>
        <w:rPr>
          <w:rFonts w:ascii="宋体" w:hAnsi="宋体" w:cs="宋体"/>
          <w:sz w:val="28"/>
          <w:szCs w:val="28"/>
          <w:highlight w:val="none"/>
        </w:rPr>
      </w:pPr>
      <w:r>
        <w:rPr>
          <w:rFonts w:hint="eastAsia" w:ascii="宋体" w:hAnsi="宋体" w:cs="宋体"/>
          <w:b w:val="0"/>
          <w:bCs w:val="0"/>
          <w:sz w:val="30"/>
          <w:highlight w:val="none"/>
        </w:rPr>
        <w:br w:type="page"/>
      </w:r>
      <w:bookmarkStart w:id="400" w:name="_Toc431929819"/>
      <w:bookmarkStart w:id="401" w:name="_Toc4515"/>
      <w:bookmarkStart w:id="402" w:name="_Toc25145"/>
      <w:r>
        <w:rPr>
          <w:rFonts w:hint="eastAsia" w:ascii="宋体" w:hAnsi="宋体" w:cs="宋体"/>
          <w:sz w:val="28"/>
          <w:szCs w:val="28"/>
          <w:highlight w:val="none"/>
        </w:rPr>
        <w:t>3、投标人未处于被责令停业，财产被接管、冻结破产状态承诺书</w:t>
      </w:r>
      <w:bookmarkEnd w:id="400"/>
      <w:r>
        <w:rPr>
          <w:rFonts w:hint="eastAsia" w:ascii="宋体" w:hAnsi="宋体" w:cs="宋体"/>
          <w:sz w:val="28"/>
          <w:szCs w:val="28"/>
          <w:highlight w:val="none"/>
        </w:rPr>
        <w:t>（格式）</w:t>
      </w:r>
      <w:bookmarkEnd w:id="401"/>
      <w:bookmarkEnd w:id="402"/>
    </w:p>
    <w:p w14:paraId="0FACC1DF">
      <w:pPr>
        <w:pStyle w:val="25"/>
        <w:spacing w:line="360" w:lineRule="auto"/>
        <w:rPr>
          <w:rFonts w:ascii="宋体" w:hAnsi="宋体" w:cs="宋体"/>
          <w:kern w:val="0"/>
          <w:highlight w:val="none"/>
          <w:shd w:val="clear" w:color="auto" w:fill="FFFFFF"/>
        </w:rPr>
      </w:pPr>
      <w:r>
        <w:rPr>
          <w:rFonts w:hint="eastAsia" w:ascii="宋体" w:hAnsi="宋体" w:cs="宋体"/>
          <w:highlight w:val="none"/>
          <w:shd w:val="clear" w:color="auto" w:fill="FFFFFF"/>
        </w:rPr>
        <w:t>我单位郑重承诺：</w:t>
      </w:r>
    </w:p>
    <w:p w14:paraId="42A99CB9">
      <w:pPr>
        <w:pStyle w:val="25"/>
        <w:spacing w:line="360" w:lineRule="auto"/>
        <w:ind w:firstLine="600" w:firstLineChars="250"/>
        <w:rPr>
          <w:rFonts w:ascii="宋体" w:hAnsi="宋体" w:cs="宋体"/>
          <w:highlight w:val="none"/>
          <w:shd w:val="clear" w:color="auto" w:fill="FFFFFF"/>
        </w:rPr>
      </w:pPr>
      <w:r>
        <w:rPr>
          <w:rFonts w:hint="eastAsia" w:ascii="宋体" w:hAnsi="宋体" w:cs="宋体"/>
          <w:highlight w:val="none"/>
          <w:shd w:val="clear" w:color="auto" w:fill="FFFFFF"/>
        </w:rPr>
        <w:t>1、 目前我单位处于正常生产经营状态。</w:t>
      </w:r>
    </w:p>
    <w:p w14:paraId="0D1749C0">
      <w:pPr>
        <w:pStyle w:val="25"/>
        <w:spacing w:line="360" w:lineRule="auto"/>
        <w:ind w:firstLine="600" w:firstLineChars="250"/>
        <w:rPr>
          <w:rFonts w:ascii="宋体" w:hAnsi="宋体" w:cs="宋体"/>
          <w:highlight w:val="none"/>
          <w:shd w:val="clear" w:color="auto" w:fill="FFFFFF"/>
        </w:rPr>
      </w:pPr>
      <w:r>
        <w:rPr>
          <w:rFonts w:hint="eastAsia" w:ascii="宋体" w:hAnsi="宋体" w:cs="宋体"/>
          <w:highlight w:val="none"/>
          <w:shd w:val="clear" w:color="auto" w:fill="FFFFFF"/>
        </w:rPr>
        <w:t>2、 我公司没有处于责令停业状态。</w:t>
      </w:r>
    </w:p>
    <w:p w14:paraId="27CA53BF">
      <w:pPr>
        <w:pStyle w:val="25"/>
        <w:spacing w:line="360" w:lineRule="auto"/>
        <w:ind w:firstLine="600" w:firstLineChars="250"/>
        <w:rPr>
          <w:rFonts w:ascii="宋体" w:hAnsi="宋体" w:cs="宋体"/>
          <w:highlight w:val="none"/>
          <w:shd w:val="clear" w:color="auto" w:fill="FFFFFF"/>
        </w:rPr>
      </w:pPr>
      <w:r>
        <w:rPr>
          <w:rFonts w:hint="eastAsia" w:ascii="宋体" w:hAnsi="宋体" w:cs="宋体"/>
          <w:highlight w:val="none"/>
          <w:shd w:val="clear" w:color="auto" w:fill="FFFFFF"/>
        </w:rPr>
        <w:t>3、 我公司投标资格未被取消。</w:t>
      </w:r>
    </w:p>
    <w:p w14:paraId="00AC0611">
      <w:pPr>
        <w:pStyle w:val="25"/>
        <w:spacing w:line="360" w:lineRule="auto"/>
        <w:ind w:firstLine="600" w:firstLineChars="250"/>
        <w:rPr>
          <w:rFonts w:ascii="宋体" w:hAnsi="宋体" w:cs="宋体"/>
          <w:highlight w:val="none"/>
          <w:shd w:val="clear" w:color="auto" w:fill="FFFFFF"/>
        </w:rPr>
      </w:pPr>
      <w:r>
        <w:rPr>
          <w:rFonts w:hint="eastAsia" w:ascii="宋体" w:hAnsi="宋体" w:cs="宋体"/>
          <w:highlight w:val="none"/>
          <w:shd w:val="clear" w:color="auto" w:fill="FFFFFF"/>
        </w:rPr>
        <w:t>4、 我公司目前没有处于财产被接管、冻结，破产状态。</w:t>
      </w:r>
    </w:p>
    <w:p w14:paraId="0EEF46E6">
      <w:pPr>
        <w:pStyle w:val="25"/>
        <w:spacing w:line="360" w:lineRule="auto"/>
        <w:ind w:firstLine="600" w:firstLineChars="250"/>
        <w:rPr>
          <w:rFonts w:ascii="宋体" w:hAnsi="宋体" w:cs="宋体"/>
          <w:highlight w:val="none"/>
          <w:shd w:val="clear" w:color="auto" w:fill="FFFFFF"/>
        </w:rPr>
      </w:pPr>
      <w:r>
        <w:rPr>
          <w:rFonts w:hint="eastAsia" w:ascii="宋体" w:hAnsi="宋体" w:cs="宋体"/>
          <w:highlight w:val="none"/>
          <w:shd w:val="clear" w:color="auto" w:fill="FFFFFF"/>
        </w:rPr>
        <w:t>5、 ……</w:t>
      </w:r>
    </w:p>
    <w:p w14:paraId="538192DD">
      <w:pPr>
        <w:spacing w:line="360" w:lineRule="auto"/>
        <w:ind w:firstLine="120" w:firstLineChars="50"/>
        <w:rPr>
          <w:rFonts w:ascii="宋体" w:hAnsi="宋体" w:cs="宋体"/>
          <w:sz w:val="24"/>
          <w:highlight w:val="none"/>
        </w:rPr>
      </w:pPr>
    </w:p>
    <w:p w14:paraId="48EDEFFC">
      <w:pPr>
        <w:spacing w:line="360" w:lineRule="auto"/>
        <w:ind w:firstLine="120" w:firstLineChars="50"/>
        <w:rPr>
          <w:rFonts w:ascii="宋体" w:hAnsi="宋体" w:cs="宋体"/>
          <w:sz w:val="24"/>
          <w:highlight w:val="none"/>
        </w:rPr>
      </w:pPr>
      <w:r>
        <w:rPr>
          <w:rFonts w:hint="eastAsia" w:ascii="宋体" w:hAnsi="宋体" w:cs="宋体"/>
          <w:sz w:val="24"/>
          <w:highlight w:val="none"/>
        </w:rPr>
        <w:t>投标人：</w:t>
      </w:r>
      <w:r>
        <w:rPr>
          <w:rFonts w:hint="eastAsia" w:ascii="宋体" w:hAnsi="宋体" w:cs="宋体"/>
          <w:sz w:val="24"/>
          <w:highlight w:val="none"/>
          <w:u w:val="single"/>
        </w:rPr>
        <w:t xml:space="preserve">                                        </w:t>
      </w:r>
      <w:r>
        <w:rPr>
          <w:rFonts w:hint="eastAsia" w:ascii="宋体" w:hAnsi="宋体" w:cs="宋体"/>
          <w:sz w:val="24"/>
          <w:highlight w:val="none"/>
        </w:rPr>
        <w:t>（盖公章）</w:t>
      </w:r>
    </w:p>
    <w:p w14:paraId="10973A94">
      <w:pPr>
        <w:spacing w:line="360" w:lineRule="auto"/>
        <w:ind w:firstLine="120" w:firstLineChars="50"/>
        <w:rPr>
          <w:rFonts w:ascii="宋体" w:hAnsi="宋体" w:cs="宋体"/>
          <w:sz w:val="24"/>
          <w:highlight w:val="none"/>
        </w:rPr>
      </w:pPr>
      <w:r>
        <w:rPr>
          <w:rFonts w:hint="eastAsia" w:ascii="宋体" w:hAnsi="宋体" w:cs="宋体"/>
          <w:sz w:val="24"/>
          <w:highlight w:val="none"/>
        </w:rPr>
        <w:t>法定代表人或授权委托代理人：</w:t>
      </w:r>
      <w:r>
        <w:rPr>
          <w:rFonts w:hint="eastAsia" w:ascii="宋体" w:hAnsi="宋体" w:cs="宋体"/>
          <w:sz w:val="24"/>
          <w:highlight w:val="none"/>
          <w:u w:val="single"/>
        </w:rPr>
        <w:t xml:space="preserve">                     </w:t>
      </w:r>
      <w:r>
        <w:rPr>
          <w:rFonts w:hint="eastAsia" w:ascii="宋体" w:hAnsi="宋体" w:cs="宋体"/>
          <w:sz w:val="24"/>
          <w:highlight w:val="none"/>
        </w:rPr>
        <w:t>（签字或盖章）</w:t>
      </w:r>
    </w:p>
    <w:p w14:paraId="1F6C8C39">
      <w:pPr>
        <w:pStyle w:val="25"/>
        <w:spacing w:line="360" w:lineRule="auto"/>
        <w:ind w:firstLine="120" w:firstLineChars="50"/>
        <w:rPr>
          <w:rFonts w:ascii="宋体" w:hAnsi="宋体" w:cs="宋体"/>
          <w:highlight w:val="none"/>
        </w:rPr>
      </w:pPr>
      <w:r>
        <w:rPr>
          <w:rFonts w:hint="eastAsia" w:ascii="宋体" w:hAnsi="宋体" w:cs="宋体"/>
          <w:highlight w:val="none"/>
        </w:rPr>
        <w:t>日  期：</w:t>
      </w:r>
      <w:r>
        <w:rPr>
          <w:rFonts w:hint="eastAsia" w:ascii="宋体" w:hAnsi="宋体" w:cs="宋体"/>
          <w:highlight w:val="none"/>
          <w:u w:val="single"/>
        </w:rPr>
        <w:t xml:space="preserve">                     </w:t>
      </w:r>
    </w:p>
    <w:p w14:paraId="6D6EFDB9">
      <w:pPr>
        <w:pStyle w:val="17"/>
        <w:spacing w:line="360" w:lineRule="auto"/>
        <w:rPr>
          <w:rFonts w:hAnsi="宋体" w:cs="宋体"/>
          <w:b/>
          <w:sz w:val="24"/>
          <w:highlight w:val="none"/>
        </w:rPr>
      </w:pPr>
    </w:p>
    <w:p w14:paraId="3E0BA519">
      <w:pPr>
        <w:pStyle w:val="17"/>
        <w:spacing w:line="360" w:lineRule="auto"/>
        <w:rPr>
          <w:rFonts w:hAnsi="宋体" w:cs="宋体"/>
          <w:b/>
          <w:sz w:val="24"/>
          <w:highlight w:val="none"/>
        </w:rPr>
      </w:pPr>
    </w:p>
    <w:p w14:paraId="6803528A">
      <w:pPr>
        <w:pStyle w:val="17"/>
        <w:spacing w:line="360" w:lineRule="auto"/>
        <w:rPr>
          <w:rFonts w:hAnsi="宋体" w:cs="宋体"/>
          <w:b/>
          <w:sz w:val="24"/>
          <w:highlight w:val="none"/>
        </w:rPr>
      </w:pPr>
    </w:p>
    <w:p w14:paraId="7D439F6D">
      <w:pPr>
        <w:pStyle w:val="17"/>
        <w:spacing w:line="360" w:lineRule="auto"/>
        <w:rPr>
          <w:rFonts w:hAnsi="宋体" w:cs="宋体"/>
          <w:b/>
          <w:sz w:val="24"/>
          <w:highlight w:val="none"/>
        </w:rPr>
      </w:pPr>
    </w:p>
    <w:p w14:paraId="3E023D9B">
      <w:pPr>
        <w:spacing w:line="360" w:lineRule="auto"/>
        <w:rPr>
          <w:rFonts w:ascii="宋体" w:hAnsi="宋体" w:cs="宋体"/>
          <w:sz w:val="24"/>
          <w:highlight w:val="none"/>
        </w:rPr>
        <w:sectPr>
          <w:pgSz w:w="11906" w:h="16838"/>
          <w:pgMar w:top="1134" w:right="1134" w:bottom="992" w:left="1134" w:header="454" w:footer="454" w:gutter="0"/>
          <w:cols w:space="0" w:num="1"/>
          <w:docGrid w:linePitch="312" w:charSpace="0"/>
        </w:sectPr>
      </w:pPr>
    </w:p>
    <w:p w14:paraId="7AD58BEB">
      <w:pPr>
        <w:pStyle w:val="5"/>
        <w:rPr>
          <w:rFonts w:ascii="宋体" w:hAnsi="宋体" w:cs="宋体"/>
          <w:highlight w:val="none"/>
        </w:rPr>
      </w:pPr>
      <w:bookmarkStart w:id="403" w:name="_Toc25648"/>
      <w:r>
        <w:rPr>
          <w:rFonts w:hint="eastAsia" w:ascii="宋体" w:hAnsi="宋体" w:cs="宋体"/>
          <w:highlight w:val="none"/>
        </w:rPr>
        <w:t>4、投标人认为所需要的其他材料</w:t>
      </w:r>
      <w:bookmarkEnd w:id="403"/>
    </w:p>
    <w:p w14:paraId="4DBE4929">
      <w:pPr>
        <w:rPr>
          <w:rFonts w:ascii="宋体" w:hAnsi="宋体" w:cs="宋体"/>
          <w:sz w:val="28"/>
          <w:szCs w:val="28"/>
          <w:highlight w:val="none"/>
        </w:rPr>
      </w:pPr>
      <w:r>
        <w:rPr>
          <w:rFonts w:hint="eastAsia" w:ascii="宋体" w:hAnsi="宋体" w:cs="宋体"/>
          <w:sz w:val="28"/>
          <w:szCs w:val="28"/>
          <w:highlight w:val="none"/>
        </w:rPr>
        <w:br w:type="page"/>
      </w:r>
    </w:p>
    <w:p w14:paraId="04DA8CFE">
      <w:pPr>
        <w:spacing w:line="360" w:lineRule="auto"/>
        <w:ind w:firstLine="435"/>
        <w:rPr>
          <w:rFonts w:ascii="宋体" w:hAnsi="宋体" w:cs="宋体"/>
          <w:sz w:val="28"/>
          <w:szCs w:val="28"/>
          <w:highlight w:val="none"/>
        </w:rPr>
      </w:pPr>
    </w:p>
    <w:p w14:paraId="04BF1AC0">
      <w:pPr>
        <w:spacing w:line="360" w:lineRule="auto"/>
        <w:ind w:firstLine="435"/>
        <w:rPr>
          <w:rFonts w:ascii="宋体" w:hAnsi="宋体" w:cs="宋体"/>
          <w:sz w:val="28"/>
          <w:szCs w:val="28"/>
          <w:highlight w:val="none"/>
        </w:rPr>
      </w:pPr>
    </w:p>
    <w:p w14:paraId="0D2A254B">
      <w:pPr>
        <w:spacing w:line="360" w:lineRule="auto"/>
        <w:ind w:firstLine="435"/>
        <w:rPr>
          <w:rFonts w:ascii="宋体" w:hAnsi="宋体" w:cs="宋体"/>
          <w:sz w:val="28"/>
          <w:szCs w:val="28"/>
          <w:highlight w:val="none"/>
        </w:rPr>
      </w:pPr>
    </w:p>
    <w:p w14:paraId="300BED05">
      <w:pPr>
        <w:spacing w:line="360" w:lineRule="auto"/>
        <w:ind w:firstLine="435"/>
        <w:rPr>
          <w:rFonts w:ascii="宋体" w:hAnsi="宋体" w:cs="宋体"/>
          <w:sz w:val="28"/>
          <w:szCs w:val="28"/>
          <w:highlight w:val="none"/>
        </w:rPr>
      </w:pPr>
    </w:p>
    <w:p w14:paraId="291AE3FD">
      <w:pPr>
        <w:spacing w:line="360" w:lineRule="auto"/>
        <w:ind w:firstLine="435"/>
        <w:rPr>
          <w:rFonts w:ascii="宋体" w:hAnsi="宋体" w:cs="宋体"/>
          <w:sz w:val="28"/>
          <w:szCs w:val="28"/>
          <w:highlight w:val="none"/>
        </w:rPr>
      </w:pPr>
    </w:p>
    <w:p w14:paraId="6BF57A1E">
      <w:pPr>
        <w:spacing w:line="360" w:lineRule="auto"/>
        <w:ind w:firstLine="435"/>
        <w:rPr>
          <w:rFonts w:ascii="宋体" w:hAnsi="宋体" w:cs="宋体"/>
          <w:sz w:val="28"/>
          <w:szCs w:val="28"/>
          <w:highlight w:val="none"/>
        </w:rPr>
      </w:pPr>
    </w:p>
    <w:p w14:paraId="72013A5B">
      <w:pPr>
        <w:spacing w:line="360" w:lineRule="auto"/>
        <w:ind w:firstLine="435"/>
        <w:rPr>
          <w:rFonts w:ascii="宋体" w:hAnsi="宋体" w:cs="宋体"/>
          <w:sz w:val="28"/>
          <w:szCs w:val="28"/>
          <w:highlight w:val="none"/>
        </w:rPr>
      </w:pPr>
    </w:p>
    <w:p w14:paraId="7152881F">
      <w:pPr>
        <w:pStyle w:val="3"/>
        <w:numPr>
          <w:ilvl w:val="0"/>
          <w:numId w:val="2"/>
        </w:numPr>
        <w:spacing w:line="360" w:lineRule="auto"/>
        <w:jc w:val="center"/>
        <w:rPr>
          <w:rFonts w:ascii="宋体" w:hAnsi="宋体" w:cs="宋体"/>
          <w:w w:val="90"/>
          <w:highlight w:val="none"/>
        </w:rPr>
      </w:pPr>
      <w:r>
        <w:rPr>
          <w:rFonts w:hint="eastAsia" w:ascii="宋体" w:hAnsi="宋体" w:cs="宋体"/>
          <w:w w:val="90"/>
          <w:highlight w:val="none"/>
        </w:rPr>
        <w:t xml:space="preserve">  </w:t>
      </w:r>
      <w:bookmarkStart w:id="404" w:name="_Toc344394245"/>
      <w:bookmarkStart w:id="405" w:name="_Toc343510644"/>
      <w:bookmarkStart w:id="406" w:name="_Toc24960"/>
      <w:bookmarkStart w:id="407" w:name="_Toc349568769"/>
      <w:bookmarkStart w:id="408" w:name="_Toc22507"/>
      <w:bookmarkStart w:id="409" w:name="_Toc350515694"/>
      <w:r>
        <w:rPr>
          <w:rFonts w:hint="eastAsia" w:ascii="宋体" w:hAnsi="宋体" w:cs="宋体"/>
          <w:w w:val="90"/>
          <w:highlight w:val="none"/>
        </w:rPr>
        <w:t>评标办法</w:t>
      </w:r>
      <w:bookmarkEnd w:id="404"/>
      <w:bookmarkEnd w:id="405"/>
      <w:bookmarkEnd w:id="406"/>
      <w:bookmarkEnd w:id="407"/>
      <w:bookmarkEnd w:id="408"/>
      <w:bookmarkEnd w:id="409"/>
    </w:p>
    <w:p w14:paraId="3B091992">
      <w:pPr>
        <w:widowControl/>
        <w:tabs>
          <w:tab w:val="left" w:pos="2280"/>
        </w:tabs>
        <w:spacing w:line="360" w:lineRule="auto"/>
        <w:jc w:val="center"/>
        <w:rPr>
          <w:rFonts w:ascii="宋体" w:hAnsi="宋体" w:cs="宋体"/>
          <w:b/>
          <w:sz w:val="32"/>
          <w:szCs w:val="24"/>
          <w:highlight w:val="none"/>
        </w:rPr>
      </w:pPr>
      <w:r>
        <w:rPr>
          <w:rFonts w:hint="eastAsia" w:ascii="宋体" w:hAnsi="宋体" w:cs="宋体"/>
          <w:highlight w:val="none"/>
        </w:rPr>
        <w:br w:type="page"/>
      </w:r>
      <w:r>
        <w:rPr>
          <w:rFonts w:hint="eastAsia" w:ascii="宋体" w:hAnsi="宋体" w:cs="宋体"/>
          <w:b/>
          <w:sz w:val="32"/>
          <w:szCs w:val="24"/>
          <w:highlight w:val="none"/>
        </w:rPr>
        <w:t>第一部分  总     则</w:t>
      </w:r>
    </w:p>
    <w:p w14:paraId="28EE9CBF">
      <w:pPr>
        <w:widowControl/>
        <w:tabs>
          <w:tab w:val="left" w:pos="2280"/>
        </w:tabs>
        <w:spacing w:line="360" w:lineRule="auto"/>
        <w:jc w:val="center"/>
        <w:rPr>
          <w:rFonts w:ascii="宋体" w:hAnsi="宋体" w:cs="宋体"/>
          <w:b/>
          <w:sz w:val="32"/>
          <w:szCs w:val="24"/>
          <w:highlight w:val="none"/>
        </w:rPr>
      </w:pPr>
    </w:p>
    <w:p w14:paraId="690F3167">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根据《中华人民共和国招标投标法》结合本项目实际，制定本办法。</w:t>
      </w:r>
    </w:p>
    <w:p w14:paraId="350AA87A">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1.本标准是本招标项目评标委员会评定和推荐中标候选人的依据。</w:t>
      </w:r>
    </w:p>
    <w:p w14:paraId="3261E756">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2.评标原则:评标应遵循公开、公平、公正、科学合理的原则。</w:t>
      </w:r>
    </w:p>
    <w:p w14:paraId="35B20FAF">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3.评标委员会对满足招标文件实质性要求的投标文件，按照本章规定的评分标准进行打分，并按得分由高到低顺序推荐中标候选人。如果前三名中标候选人得分出现分值相同的情况，按投标报价得分由高到低进行排序，如投标报价得分仍相同则按技术部分得分高低进行排序。如技术部分得分仍相同，由招标人决定。</w:t>
      </w:r>
    </w:p>
    <w:p w14:paraId="7D590003">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评标委员会在对投标文件进行评审、评分时，应遵守下列规则：</w:t>
      </w:r>
    </w:p>
    <w:p w14:paraId="2A88B5C9">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（1）评标委员会成员应按招标文件的要求，认真审查、评审各投标人投标文件，并写出书面审查和评审意见。</w:t>
      </w:r>
    </w:p>
    <w:p w14:paraId="554EE273">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（2）评标委员会各成员应自主评审，并签字确认。</w:t>
      </w:r>
    </w:p>
    <w:p w14:paraId="316B6DA1">
      <w:pPr>
        <w:widowControl/>
        <w:snapToGrid w:val="0"/>
        <w:spacing w:line="360" w:lineRule="auto"/>
        <w:ind w:firstLine="496" w:firstLineChars="200"/>
        <w:jc w:val="left"/>
        <w:rPr>
          <w:rFonts w:ascii="宋体" w:hAnsi="宋体" w:cs="宋体"/>
          <w:spacing w:val="4"/>
          <w:kern w:val="0"/>
          <w:sz w:val="24"/>
          <w:highlight w:val="none"/>
        </w:rPr>
      </w:pPr>
      <w:r>
        <w:rPr>
          <w:rFonts w:hint="eastAsia" w:ascii="宋体" w:hAnsi="宋体" w:cs="宋体"/>
          <w:spacing w:val="4"/>
          <w:kern w:val="0"/>
          <w:sz w:val="24"/>
          <w:highlight w:val="none"/>
        </w:rPr>
        <w:t>评标委员会的评标报告应由评标委员会全体成员签字。对评标过程或结论有异议的，以少数服从多数的原则处理，评标委员会成员可以书面方式阐述其不同意见和理由。评标委员会成员拒绝在评标过程文件或评标报告上签字且不以书面阐述其不同意见和理由的，视为同意评标结论。评标委员会应当对此做出书面说明并记录在案。</w:t>
      </w:r>
    </w:p>
    <w:p w14:paraId="74313239">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4．评标办法：</w:t>
      </w:r>
      <w:r>
        <w:rPr>
          <w:rFonts w:hint="eastAsia" w:ascii="宋体" w:hAnsi="宋体" w:cs="宋体"/>
          <w:b/>
          <w:spacing w:val="4"/>
          <w:kern w:val="0"/>
          <w:sz w:val="24"/>
          <w:highlight w:val="none"/>
        </w:rPr>
        <w:t>评标采用综合评估法</w:t>
      </w:r>
      <w:r>
        <w:rPr>
          <w:rFonts w:hint="eastAsia" w:ascii="宋体" w:hAnsi="宋体" w:cs="宋体"/>
          <w:spacing w:val="4"/>
          <w:kern w:val="0"/>
          <w:sz w:val="24"/>
          <w:highlight w:val="none"/>
        </w:rPr>
        <w:t>。</w:t>
      </w:r>
    </w:p>
    <w:p w14:paraId="4094BB81">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5．评标打分原则及中标单位的产生：评标委员会应根据招标文件确定的评分要求，对投标文件进行评分，并按照投标人得分高低推荐中标候选人。</w:t>
      </w:r>
    </w:p>
    <w:p w14:paraId="3D86049B">
      <w:pPr>
        <w:widowControl/>
        <w:snapToGrid w:val="0"/>
        <w:spacing w:line="360" w:lineRule="auto"/>
        <w:ind w:firstLine="496" w:firstLineChars="200"/>
        <w:jc w:val="left"/>
        <w:rPr>
          <w:rFonts w:ascii="宋体" w:hAnsi="宋体" w:cs="宋体"/>
          <w:spacing w:val="4"/>
          <w:kern w:val="0"/>
          <w:sz w:val="24"/>
          <w:highlight w:val="none"/>
        </w:rPr>
      </w:pPr>
      <w:r>
        <w:rPr>
          <w:rFonts w:hint="eastAsia" w:ascii="宋体" w:hAnsi="宋体" w:cs="宋体"/>
          <w:spacing w:val="4"/>
          <w:kern w:val="0"/>
          <w:sz w:val="24"/>
          <w:highlight w:val="none"/>
        </w:rPr>
        <w:t>招标人应确定排名第一的中标候选人为中标人。排名第一的中标候选人放弃中标，或因不可抗力提出不能履行合同，招标人可以根据评标报告推荐的中标候选人顺序依次确定中标人，并按照投标人须知18.5条规定不予退还其投标保证金或依法重新招标。</w:t>
      </w:r>
    </w:p>
    <w:p w14:paraId="7C508D8B">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评标中若遇特殊问题，由评标委员会根据有关法律、法规、规定研究决定。</w:t>
      </w:r>
    </w:p>
    <w:p w14:paraId="52F84AC2">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6.评标委员会及评委的产生：评标委员会评委的组成为5人以上（含5人）的单数；评标委员会依法组建。开标结束后，开始评标，评标采用保密方式进行。评标委员会产生后推举其中一名评委为评标委员会主任，并主持评标工作。</w:t>
      </w:r>
    </w:p>
    <w:p w14:paraId="1F6DE9C0">
      <w:pPr>
        <w:widowControl/>
        <w:snapToGrid w:val="0"/>
        <w:spacing w:line="360" w:lineRule="auto"/>
        <w:ind w:firstLine="420"/>
        <w:jc w:val="left"/>
        <w:rPr>
          <w:rFonts w:ascii="宋体" w:hAnsi="宋体" w:cs="宋体"/>
          <w:spacing w:val="4"/>
          <w:sz w:val="24"/>
          <w:highlight w:val="none"/>
        </w:rPr>
      </w:pPr>
      <w:r>
        <w:rPr>
          <w:rFonts w:hint="eastAsia" w:ascii="宋体" w:hAnsi="宋体" w:cs="宋体"/>
          <w:spacing w:val="4"/>
          <w:sz w:val="24"/>
          <w:highlight w:val="none"/>
        </w:rPr>
        <w:t>7．评标计算计分规则：</w:t>
      </w:r>
    </w:p>
    <w:p w14:paraId="34EEB2CF">
      <w:pPr>
        <w:widowControl/>
        <w:snapToGrid w:val="0"/>
        <w:spacing w:line="360" w:lineRule="auto"/>
        <w:ind w:firstLine="420"/>
        <w:jc w:val="left"/>
        <w:rPr>
          <w:rFonts w:ascii="宋体" w:hAnsi="宋体" w:cs="宋体"/>
          <w:spacing w:val="4"/>
          <w:sz w:val="24"/>
          <w:highlight w:val="none"/>
        </w:rPr>
      </w:pPr>
      <w:r>
        <w:rPr>
          <w:rFonts w:hint="eastAsia" w:ascii="宋体" w:hAnsi="宋体" w:cs="宋体"/>
          <w:spacing w:val="4"/>
          <w:sz w:val="24"/>
          <w:highlight w:val="none"/>
        </w:rPr>
        <w:t>（1）表述价款的数据均以元为单位，评分计算保留两位小数，第三位作四舍五入。</w:t>
      </w:r>
    </w:p>
    <w:p w14:paraId="068E84A1">
      <w:pPr>
        <w:widowControl/>
        <w:snapToGrid w:val="0"/>
        <w:spacing w:line="360" w:lineRule="auto"/>
        <w:ind w:firstLine="420"/>
        <w:jc w:val="left"/>
        <w:rPr>
          <w:rFonts w:ascii="宋体" w:hAnsi="宋体" w:cs="宋体"/>
          <w:spacing w:val="4"/>
          <w:sz w:val="24"/>
          <w:highlight w:val="none"/>
        </w:rPr>
      </w:pPr>
      <w:r>
        <w:rPr>
          <w:rFonts w:hint="eastAsia" w:ascii="宋体" w:hAnsi="宋体" w:cs="宋体"/>
          <w:spacing w:val="4"/>
          <w:sz w:val="24"/>
          <w:highlight w:val="none"/>
        </w:rPr>
        <w:t>（2）表述建筑面积以平方米为单位，保留整数，小数点后作四舍五入。</w:t>
      </w:r>
    </w:p>
    <w:p w14:paraId="3EFF5661">
      <w:pPr>
        <w:widowControl/>
        <w:snapToGrid w:val="0"/>
        <w:spacing w:line="360" w:lineRule="auto"/>
        <w:ind w:firstLine="420"/>
        <w:jc w:val="left"/>
        <w:rPr>
          <w:rFonts w:ascii="宋体" w:hAnsi="宋体" w:cs="宋体"/>
          <w:spacing w:val="4"/>
          <w:sz w:val="24"/>
          <w:highlight w:val="none"/>
        </w:rPr>
      </w:pPr>
      <w:r>
        <w:rPr>
          <w:rFonts w:hint="eastAsia" w:ascii="宋体" w:hAnsi="宋体" w:cs="宋体"/>
          <w:spacing w:val="4"/>
          <w:sz w:val="24"/>
          <w:highlight w:val="none"/>
        </w:rPr>
        <w:t>（3）有效范围内百分比计算的比值,保留二位小数,第三位作四舍五入,中间用插入法确定分数。</w:t>
      </w:r>
    </w:p>
    <w:p w14:paraId="1D05D5BA">
      <w:pPr>
        <w:widowControl/>
        <w:snapToGrid w:val="0"/>
        <w:spacing w:line="360" w:lineRule="auto"/>
        <w:ind w:firstLine="420"/>
        <w:jc w:val="left"/>
        <w:rPr>
          <w:rFonts w:ascii="宋体" w:hAnsi="宋体" w:cs="宋体"/>
          <w:spacing w:val="4"/>
          <w:sz w:val="24"/>
          <w:highlight w:val="none"/>
        </w:rPr>
      </w:pPr>
      <w:r>
        <w:rPr>
          <w:rFonts w:hint="eastAsia" w:ascii="宋体" w:hAnsi="宋体" w:cs="宋体"/>
          <w:spacing w:val="4"/>
          <w:sz w:val="24"/>
          <w:highlight w:val="none"/>
        </w:rPr>
        <w:t>（4）分项得分保留二位小数，第三位作四舍五入。</w:t>
      </w:r>
    </w:p>
    <w:p w14:paraId="1A04CF88">
      <w:pPr>
        <w:widowControl/>
        <w:snapToGrid w:val="0"/>
        <w:spacing w:line="360" w:lineRule="auto"/>
        <w:ind w:firstLine="420"/>
        <w:jc w:val="left"/>
        <w:rPr>
          <w:rFonts w:ascii="宋体" w:hAnsi="宋体" w:cs="宋体"/>
          <w:spacing w:val="4"/>
          <w:sz w:val="24"/>
          <w:highlight w:val="none"/>
        </w:rPr>
      </w:pPr>
      <w:r>
        <w:rPr>
          <w:rFonts w:hint="eastAsia" w:ascii="宋体" w:hAnsi="宋体" w:cs="宋体"/>
          <w:spacing w:val="4"/>
          <w:sz w:val="24"/>
          <w:highlight w:val="none"/>
        </w:rPr>
        <w:t>（5）总积分以分项得分累计之和为准，分值保留小数点后二位。</w:t>
      </w:r>
    </w:p>
    <w:p w14:paraId="42C5646F">
      <w:pPr>
        <w:widowControl/>
        <w:snapToGrid w:val="0"/>
        <w:spacing w:line="360" w:lineRule="auto"/>
        <w:ind w:firstLine="420"/>
        <w:jc w:val="left"/>
        <w:rPr>
          <w:rFonts w:ascii="宋体" w:hAnsi="宋体" w:cs="宋体"/>
          <w:spacing w:val="4"/>
          <w:sz w:val="24"/>
          <w:highlight w:val="none"/>
        </w:rPr>
      </w:pPr>
      <w:r>
        <w:rPr>
          <w:rFonts w:hint="eastAsia" w:ascii="宋体" w:hAnsi="宋体" w:cs="宋体"/>
          <w:spacing w:val="4"/>
          <w:sz w:val="24"/>
          <w:highlight w:val="none"/>
        </w:rPr>
        <w:t>（6）处罚扣分以地、州以上建设行政主管部门通报处罚文件为依据。</w:t>
      </w:r>
    </w:p>
    <w:p w14:paraId="2D373A3A">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8. 评标工作按以下程序进行：</w:t>
      </w:r>
    </w:p>
    <w:p w14:paraId="0270B772">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（一）资格审查；</w:t>
      </w:r>
    </w:p>
    <w:p w14:paraId="28AB49C0">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（二）符合性审查；</w:t>
      </w:r>
    </w:p>
    <w:p w14:paraId="15B3FE52">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（三）详细评审及澄清；</w:t>
      </w:r>
    </w:p>
    <w:p w14:paraId="4EE3AF26">
      <w:pPr>
        <w:widowControl/>
        <w:snapToGrid w:val="0"/>
        <w:spacing w:line="360" w:lineRule="auto"/>
        <w:ind w:firstLine="420"/>
        <w:jc w:val="left"/>
        <w:rPr>
          <w:rFonts w:ascii="宋体" w:hAnsi="宋体" w:cs="宋体"/>
          <w:spacing w:val="4"/>
          <w:kern w:val="0"/>
          <w:sz w:val="24"/>
          <w:highlight w:val="none"/>
        </w:rPr>
      </w:pPr>
      <w:r>
        <w:rPr>
          <w:rFonts w:hint="eastAsia" w:ascii="宋体" w:hAnsi="宋体" w:cs="宋体"/>
          <w:spacing w:val="4"/>
          <w:kern w:val="0"/>
          <w:sz w:val="24"/>
          <w:highlight w:val="none"/>
        </w:rPr>
        <w:t>（四）汇总评标结果，推荐中标候选人；</w:t>
      </w:r>
    </w:p>
    <w:p w14:paraId="536C3D61">
      <w:pPr>
        <w:widowControl/>
        <w:snapToGrid w:val="0"/>
        <w:spacing w:line="360" w:lineRule="auto"/>
        <w:ind w:firstLine="420"/>
        <w:jc w:val="left"/>
        <w:rPr>
          <w:rFonts w:ascii="宋体" w:hAnsi="宋体" w:cs="宋体"/>
          <w:bCs/>
          <w:sz w:val="24"/>
          <w:highlight w:val="none"/>
        </w:rPr>
      </w:pPr>
      <w:r>
        <w:rPr>
          <w:rFonts w:hint="eastAsia" w:ascii="宋体" w:hAnsi="宋体" w:cs="宋体"/>
          <w:spacing w:val="4"/>
          <w:kern w:val="0"/>
          <w:sz w:val="24"/>
          <w:highlight w:val="none"/>
        </w:rPr>
        <w:t>（五）编写评标报告。</w:t>
      </w:r>
    </w:p>
    <w:p w14:paraId="7613E467">
      <w:pPr>
        <w:spacing w:line="360" w:lineRule="auto"/>
        <w:ind w:firstLine="628" w:firstLineChars="262"/>
        <w:rPr>
          <w:rFonts w:ascii="宋体" w:hAnsi="宋体" w:cs="宋体"/>
          <w:bCs/>
          <w:sz w:val="24"/>
          <w:szCs w:val="24"/>
          <w:highlight w:val="none"/>
        </w:rPr>
      </w:pPr>
    </w:p>
    <w:p w14:paraId="193D5FA8">
      <w:pPr>
        <w:rPr>
          <w:rFonts w:ascii="宋体" w:hAnsi="宋体" w:cs="宋体"/>
          <w:b/>
          <w:sz w:val="32"/>
          <w:szCs w:val="24"/>
          <w:highlight w:val="none"/>
        </w:rPr>
      </w:pPr>
      <w:r>
        <w:rPr>
          <w:rFonts w:hint="eastAsia" w:ascii="宋体" w:hAnsi="宋体" w:cs="宋体"/>
          <w:b/>
          <w:sz w:val="32"/>
          <w:szCs w:val="24"/>
          <w:highlight w:val="none"/>
        </w:rPr>
        <w:br w:type="page"/>
      </w:r>
    </w:p>
    <w:p w14:paraId="19281FF8">
      <w:pPr>
        <w:widowControl/>
        <w:tabs>
          <w:tab w:val="left" w:pos="2280"/>
        </w:tabs>
        <w:spacing w:line="360" w:lineRule="auto"/>
        <w:jc w:val="center"/>
        <w:rPr>
          <w:rFonts w:ascii="宋体" w:hAnsi="宋体" w:cs="宋体"/>
          <w:b/>
          <w:sz w:val="32"/>
          <w:szCs w:val="24"/>
          <w:highlight w:val="none"/>
        </w:rPr>
      </w:pPr>
      <w:r>
        <w:rPr>
          <w:rFonts w:hint="eastAsia" w:ascii="宋体" w:hAnsi="宋体" w:cs="宋体"/>
          <w:b/>
          <w:sz w:val="32"/>
          <w:szCs w:val="24"/>
          <w:highlight w:val="none"/>
        </w:rPr>
        <w:t>第二部分  评分办法</w:t>
      </w:r>
    </w:p>
    <w:p w14:paraId="4E02D920">
      <w:pPr>
        <w:spacing w:line="360" w:lineRule="auto"/>
        <w:ind w:left="559" w:hanging="559" w:hangingChars="232"/>
        <w:rPr>
          <w:rFonts w:ascii="宋体" w:hAnsi="宋体" w:cs="宋体"/>
          <w:b/>
          <w:bCs/>
          <w:sz w:val="24"/>
          <w:highlight w:val="none"/>
        </w:rPr>
      </w:pPr>
      <w:bookmarkStart w:id="410" w:name="OLE_LINK1"/>
      <w:r>
        <w:rPr>
          <w:rFonts w:hint="eastAsia" w:ascii="宋体" w:hAnsi="宋体" w:cs="宋体"/>
          <w:b/>
          <w:bCs/>
          <w:sz w:val="24"/>
          <w:highlight w:val="none"/>
        </w:rPr>
        <w:t>一、资格审查</w:t>
      </w:r>
    </w:p>
    <w:p w14:paraId="5E4F572C">
      <w:pPr>
        <w:snapToGrid w:val="0"/>
        <w:spacing w:line="360" w:lineRule="auto"/>
        <w:jc w:val="center"/>
        <w:outlineLvl w:val="0"/>
        <w:rPr>
          <w:rFonts w:ascii="宋体" w:hAnsi="宋体" w:cs="宋体"/>
          <w:b/>
          <w:kern w:val="0"/>
          <w:sz w:val="32"/>
          <w:szCs w:val="32"/>
          <w:highlight w:val="none"/>
        </w:rPr>
      </w:pPr>
      <w:bookmarkStart w:id="411" w:name="_Toc25034"/>
      <w:bookmarkStart w:id="412" w:name="_Toc26143"/>
      <w:bookmarkStart w:id="413" w:name="_Toc26890"/>
      <w:r>
        <w:rPr>
          <w:rFonts w:hint="eastAsia" w:ascii="宋体" w:hAnsi="宋体" w:cs="宋体"/>
          <w:b/>
          <w:kern w:val="0"/>
          <w:sz w:val="32"/>
          <w:szCs w:val="32"/>
          <w:highlight w:val="none"/>
        </w:rPr>
        <w:t>资格审查表</w:t>
      </w:r>
      <w:bookmarkEnd w:id="411"/>
      <w:bookmarkEnd w:id="412"/>
      <w:bookmarkEnd w:id="413"/>
    </w:p>
    <w:tbl>
      <w:tblPr>
        <w:tblStyle w:val="28"/>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5438"/>
        <w:gridCol w:w="694"/>
        <w:gridCol w:w="694"/>
        <w:gridCol w:w="675"/>
        <w:gridCol w:w="744"/>
      </w:tblGrid>
      <w:tr w14:paraId="5FF6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94" w:type="dxa"/>
            <w:vMerge w:val="restart"/>
            <w:vAlign w:val="center"/>
          </w:tcPr>
          <w:p w14:paraId="24F06A24">
            <w:pPr>
              <w:snapToGrid w:val="0"/>
              <w:rPr>
                <w:rFonts w:ascii="宋体" w:hAnsi="宋体" w:cs="宋体"/>
                <w:b/>
                <w:bCs/>
                <w:kern w:val="0"/>
                <w:sz w:val="24"/>
                <w:highlight w:val="none"/>
              </w:rPr>
            </w:pPr>
            <w:r>
              <w:rPr>
                <w:rFonts w:hint="eastAsia" w:ascii="宋体" w:hAnsi="宋体" w:cs="宋体"/>
                <w:b/>
                <w:bCs/>
                <w:kern w:val="0"/>
                <w:sz w:val="24"/>
                <w:highlight w:val="none"/>
              </w:rPr>
              <w:t>序号</w:t>
            </w:r>
          </w:p>
        </w:tc>
        <w:tc>
          <w:tcPr>
            <w:tcW w:w="5438" w:type="dxa"/>
            <w:vMerge w:val="restart"/>
            <w:vAlign w:val="center"/>
          </w:tcPr>
          <w:p w14:paraId="4B99AEC7">
            <w:pPr>
              <w:snapToGrid w:val="0"/>
              <w:jc w:val="center"/>
              <w:rPr>
                <w:rFonts w:ascii="宋体" w:hAnsi="宋体" w:cs="宋体"/>
                <w:b/>
                <w:bCs/>
                <w:kern w:val="0"/>
                <w:sz w:val="24"/>
                <w:highlight w:val="none"/>
              </w:rPr>
            </w:pPr>
            <w:r>
              <w:rPr>
                <w:rFonts w:hint="eastAsia" w:ascii="宋体" w:hAnsi="宋体" w:cs="宋体"/>
                <w:b/>
                <w:bCs/>
                <w:kern w:val="0"/>
                <w:sz w:val="24"/>
                <w:highlight w:val="none"/>
              </w:rPr>
              <w:t>资格审查表（评审结果为合格、不合格）</w:t>
            </w:r>
          </w:p>
        </w:tc>
        <w:tc>
          <w:tcPr>
            <w:tcW w:w="2807" w:type="dxa"/>
            <w:gridSpan w:val="4"/>
            <w:vAlign w:val="center"/>
          </w:tcPr>
          <w:p w14:paraId="483D4898">
            <w:pPr>
              <w:snapToGrid w:val="0"/>
              <w:jc w:val="center"/>
              <w:rPr>
                <w:rFonts w:ascii="宋体" w:hAnsi="宋体" w:cs="宋体"/>
                <w:b/>
                <w:bCs/>
                <w:kern w:val="0"/>
                <w:sz w:val="24"/>
                <w:highlight w:val="none"/>
              </w:rPr>
            </w:pPr>
            <w:r>
              <w:rPr>
                <w:rFonts w:hint="eastAsia" w:ascii="宋体" w:hAnsi="宋体" w:cs="宋体"/>
                <w:kern w:val="0"/>
                <w:sz w:val="24"/>
                <w:highlight w:val="none"/>
              </w:rPr>
              <w:t>投标人</w:t>
            </w:r>
          </w:p>
        </w:tc>
      </w:tr>
      <w:tr w14:paraId="4438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94" w:type="dxa"/>
            <w:vMerge w:val="continue"/>
            <w:vAlign w:val="center"/>
          </w:tcPr>
          <w:p w14:paraId="4E03867B">
            <w:pPr>
              <w:snapToGrid w:val="0"/>
              <w:ind w:firstLine="482"/>
              <w:jc w:val="center"/>
              <w:rPr>
                <w:rFonts w:ascii="宋体" w:hAnsi="宋体" w:cs="宋体"/>
                <w:b/>
                <w:bCs/>
                <w:kern w:val="0"/>
                <w:sz w:val="24"/>
                <w:highlight w:val="none"/>
              </w:rPr>
            </w:pPr>
          </w:p>
        </w:tc>
        <w:tc>
          <w:tcPr>
            <w:tcW w:w="5438" w:type="dxa"/>
            <w:vMerge w:val="continue"/>
            <w:vAlign w:val="center"/>
          </w:tcPr>
          <w:p w14:paraId="4E305295">
            <w:pPr>
              <w:snapToGrid w:val="0"/>
              <w:ind w:firstLine="482"/>
              <w:rPr>
                <w:rFonts w:ascii="宋体" w:hAnsi="宋体" w:cs="宋体"/>
                <w:b/>
                <w:bCs/>
                <w:kern w:val="0"/>
                <w:sz w:val="24"/>
                <w:highlight w:val="none"/>
              </w:rPr>
            </w:pPr>
          </w:p>
        </w:tc>
        <w:tc>
          <w:tcPr>
            <w:tcW w:w="694" w:type="dxa"/>
            <w:vAlign w:val="center"/>
          </w:tcPr>
          <w:p w14:paraId="06256746">
            <w:pPr>
              <w:snapToGrid w:val="0"/>
              <w:ind w:firstLine="482"/>
              <w:jc w:val="center"/>
              <w:rPr>
                <w:rFonts w:ascii="宋体" w:hAnsi="宋体" w:cs="宋体"/>
                <w:b/>
                <w:bCs/>
                <w:kern w:val="0"/>
                <w:sz w:val="24"/>
                <w:highlight w:val="none"/>
              </w:rPr>
            </w:pPr>
          </w:p>
        </w:tc>
        <w:tc>
          <w:tcPr>
            <w:tcW w:w="694" w:type="dxa"/>
            <w:vAlign w:val="center"/>
          </w:tcPr>
          <w:p w14:paraId="674598D2">
            <w:pPr>
              <w:snapToGrid w:val="0"/>
              <w:ind w:firstLine="482"/>
              <w:jc w:val="center"/>
              <w:rPr>
                <w:rFonts w:ascii="宋体" w:hAnsi="宋体" w:cs="宋体"/>
                <w:b/>
                <w:bCs/>
                <w:kern w:val="0"/>
                <w:sz w:val="24"/>
                <w:highlight w:val="none"/>
              </w:rPr>
            </w:pPr>
          </w:p>
        </w:tc>
        <w:tc>
          <w:tcPr>
            <w:tcW w:w="675" w:type="dxa"/>
            <w:vAlign w:val="center"/>
          </w:tcPr>
          <w:p w14:paraId="64D87B22">
            <w:pPr>
              <w:snapToGrid w:val="0"/>
              <w:ind w:firstLine="482"/>
              <w:jc w:val="center"/>
              <w:rPr>
                <w:rFonts w:ascii="宋体" w:hAnsi="宋体" w:cs="宋体"/>
                <w:b/>
                <w:bCs/>
                <w:kern w:val="0"/>
                <w:sz w:val="24"/>
                <w:highlight w:val="none"/>
              </w:rPr>
            </w:pPr>
          </w:p>
        </w:tc>
        <w:tc>
          <w:tcPr>
            <w:tcW w:w="744" w:type="dxa"/>
            <w:vAlign w:val="center"/>
          </w:tcPr>
          <w:p w14:paraId="65C3FCD9">
            <w:pPr>
              <w:snapToGrid w:val="0"/>
              <w:rPr>
                <w:rFonts w:ascii="宋体" w:hAnsi="宋体" w:cs="宋体"/>
                <w:b/>
                <w:bCs/>
                <w:kern w:val="0"/>
                <w:sz w:val="24"/>
                <w:highlight w:val="none"/>
              </w:rPr>
            </w:pPr>
          </w:p>
        </w:tc>
      </w:tr>
      <w:tr w14:paraId="617E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694" w:type="dxa"/>
            <w:vAlign w:val="center"/>
          </w:tcPr>
          <w:p w14:paraId="3B614172">
            <w:pPr>
              <w:adjustRightInd w:val="0"/>
              <w:snapToGrid w:val="0"/>
              <w:jc w:val="center"/>
              <w:rPr>
                <w:rFonts w:ascii="宋体" w:hAnsi="宋体" w:cs="宋体"/>
                <w:kern w:val="0"/>
                <w:sz w:val="24"/>
                <w:highlight w:val="none"/>
              </w:rPr>
            </w:pPr>
            <w:r>
              <w:rPr>
                <w:rFonts w:hint="eastAsia" w:ascii="宋体" w:hAnsi="宋体" w:cs="宋体"/>
                <w:kern w:val="0"/>
                <w:sz w:val="24"/>
                <w:highlight w:val="none"/>
              </w:rPr>
              <w:t>1</w:t>
            </w:r>
          </w:p>
        </w:tc>
        <w:tc>
          <w:tcPr>
            <w:tcW w:w="5438" w:type="dxa"/>
            <w:vAlign w:val="center"/>
          </w:tcPr>
          <w:p w14:paraId="3A3CA944">
            <w:pPr>
              <w:adjustRightInd w:val="0"/>
              <w:snapToGrid w:val="0"/>
              <w:jc w:val="left"/>
              <w:rPr>
                <w:rFonts w:ascii="宋体" w:hAnsi="宋体" w:cs="宋体"/>
                <w:kern w:val="0"/>
                <w:sz w:val="24"/>
                <w:highlight w:val="none"/>
              </w:rPr>
            </w:pPr>
            <w:r>
              <w:rPr>
                <w:rFonts w:hint="eastAsia" w:ascii="宋体" w:hAnsi="宋体" w:cs="宋体"/>
                <w:sz w:val="24"/>
                <w:szCs w:val="24"/>
                <w:highlight w:val="none"/>
              </w:rPr>
              <w:t>有效的企业营业执照、组织机构代码证、税务登记证（已登记办理“三证合一”的企业仅须提供印有统一社会信用代码的营业执照）</w:t>
            </w:r>
          </w:p>
        </w:tc>
        <w:tc>
          <w:tcPr>
            <w:tcW w:w="694" w:type="dxa"/>
            <w:vAlign w:val="center"/>
          </w:tcPr>
          <w:p w14:paraId="604D54B9">
            <w:pPr>
              <w:adjustRightInd w:val="0"/>
              <w:snapToGrid w:val="0"/>
              <w:ind w:firstLine="480"/>
              <w:jc w:val="center"/>
              <w:rPr>
                <w:rFonts w:ascii="宋体" w:hAnsi="宋体" w:cs="宋体"/>
                <w:kern w:val="0"/>
                <w:sz w:val="24"/>
                <w:highlight w:val="none"/>
              </w:rPr>
            </w:pPr>
          </w:p>
        </w:tc>
        <w:tc>
          <w:tcPr>
            <w:tcW w:w="694" w:type="dxa"/>
            <w:vAlign w:val="center"/>
          </w:tcPr>
          <w:p w14:paraId="6B5427AB">
            <w:pPr>
              <w:adjustRightInd w:val="0"/>
              <w:snapToGrid w:val="0"/>
              <w:ind w:firstLine="480"/>
              <w:jc w:val="center"/>
              <w:rPr>
                <w:rFonts w:ascii="宋体" w:hAnsi="宋体" w:cs="宋体"/>
                <w:kern w:val="0"/>
                <w:sz w:val="24"/>
                <w:highlight w:val="none"/>
              </w:rPr>
            </w:pPr>
          </w:p>
        </w:tc>
        <w:tc>
          <w:tcPr>
            <w:tcW w:w="675" w:type="dxa"/>
            <w:vAlign w:val="center"/>
          </w:tcPr>
          <w:p w14:paraId="58860BF6">
            <w:pPr>
              <w:adjustRightInd w:val="0"/>
              <w:snapToGrid w:val="0"/>
              <w:ind w:firstLine="480"/>
              <w:jc w:val="center"/>
              <w:rPr>
                <w:rFonts w:ascii="宋体" w:hAnsi="宋体" w:cs="宋体"/>
                <w:kern w:val="0"/>
                <w:sz w:val="24"/>
                <w:highlight w:val="none"/>
              </w:rPr>
            </w:pPr>
          </w:p>
        </w:tc>
        <w:tc>
          <w:tcPr>
            <w:tcW w:w="744" w:type="dxa"/>
            <w:vAlign w:val="center"/>
          </w:tcPr>
          <w:p w14:paraId="4541AD25">
            <w:pPr>
              <w:adjustRightInd w:val="0"/>
              <w:snapToGrid w:val="0"/>
              <w:ind w:firstLine="480"/>
              <w:jc w:val="center"/>
              <w:rPr>
                <w:rFonts w:ascii="宋体" w:hAnsi="宋体" w:cs="宋体"/>
                <w:kern w:val="0"/>
                <w:sz w:val="24"/>
                <w:highlight w:val="none"/>
              </w:rPr>
            </w:pPr>
          </w:p>
        </w:tc>
      </w:tr>
      <w:tr w14:paraId="14CA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694" w:type="dxa"/>
            <w:vAlign w:val="center"/>
          </w:tcPr>
          <w:p w14:paraId="432409C6">
            <w:pPr>
              <w:adjustRightInd w:val="0"/>
              <w:snapToGrid w:val="0"/>
              <w:jc w:val="center"/>
              <w:rPr>
                <w:rFonts w:ascii="宋体" w:hAnsi="宋体" w:cs="宋体"/>
                <w:kern w:val="0"/>
                <w:sz w:val="24"/>
                <w:highlight w:val="none"/>
              </w:rPr>
            </w:pPr>
            <w:r>
              <w:rPr>
                <w:rFonts w:hint="eastAsia" w:ascii="宋体" w:hAnsi="宋体" w:cs="宋体"/>
                <w:kern w:val="0"/>
                <w:sz w:val="24"/>
                <w:highlight w:val="none"/>
              </w:rPr>
              <w:t>2</w:t>
            </w:r>
          </w:p>
        </w:tc>
        <w:tc>
          <w:tcPr>
            <w:tcW w:w="5438" w:type="dxa"/>
            <w:vAlign w:val="center"/>
          </w:tcPr>
          <w:p w14:paraId="369B3207">
            <w:pPr>
              <w:adjustRightInd w:val="0"/>
              <w:snapToGrid w:val="0"/>
              <w:jc w:val="left"/>
              <w:rPr>
                <w:rFonts w:ascii="宋体" w:hAnsi="宋体" w:cs="宋体"/>
                <w:sz w:val="24"/>
                <w:szCs w:val="24"/>
                <w:highlight w:val="none"/>
              </w:rPr>
            </w:pPr>
            <w:r>
              <w:rPr>
                <w:rFonts w:hint="eastAsia" w:ascii="宋体" w:hAnsi="宋体" w:cs="宋体"/>
                <w:sz w:val="24"/>
                <w:szCs w:val="24"/>
                <w:highlight w:val="none"/>
              </w:rPr>
              <w:t>项目负责人需具备</w:t>
            </w:r>
            <w:r>
              <w:rPr>
                <w:rFonts w:hint="eastAsia" w:ascii="宋体" w:hAnsi="宋体" w:cs="宋体"/>
                <w:kern w:val="0"/>
                <w:sz w:val="24"/>
                <w:szCs w:val="21"/>
                <w:highlight w:val="none"/>
              </w:rPr>
              <w:t>物理海洋、海洋生物或海洋化学专业高级职称</w:t>
            </w:r>
          </w:p>
        </w:tc>
        <w:tc>
          <w:tcPr>
            <w:tcW w:w="694" w:type="dxa"/>
            <w:vAlign w:val="center"/>
          </w:tcPr>
          <w:p w14:paraId="520B9F7C">
            <w:pPr>
              <w:adjustRightInd w:val="0"/>
              <w:snapToGrid w:val="0"/>
              <w:ind w:firstLine="480"/>
              <w:jc w:val="center"/>
              <w:rPr>
                <w:rFonts w:ascii="宋体" w:hAnsi="宋体" w:cs="宋体"/>
                <w:kern w:val="0"/>
                <w:sz w:val="24"/>
                <w:highlight w:val="none"/>
              </w:rPr>
            </w:pPr>
          </w:p>
        </w:tc>
        <w:tc>
          <w:tcPr>
            <w:tcW w:w="694" w:type="dxa"/>
            <w:vAlign w:val="center"/>
          </w:tcPr>
          <w:p w14:paraId="015BD466">
            <w:pPr>
              <w:adjustRightInd w:val="0"/>
              <w:snapToGrid w:val="0"/>
              <w:ind w:firstLine="480"/>
              <w:jc w:val="center"/>
              <w:rPr>
                <w:rFonts w:ascii="宋体" w:hAnsi="宋体" w:cs="宋体"/>
                <w:kern w:val="0"/>
                <w:sz w:val="24"/>
                <w:highlight w:val="none"/>
              </w:rPr>
            </w:pPr>
          </w:p>
        </w:tc>
        <w:tc>
          <w:tcPr>
            <w:tcW w:w="675" w:type="dxa"/>
            <w:vAlign w:val="center"/>
          </w:tcPr>
          <w:p w14:paraId="3DAAF787">
            <w:pPr>
              <w:adjustRightInd w:val="0"/>
              <w:snapToGrid w:val="0"/>
              <w:ind w:firstLine="480"/>
              <w:jc w:val="center"/>
              <w:rPr>
                <w:rFonts w:ascii="宋体" w:hAnsi="宋体" w:cs="宋体"/>
                <w:kern w:val="0"/>
                <w:sz w:val="24"/>
                <w:highlight w:val="none"/>
              </w:rPr>
            </w:pPr>
          </w:p>
        </w:tc>
        <w:tc>
          <w:tcPr>
            <w:tcW w:w="744" w:type="dxa"/>
            <w:vAlign w:val="center"/>
          </w:tcPr>
          <w:p w14:paraId="2D203EC0">
            <w:pPr>
              <w:adjustRightInd w:val="0"/>
              <w:snapToGrid w:val="0"/>
              <w:ind w:firstLine="480"/>
              <w:jc w:val="center"/>
              <w:rPr>
                <w:rFonts w:ascii="宋体" w:hAnsi="宋体" w:cs="宋体"/>
                <w:kern w:val="0"/>
                <w:sz w:val="24"/>
                <w:highlight w:val="none"/>
              </w:rPr>
            </w:pPr>
          </w:p>
        </w:tc>
      </w:tr>
      <w:tr w14:paraId="2BA0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94" w:type="dxa"/>
            <w:vAlign w:val="center"/>
          </w:tcPr>
          <w:p w14:paraId="76AFF9A5">
            <w:pPr>
              <w:adjustRightInd w:val="0"/>
              <w:snapToGrid w:val="0"/>
              <w:jc w:val="center"/>
              <w:rPr>
                <w:rFonts w:ascii="宋体" w:hAnsi="宋体" w:cs="宋体"/>
                <w:kern w:val="0"/>
                <w:sz w:val="24"/>
                <w:highlight w:val="none"/>
              </w:rPr>
            </w:pPr>
            <w:r>
              <w:rPr>
                <w:rFonts w:hint="eastAsia" w:ascii="宋体" w:hAnsi="宋体" w:cs="宋体"/>
                <w:kern w:val="0"/>
                <w:sz w:val="24"/>
                <w:highlight w:val="none"/>
              </w:rPr>
              <w:t>3</w:t>
            </w:r>
          </w:p>
        </w:tc>
        <w:tc>
          <w:tcPr>
            <w:tcW w:w="5438" w:type="dxa"/>
            <w:vAlign w:val="center"/>
          </w:tcPr>
          <w:p w14:paraId="429374BE">
            <w:pPr>
              <w:spacing w:line="360" w:lineRule="auto"/>
              <w:rPr>
                <w:rFonts w:ascii="宋体" w:hAnsi="宋体" w:cs="宋体"/>
                <w:kern w:val="0"/>
                <w:sz w:val="24"/>
                <w:highlight w:val="none"/>
              </w:rPr>
            </w:pPr>
            <w:r>
              <w:rPr>
                <w:rFonts w:hint="eastAsia" w:ascii="宋体" w:hAnsi="宋体" w:cs="宋体"/>
                <w:sz w:val="24"/>
                <w:szCs w:val="24"/>
                <w:highlight w:val="none"/>
              </w:rPr>
              <w:t>法定代表人身份证明书或法定代表人授权书</w:t>
            </w:r>
          </w:p>
        </w:tc>
        <w:tc>
          <w:tcPr>
            <w:tcW w:w="694" w:type="dxa"/>
            <w:vAlign w:val="center"/>
          </w:tcPr>
          <w:p w14:paraId="447750EC">
            <w:pPr>
              <w:adjustRightInd w:val="0"/>
              <w:snapToGrid w:val="0"/>
              <w:jc w:val="center"/>
              <w:rPr>
                <w:rFonts w:ascii="宋体" w:hAnsi="宋体" w:cs="宋体"/>
                <w:kern w:val="0"/>
                <w:sz w:val="24"/>
                <w:highlight w:val="none"/>
              </w:rPr>
            </w:pPr>
          </w:p>
        </w:tc>
        <w:tc>
          <w:tcPr>
            <w:tcW w:w="694" w:type="dxa"/>
            <w:vAlign w:val="center"/>
          </w:tcPr>
          <w:p w14:paraId="56267C15">
            <w:pPr>
              <w:adjustRightInd w:val="0"/>
              <w:snapToGrid w:val="0"/>
              <w:jc w:val="center"/>
              <w:rPr>
                <w:rFonts w:ascii="宋体" w:hAnsi="宋体" w:cs="宋体"/>
                <w:kern w:val="0"/>
                <w:sz w:val="24"/>
                <w:highlight w:val="none"/>
              </w:rPr>
            </w:pPr>
          </w:p>
        </w:tc>
        <w:tc>
          <w:tcPr>
            <w:tcW w:w="675" w:type="dxa"/>
            <w:vAlign w:val="center"/>
          </w:tcPr>
          <w:p w14:paraId="3A4AB9D2">
            <w:pPr>
              <w:adjustRightInd w:val="0"/>
              <w:snapToGrid w:val="0"/>
              <w:jc w:val="center"/>
              <w:rPr>
                <w:rFonts w:ascii="宋体" w:hAnsi="宋体" w:cs="宋体"/>
                <w:kern w:val="0"/>
                <w:sz w:val="24"/>
                <w:highlight w:val="none"/>
              </w:rPr>
            </w:pPr>
          </w:p>
        </w:tc>
        <w:tc>
          <w:tcPr>
            <w:tcW w:w="744" w:type="dxa"/>
            <w:vAlign w:val="center"/>
          </w:tcPr>
          <w:p w14:paraId="5BA2E852">
            <w:pPr>
              <w:adjustRightInd w:val="0"/>
              <w:snapToGrid w:val="0"/>
              <w:jc w:val="center"/>
              <w:rPr>
                <w:rFonts w:ascii="宋体" w:hAnsi="宋体" w:cs="宋体"/>
                <w:kern w:val="0"/>
                <w:sz w:val="24"/>
                <w:highlight w:val="none"/>
              </w:rPr>
            </w:pPr>
          </w:p>
        </w:tc>
      </w:tr>
      <w:tr w14:paraId="0002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4" w:type="dxa"/>
            <w:vAlign w:val="center"/>
          </w:tcPr>
          <w:p w14:paraId="621A80C2">
            <w:pPr>
              <w:adjustRightInd w:val="0"/>
              <w:snapToGrid w:val="0"/>
              <w:jc w:val="center"/>
              <w:rPr>
                <w:rFonts w:ascii="宋体" w:hAnsi="宋体" w:cs="宋体"/>
                <w:kern w:val="0"/>
                <w:sz w:val="24"/>
                <w:highlight w:val="none"/>
              </w:rPr>
            </w:pPr>
            <w:r>
              <w:rPr>
                <w:rFonts w:hint="eastAsia" w:ascii="宋体" w:hAnsi="宋体" w:cs="宋体"/>
                <w:kern w:val="0"/>
                <w:sz w:val="24"/>
                <w:highlight w:val="none"/>
              </w:rPr>
              <w:t>4</w:t>
            </w:r>
          </w:p>
        </w:tc>
        <w:tc>
          <w:tcPr>
            <w:tcW w:w="5438" w:type="dxa"/>
            <w:shd w:val="clear" w:color="auto" w:fill="auto"/>
            <w:vAlign w:val="center"/>
          </w:tcPr>
          <w:p w14:paraId="10D3B0DD">
            <w:pPr>
              <w:adjustRightInd w:val="0"/>
              <w:snapToGrid w:val="0"/>
              <w:jc w:val="left"/>
              <w:rPr>
                <w:rFonts w:ascii="宋体" w:hAnsi="宋体" w:cs="宋体"/>
                <w:sz w:val="24"/>
                <w:szCs w:val="24"/>
                <w:highlight w:val="none"/>
              </w:rPr>
            </w:pPr>
            <w:r>
              <w:rPr>
                <w:rFonts w:hint="eastAsia" w:ascii="宋体" w:hAnsi="宋体" w:cs="宋体"/>
                <w:sz w:val="24"/>
                <w:szCs w:val="24"/>
                <w:highlight w:val="none"/>
              </w:rPr>
              <w:t>投标保证书</w:t>
            </w:r>
          </w:p>
        </w:tc>
        <w:tc>
          <w:tcPr>
            <w:tcW w:w="694" w:type="dxa"/>
            <w:vAlign w:val="center"/>
          </w:tcPr>
          <w:p w14:paraId="2F3D28E9">
            <w:pPr>
              <w:adjustRightInd w:val="0"/>
              <w:snapToGrid w:val="0"/>
              <w:jc w:val="center"/>
              <w:rPr>
                <w:rFonts w:ascii="宋体" w:hAnsi="宋体" w:cs="宋体"/>
                <w:kern w:val="0"/>
                <w:sz w:val="24"/>
                <w:highlight w:val="none"/>
              </w:rPr>
            </w:pPr>
          </w:p>
        </w:tc>
        <w:tc>
          <w:tcPr>
            <w:tcW w:w="694" w:type="dxa"/>
            <w:vAlign w:val="center"/>
          </w:tcPr>
          <w:p w14:paraId="3B8A2FCE">
            <w:pPr>
              <w:adjustRightInd w:val="0"/>
              <w:snapToGrid w:val="0"/>
              <w:jc w:val="center"/>
              <w:rPr>
                <w:rFonts w:ascii="宋体" w:hAnsi="宋体" w:cs="宋体"/>
                <w:kern w:val="0"/>
                <w:sz w:val="24"/>
                <w:highlight w:val="none"/>
              </w:rPr>
            </w:pPr>
          </w:p>
        </w:tc>
        <w:tc>
          <w:tcPr>
            <w:tcW w:w="675" w:type="dxa"/>
            <w:vAlign w:val="center"/>
          </w:tcPr>
          <w:p w14:paraId="112974F5">
            <w:pPr>
              <w:adjustRightInd w:val="0"/>
              <w:snapToGrid w:val="0"/>
              <w:jc w:val="center"/>
              <w:rPr>
                <w:rFonts w:ascii="宋体" w:hAnsi="宋体" w:cs="宋体"/>
                <w:kern w:val="0"/>
                <w:sz w:val="24"/>
                <w:highlight w:val="none"/>
              </w:rPr>
            </w:pPr>
          </w:p>
        </w:tc>
        <w:tc>
          <w:tcPr>
            <w:tcW w:w="744" w:type="dxa"/>
            <w:vAlign w:val="center"/>
          </w:tcPr>
          <w:p w14:paraId="781A1E94">
            <w:pPr>
              <w:adjustRightInd w:val="0"/>
              <w:snapToGrid w:val="0"/>
              <w:jc w:val="center"/>
              <w:rPr>
                <w:rFonts w:ascii="宋体" w:hAnsi="宋体" w:cs="宋体"/>
                <w:kern w:val="0"/>
                <w:sz w:val="24"/>
                <w:highlight w:val="none"/>
              </w:rPr>
            </w:pPr>
          </w:p>
        </w:tc>
      </w:tr>
      <w:tr w14:paraId="0C03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94" w:type="dxa"/>
            <w:vAlign w:val="center"/>
          </w:tcPr>
          <w:p w14:paraId="1BB316D5">
            <w:pPr>
              <w:adjustRightInd w:val="0"/>
              <w:snapToGrid w:val="0"/>
              <w:jc w:val="center"/>
              <w:rPr>
                <w:rFonts w:ascii="宋体" w:hAnsi="宋体" w:cs="宋体"/>
                <w:kern w:val="0"/>
                <w:sz w:val="24"/>
                <w:highlight w:val="none"/>
              </w:rPr>
            </w:pPr>
            <w:r>
              <w:rPr>
                <w:rFonts w:hint="eastAsia" w:ascii="宋体" w:hAnsi="宋体" w:cs="宋体"/>
                <w:kern w:val="0"/>
                <w:sz w:val="24"/>
                <w:highlight w:val="none"/>
              </w:rPr>
              <w:t>5</w:t>
            </w:r>
          </w:p>
        </w:tc>
        <w:tc>
          <w:tcPr>
            <w:tcW w:w="5438" w:type="dxa"/>
            <w:shd w:val="clear" w:color="auto" w:fill="auto"/>
            <w:vAlign w:val="center"/>
          </w:tcPr>
          <w:p w14:paraId="0EDACE00">
            <w:pPr>
              <w:adjustRightInd w:val="0"/>
              <w:snapToGrid w:val="0"/>
              <w:jc w:val="left"/>
              <w:rPr>
                <w:rFonts w:ascii="宋体" w:hAnsi="宋体" w:cs="宋体"/>
                <w:kern w:val="0"/>
                <w:sz w:val="24"/>
                <w:highlight w:val="none"/>
              </w:rPr>
            </w:pPr>
            <w:r>
              <w:rPr>
                <w:rFonts w:hint="eastAsia" w:ascii="宋体" w:hAnsi="宋体" w:cs="宋体"/>
                <w:sz w:val="24"/>
                <w:szCs w:val="24"/>
                <w:highlight w:val="none"/>
              </w:rPr>
              <w:t>投标保证金（收据或汇款凭证）或保函</w:t>
            </w:r>
          </w:p>
        </w:tc>
        <w:tc>
          <w:tcPr>
            <w:tcW w:w="694" w:type="dxa"/>
            <w:vAlign w:val="center"/>
          </w:tcPr>
          <w:p w14:paraId="4C2939FB">
            <w:pPr>
              <w:adjustRightInd w:val="0"/>
              <w:snapToGrid w:val="0"/>
              <w:jc w:val="center"/>
              <w:rPr>
                <w:rFonts w:ascii="宋体" w:hAnsi="宋体" w:cs="宋体"/>
                <w:kern w:val="0"/>
                <w:sz w:val="24"/>
                <w:highlight w:val="none"/>
              </w:rPr>
            </w:pPr>
          </w:p>
        </w:tc>
        <w:tc>
          <w:tcPr>
            <w:tcW w:w="694" w:type="dxa"/>
            <w:vAlign w:val="center"/>
          </w:tcPr>
          <w:p w14:paraId="0DDCF2EF">
            <w:pPr>
              <w:adjustRightInd w:val="0"/>
              <w:snapToGrid w:val="0"/>
              <w:jc w:val="center"/>
              <w:rPr>
                <w:rFonts w:ascii="宋体" w:hAnsi="宋体" w:cs="宋体"/>
                <w:kern w:val="0"/>
                <w:sz w:val="24"/>
                <w:highlight w:val="none"/>
              </w:rPr>
            </w:pPr>
          </w:p>
        </w:tc>
        <w:tc>
          <w:tcPr>
            <w:tcW w:w="675" w:type="dxa"/>
            <w:vAlign w:val="center"/>
          </w:tcPr>
          <w:p w14:paraId="13DC34A2">
            <w:pPr>
              <w:adjustRightInd w:val="0"/>
              <w:snapToGrid w:val="0"/>
              <w:jc w:val="center"/>
              <w:rPr>
                <w:rFonts w:ascii="宋体" w:hAnsi="宋体" w:cs="宋体"/>
                <w:kern w:val="0"/>
                <w:sz w:val="24"/>
                <w:highlight w:val="none"/>
              </w:rPr>
            </w:pPr>
          </w:p>
        </w:tc>
        <w:tc>
          <w:tcPr>
            <w:tcW w:w="744" w:type="dxa"/>
            <w:vAlign w:val="center"/>
          </w:tcPr>
          <w:p w14:paraId="477BC022">
            <w:pPr>
              <w:adjustRightInd w:val="0"/>
              <w:snapToGrid w:val="0"/>
              <w:jc w:val="center"/>
              <w:rPr>
                <w:rFonts w:ascii="宋体" w:hAnsi="宋体" w:cs="宋体"/>
                <w:kern w:val="0"/>
                <w:sz w:val="24"/>
                <w:highlight w:val="none"/>
              </w:rPr>
            </w:pPr>
          </w:p>
        </w:tc>
      </w:tr>
      <w:tr w14:paraId="7290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94" w:type="dxa"/>
            <w:vAlign w:val="center"/>
          </w:tcPr>
          <w:p w14:paraId="7996BE9E">
            <w:pPr>
              <w:adjustRightInd w:val="0"/>
              <w:snapToGrid w:val="0"/>
              <w:jc w:val="center"/>
              <w:rPr>
                <w:rFonts w:ascii="宋体" w:hAnsi="宋体" w:cs="宋体"/>
                <w:kern w:val="0"/>
                <w:sz w:val="24"/>
                <w:highlight w:val="none"/>
              </w:rPr>
            </w:pPr>
            <w:r>
              <w:rPr>
                <w:rFonts w:hint="eastAsia" w:ascii="宋体" w:hAnsi="宋体" w:cs="宋体"/>
                <w:kern w:val="0"/>
                <w:sz w:val="24"/>
                <w:highlight w:val="none"/>
              </w:rPr>
              <w:t>6</w:t>
            </w:r>
          </w:p>
        </w:tc>
        <w:tc>
          <w:tcPr>
            <w:tcW w:w="5438" w:type="dxa"/>
            <w:shd w:val="clear" w:color="auto" w:fill="auto"/>
            <w:vAlign w:val="center"/>
          </w:tcPr>
          <w:p w14:paraId="56C4A496">
            <w:pPr>
              <w:adjustRightInd w:val="0"/>
              <w:snapToGrid w:val="0"/>
              <w:jc w:val="left"/>
              <w:rPr>
                <w:rFonts w:ascii="宋体" w:hAnsi="宋体" w:cs="宋体"/>
                <w:kern w:val="0"/>
                <w:sz w:val="24"/>
                <w:highlight w:val="none"/>
              </w:rPr>
            </w:pPr>
            <w:r>
              <w:rPr>
                <w:rFonts w:hint="eastAsia" w:ascii="宋体" w:hAnsi="宋体" w:cs="宋体"/>
                <w:kern w:val="0"/>
                <w:sz w:val="24"/>
                <w:szCs w:val="28"/>
                <w:highlight w:val="none"/>
              </w:rPr>
              <w:t>投标人</w:t>
            </w:r>
            <w:r>
              <w:rPr>
                <w:rFonts w:hint="eastAsia" w:ascii="宋体" w:hAnsi="宋体" w:cs="宋体"/>
                <w:sz w:val="24"/>
                <w:highlight w:val="none"/>
              </w:rPr>
              <w:t>不得被列入“失信被执行人”或“失信惩戒对象”或“重大税收违法案件当事人”，以“信用中国”网站（www.creditchina.gov.cn）查询为准。（需在招标公告发布后从“信用中国”网站打印查询结果并加盖公章）</w:t>
            </w:r>
          </w:p>
        </w:tc>
        <w:tc>
          <w:tcPr>
            <w:tcW w:w="694" w:type="dxa"/>
            <w:vAlign w:val="center"/>
          </w:tcPr>
          <w:p w14:paraId="78A80312">
            <w:pPr>
              <w:adjustRightInd w:val="0"/>
              <w:snapToGrid w:val="0"/>
              <w:jc w:val="center"/>
              <w:rPr>
                <w:rFonts w:ascii="宋体" w:hAnsi="宋体" w:cs="宋体"/>
                <w:kern w:val="0"/>
                <w:sz w:val="24"/>
                <w:highlight w:val="none"/>
              </w:rPr>
            </w:pPr>
          </w:p>
        </w:tc>
        <w:tc>
          <w:tcPr>
            <w:tcW w:w="694" w:type="dxa"/>
            <w:vAlign w:val="center"/>
          </w:tcPr>
          <w:p w14:paraId="33C8A92E">
            <w:pPr>
              <w:adjustRightInd w:val="0"/>
              <w:snapToGrid w:val="0"/>
              <w:jc w:val="center"/>
              <w:rPr>
                <w:rFonts w:ascii="宋体" w:hAnsi="宋体" w:cs="宋体"/>
                <w:kern w:val="0"/>
                <w:sz w:val="24"/>
                <w:highlight w:val="none"/>
              </w:rPr>
            </w:pPr>
          </w:p>
        </w:tc>
        <w:tc>
          <w:tcPr>
            <w:tcW w:w="675" w:type="dxa"/>
            <w:vAlign w:val="center"/>
          </w:tcPr>
          <w:p w14:paraId="4AA80D62">
            <w:pPr>
              <w:adjustRightInd w:val="0"/>
              <w:snapToGrid w:val="0"/>
              <w:jc w:val="center"/>
              <w:rPr>
                <w:rFonts w:ascii="宋体" w:hAnsi="宋体" w:cs="宋体"/>
                <w:kern w:val="0"/>
                <w:sz w:val="24"/>
                <w:highlight w:val="none"/>
              </w:rPr>
            </w:pPr>
          </w:p>
        </w:tc>
        <w:tc>
          <w:tcPr>
            <w:tcW w:w="744" w:type="dxa"/>
            <w:vAlign w:val="center"/>
          </w:tcPr>
          <w:p w14:paraId="65202460">
            <w:pPr>
              <w:adjustRightInd w:val="0"/>
              <w:snapToGrid w:val="0"/>
              <w:jc w:val="center"/>
              <w:rPr>
                <w:rFonts w:ascii="宋体" w:hAnsi="宋体" w:cs="宋体"/>
                <w:kern w:val="0"/>
                <w:sz w:val="24"/>
                <w:highlight w:val="none"/>
              </w:rPr>
            </w:pPr>
          </w:p>
        </w:tc>
      </w:tr>
      <w:tr w14:paraId="0A07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94" w:type="dxa"/>
            <w:vAlign w:val="center"/>
          </w:tcPr>
          <w:p w14:paraId="4473667D">
            <w:pPr>
              <w:adjustRightInd w:val="0"/>
              <w:snapToGrid w:val="0"/>
              <w:jc w:val="center"/>
              <w:rPr>
                <w:rFonts w:ascii="宋体" w:hAnsi="宋体" w:cs="宋体"/>
                <w:kern w:val="0"/>
                <w:sz w:val="24"/>
                <w:highlight w:val="none"/>
              </w:rPr>
            </w:pPr>
            <w:r>
              <w:rPr>
                <w:rFonts w:hint="eastAsia" w:ascii="宋体" w:hAnsi="宋体" w:cs="宋体"/>
                <w:kern w:val="0"/>
                <w:sz w:val="24"/>
                <w:highlight w:val="none"/>
              </w:rPr>
              <w:t>7</w:t>
            </w:r>
          </w:p>
        </w:tc>
        <w:tc>
          <w:tcPr>
            <w:tcW w:w="5438" w:type="dxa"/>
            <w:shd w:val="clear" w:color="auto" w:fill="auto"/>
            <w:vAlign w:val="center"/>
          </w:tcPr>
          <w:p w14:paraId="3D0C7747">
            <w:pPr>
              <w:adjustRightInd w:val="0"/>
              <w:snapToGrid w:val="0"/>
              <w:jc w:val="left"/>
              <w:rPr>
                <w:rFonts w:ascii="宋体" w:hAnsi="宋体" w:cs="宋体"/>
                <w:kern w:val="0"/>
                <w:sz w:val="24"/>
                <w:highlight w:val="none"/>
              </w:rPr>
            </w:pPr>
            <w:r>
              <w:rPr>
                <w:rFonts w:hint="eastAsia" w:ascii="宋体" w:hAnsi="宋体" w:cs="宋体"/>
                <w:sz w:val="24"/>
                <w:highlight w:val="none"/>
              </w:rPr>
              <w:t>投标人告知承诺函</w:t>
            </w:r>
          </w:p>
        </w:tc>
        <w:tc>
          <w:tcPr>
            <w:tcW w:w="694" w:type="dxa"/>
            <w:vAlign w:val="center"/>
          </w:tcPr>
          <w:p w14:paraId="5AFDC28D">
            <w:pPr>
              <w:adjustRightInd w:val="0"/>
              <w:snapToGrid w:val="0"/>
              <w:jc w:val="center"/>
              <w:rPr>
                <w:rFonts w:ascii="宋体" w:hAnsi="宋体" w:cs="宋体"/>
                <w:kern w:val="0"/>
                <w:sz w:val="24"/>
                <w:highlight w:val="none"/>
              </w:rPr>
            </w:pPr>
          </w:p>
        </w:tc>
        <w:tc>
          <w:tcPr>
            <w:tcW w:w="694" w:type="dxa"/>
            <w:vAlign w:val="center"/>
          </w:tcPr>
          <w:p w14:paraId="6C06F98C">
            <w:pPr>
              <w:adjustRightInd w:val="0"/>
              <w:snapToGrid w:val="0"/>
              <w:jc w:val="center"/>
              <w:rPr>
                <w:rFonts w:ascii="宋体" w:hAnsi="宋体" w:cs="宋体"/>
                <w:kern w:val="0"/>
                <w:sz w:val="24"/>
                <w:highlight w:val="none"/>
              </w:rPr>
            </w:pPr>
          </w:p>
        </w:tc>
        <w:tc>
          <w:tcPr>
            <w:tcW w:w="675" w:type="dxa"/>
            <w:vAlign w:val="center"/>
          </w:tcPr>
          <w:p w14:paraId="3C28F4DC">
            <w:pPr>
              <w:adjustRightInd w:val="0"/>
              <w:snapToGrid w:val="0"/>
              <w:jc w:val="center"/>
              <w:rPr>
                <w:rFonts w:ascii="宋体" w:hAnsi="宋体" w:cs="宋体"/>
                <w:kern w:val="0"/>
                <w:sz w:val="24"/>
                <w:highlight w:val="none"/>
              </w:rPr>
            </w:pPr>
          </w:p>
        </w:tc>
        <w:tc>
          <w:tcPr>
            <w:tcW w:w="744" w:type="dxa"/>
            <w:vAlign w:val="center"/>
          </w:tcPr>
          <w:p w14:paraId="5658FC59">
            <w:pPr>
              <w:adjustRightInd w:val="0"/>
              <w:snapToGrid w:val="0"/>
              <w:jc w:val="center"/>
              <w:rPr>
                <w:rFonts w:ascii="宋体" w:hAnsi="宋体" w:cs="宋体"/>
                <w:kern w:val="0"/>
                <w:sz w:val="24"/>
                <w:highlight w:val="none"/>
              </w:rPr>
            </w:pPr>
          </w:p>
        </w:tc>
      </w:tr>
      <w:tr w14:paraId="5203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132" w:type="dxa"/>
            <w:gridSpan w:val="2"/>
            <w:vAlign w:val="center"/>
          </w:tcPr>
          <w:p w14:paraId="7F389515">
            <w:pPr>
              <w:adjustRightInd w:val="0"/>
              <w:snapToGrid w:val="0"/>
              <w:jc w:val="center"/>
              <w:rPr>
                <w:rFonts w:ascii="宋体" w:hAnsi="宋体" w:cs="宋体"/>
                <w:kern w:val="0"/>
                <w:sz w:val="24"/>
                <w:highlight w:val="none"/>
              </w:rPr>
            </w:pPr>
            <w:r>
              <w:rPr>
                <w:rFonts w:hint="eastAsia" w:ascii="宋体" w:hAnsi="宋体" w:cs="宋体"/>
                <w:kern w:val="0"/>
                <w:sz w:val="24"/>
                <w:highlight w:val="none"/>
              </w:rPr>
              <w:t>审查结论</w:t>
            </w:r>
          </w:p>
        </w:tc>
        <w:tc>
          <w:tcPr>
            <w:tcW w:w="694" w:type="dxa"/>
            <w:vAlign w:val="center"/>
          </w:tcPr>
          <w:p w14:paraId="525E1DC8">
            <w:pPr>
              <w:adjustRightInd w:val="0"/>
              <w:snapToGrid w:val="0"/>
              <w:jc w:val="center"/>
              <w:rPr>
                <w:rFonts w:ascii="宋体" w:hAnsi="宋体" w:cs="宋体"/>
                <w:kern w:val="0"/>
                <w:sz w:val="24"/>
                <w:highlight w:val="none"/>
              </w:rPr>
            </w:pPr>
          </w:p>
        </w:tc>
        <w:tc>
          <w:tcPr>
            <w:tcW w:w="694" w:type="dxa"/>
            <w:vAlign w:val="center"/>
          </w:tcPr>
          <w:p w14:paraId="25A84ABD">
            <w:pPr>
              <w:adjustRightInd w:val="0"/>
              <w:snapToGrid w:val="0"/>
              <w:jc w:val="center"/>
              <w:rPr>
                <w:rFonts w:ascii="宋体" w:hAnsi="宋体" w:cs="宋体"/>
                <w:kern w:val="0"/>
                <w:sz w:val="24"/>
                <w:highlight w:val="none"/>
              </w:rPr>
            </w:pPr>
          </w:p>
        </w:tc>
        <w:tc>
          <w:tcPr>
            <w:tcW w:w="675" w:type="dxa"/>
            <w:vAlign w:val="center"/>
          </w:tcPr>
          <w:p w14:paraId="3D335FA7">
            <w:pPr>
              <w:adjustRightInd w:val="0"/>
              <w:snapToGrid w:val="0"/>
              <w:jc w:val="center"/>
              <w:rPr>
                <w:rFonts w:ascii="宋体" w:hAnsi="宋体" w:cs="宋体"/>
                <w:kern w:val="0"/>
                <w:sz w:val="24"/>
                <w:highlight w:val="none"/>
              </w:rPr>
            </w:pPr>
          </w:p>
        </w:tc>
        <w:tc>
          <w:tcPr>
            <w:tcW w:w="744" w:type="dxa"/>
            <w:vAlign w:val="center"/>
          </w:tcPr>
          <w:p w14:paraId="731B9011">
            <w:pPr>
              <w:adjustRightInd w:val="0"/>
              <w:snapToGrid w:val="0"/>
              <w:jc w:val="center"/>
              <w:rPr>
                <w:rFonts w:ascii="宋体" w:hAnsi="宋体" w:cs="宋体"/>
                <w:kern w:val="0"/>
                <w:sz w:val="24"/>
                <w:highlight w:val="none"/>
              </w:rPr>
            </w:pPr>
          </w:p>
        </w:tc>
      </w:tr>
      <w:tr w14:paraId="45F9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694" w:type="dxa"/>
            <w:vAlign w:val="center"/>
          </w:tcPr>
          <w:p w14:paraId="414F7A52">
            <w:pPr>
              <w:adjustRightInd w:val="0"/>
              <w:snapToGrid w:val="0"/>
              <w:jc w:val="center"/>
              <w:rPr>
                <w:rFonts w:ascii="宋体" w:hAnsi="宋体" w:cs="宋体"/>
                <w:kern w:val="0"/>
                <w:sz w:val="24"/>
                <w:highlight w:val="none"/>
              </w:rPr>
            </w:pPr>
            <w:r>
              <w:rPr>
                <w:rFonts w:hint="eastAsia" w:ascii="宋体" w:hAnsi="宋体" w:cs="宋体"/>
                <w:kern w:val="0"/>
                <w:sz w:val="24"/>
                <w:highlight w:val="none"/>
              </w:rPr>
              <w:t>审查</w:t>
            </w:r>
          </w:p>
          <w:p w14:paraId="110A5888">
            <w:pPr>
              <w:adjustRightInd w:val="0"/>
              <w:snapToGrid w:val="0"/>
              <w:jc w:val="center"/>
              <w:rPr>
                <w:rFonts w:ascii="宋体" w:hAnsi="宋体" w:cs="宋体"/>
                <w:kern w:val="0"/>
                <w:sz w:val="24"/>
                <w:highlight w:val="none"/>
              </w:rPr>
            </w:pPr>
            <w:r>
              <w:rPr>
                <w:rFonts w:hint="eastAsia" w:ascii="宋体" w:hAnsi="宋体" w:cs="宋体"/>
                <w:kern w:val="0"/>
                <w:sz w:val="24"/>
                <w:highlight w:val="none"/>
              </w:rPr>
              <w:t>人员</w:t>
            </w:r>
          </w:p>
        </w:tc>
        <w:tc>
          <w:tcPr>
            <w:tcW w:w="8245" w:type="dxa"/>
            <w:gridSpan w:val="5"/>
            <w:vAlign w:val="center"/>
          </w:tcPr>
          <w:p w14:paraId="0E688757">
            <w:pPr>
              <w:adjustRightInd w:val="0"/>
              <w:snapToGrid w:val="0"/>
              <w:rPr>
                <w:rFonts w:ascii="宋体" w:hAnsi="宋体" w:cs="宋体"/>
                <w:kern w:val="0"/>
                <w:sz w:val="24"/>
                <w:highlight w:val="none"/>
              </w:rPr>
            </w:pPr>
            <w:r>
              <w:rPr>
                <w:rFonts w:hint="eastAsia" w:ascii="宋体" w:hAnsi="宋体" w:cs="宋体"/>
                <w:kern w:val="0"/>
                <w:sz w:val="24"/>
                <w:highlight w:val="none"/>
              </w:rPr>
              <w:t>签字：</w:t>
            </w:r>
          </w:p>
          <w:p w14:paraId="7179ABED">
            <w:pPr>
              <w:adjustRightInd w:val="0"/>
              <w:snapToGrid w:val="0"/>
              <w:jc w:val="right"/>
              <w:rPr>
                <w:rFonts w:ascii="宋体" w:hAnsi="宋体" w:cs="宋体"/>
                <w:kern w:val="0"/>
                <w:sz w:val="24"/>
                <w:highlight w:val="none"/>
              </w:rPr>
            </w:pPr>
            <w:r>
              <w:rPr>
                <w:rFonts w:hint="eastAsia" w:ascii="宋体" w:hAnsi="宋体" w:cs="宋体"/>
                <w:kern w:val="0"/>
                <w:sz w:val="24"/>
                <w:highlight w:val="none"/>
              </w:rPr>
              <w:t>年   月   日</w:t>
            </w:r>
          </w:p>
        </w:tc>
      </w:tr>
    </w:tbl>
    <w:p w14:paraId="17F3B353">
      <w:pPr>
        <w:adjustRightInd w:val="0"/>
        <w:snapToGrid w:val="0"/>
        <w:spacing w:line="360" w:lineRule="auto"/>
        <w:ind w:firstLine="482"/>
        <w:jc w:val="left"/>
        <w:rPr>
          <w:rFonts w:ascii="宋体" w:hAnsi="宋体" w:cs="宋体"/>
          <w:b/>
          <w:kern w:val="0"/>
          <w:sz w:val="24"/>
          <w:highlight w:val="none"/>
        </w:rPr>
      </w:pPr>
    </w:p>
    <w:p w14:paraId="0913364A">
      <w:pPr>
        <w:spacing w:line="360" w:lineRule="auto"/>
        <w:ind w:left="559" w:hanging="559" w:hangingChars="232"/>
        <w:rPr>
          <w:rFonts w:ascii="宋体" w:hAnsi="宋体" w:cs="宋体"/>
          <w:b/>
          <w:bCs/>
          <w:sz w:val="24"/>
          <w:highlight w:val="none"/>
        </w:rPr>
      </w:pPr>
    </w:p>
    <w:p w14:paraId="3DD9E825">
      <w:pPr>
        <w:rPr>
          <w:rFonts w:ascii="宋体" w:hAnsi="宋体" w:cs="宋体"/>
          <w:b/>
          <w:bCs/>
          <w:sz w:val="24"/>
          <w:highlight w:val="none"/>
        </w:rPr>
      </w:pPr>
      <w:r>
        <w:rPr>
          <w:rFonts w:hint="eastAsia" w:ascii="宋体" w:hAnsi="宋体" w:cs="宋体"/>
          <w:b/>
          <w:bCs/>
          <w:sz w:val="24"/>
          <w:highlight w:val="none"/>
        </w:rPr>
        <w:br w:type="page"/>
      </w:r>
    </w:p>
    <w:p w14:paraId="62CD29C8">
      <w:pPr>
        <w:numPr>
          <w:ilvl w:val="0"/>
          <w:numId w:val="15"/>
        </w:numPr>
        <w:spacing w:line="360" w:lineRule="auto"/>
        <w:ind w:left="559" w:hanging="559" w:hangingChars="232"/>
        <w:rPr>
          <w:rFonts w:ascii="宋体" w:hAnsi="宋体" w:cs="宋体"/>
          <w:b/>
          <w:bCs/>
          <w:sz w:val="24"/>
          <w:highlight w:val="none"/>
        </w:rPr>
      </w:pPr>
      <w:r>
        <w:rPr>
          <w:rFonts w:hint="eastAsia" w:ascii="宋体" w:hAnsi="宋体" w:cs="宋体"/>
          <w:b/>
          <w:bCs/>
          <w:sz w:val="24"/>
          <w:highlight w:val="none"/>
        </w:rPr>
        <w:t>符合性审查</w:t>
      </w:r>
    </w:p>
    <w:p w14:paraId="5E018938">
      <w:pPr>
        <w:snapToGrid w:val="0"/>
        <w:spacing w:line="360" w:lineRule="auto"/>
        <w:jc w:val="center"/>
        <w:outlineLvl w:val="0"/>
        <w:rPr>
          <w:rFonts w:ascii="宋体" w:hAnsi="宋体" w:cs="宋体"/>
          <w:b/>
          <w:kern w:val="0"/>
          <w:sz w:val="32"/>
          <w:szCs w:val="32"/>
          <w:highlight w:val="none"/>
        </w:rPr>
      </w:pPr>
      <w:bookmarkStart w:id="414" w:name="_Toc24429"/>
      <w:bookmarkStart w:id="415" w:name="_Toc2814"/>
      <w:bookmarkStart w:id="416" w:name="_Toc558"/>
      <w:r>
        <w:rPr>
          <w:rFonts w:hint="eastAsia" w:ascii="宋体" w:hAnsi="宋体" w:cs="宋体"/>
          <w:b/>
          <w:kern w:val="0"/>
          <w:sz w:val="32"/>
          <w:szCs w:val="32"/>
          <w:highlight w:val="none"/>
        </w:rPr>
        <w:t>符合性审查表</w:t>
      </w:r>
      <w:bookmarkEnd w:id="414"/>
      <w:bookmarkEnd w:id="415"/>
      <w:bookmarkEnd w:id="416"/>
    </w:p>
    <w:tbl>
      <w:tblPr>
        <w:tblStyle w:val="28"/>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4863"/>
        <w:gridCol w:w="892"/>
        <w:gridCol w:w="892"/>
        <w:gridCol w:w="894"/>
        <w:gridCol w:w="892"/>
      </w:tblGrid>
      <w:tr w14:paraId="1F66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jc w:val="center"/>
        </w:trPr>
        <w:tc>
          <w:tcPr>
            <w:tcW w:w="825" w:type="dxa"/>
            <w:vMerge w:val="restart"/>
            <w:vAlign w:val="center"/>
          </w:tcPr>
          <w:p w14:paraId="08D6854F">
            <w:pPr>
              <w:pStyle w:val="8"/>
              <w:snapToGrid w:val="0"/>
              <w:rPr>
                <w:rFonts w:ascii="宋体" w:hAnsi="宋体" w:cs="宋体"/>
                <w:kern w:val="0"/>
                <w:sz w:val="24"/>
                <w:highlight w:val="none"/>
              </w:rPr>
            </w:pPr>
            <w:r>
              <w:rPr>
                <w:rFonts w:hint="eastAsia" w:ascii="宋体" w:hAnsi="宋体" w:cs="宋体"/>
                <w:kern w:val="0"/>
                <w:sz w:val="24"/>
                <w:highlight w:val="none"/>
              </w:rPr>
              <w:t>序号</w:t>
            </w:r>
          </w:p>
        </w:tc>
        <w:tc>
          <w:tcPr>
            <w:tcW w:w="4863" w:type="dxa"/>
            <w:vMerge w:val="restart"/>
            <w:vAlign w:val="center"/>
          </w:tcPr>
          <w:p w14:paraId="651D0F10">
            <w:pPr>
              <w:autoSpaceDE w:val="0"/>
              <w:autoSpaceDN w:val="0"/>
              <w:adjustRightInd w:val="0"/>
              <w:snapToGrid w:val="0"/>
              <w:ind w:firstLine="480"/>
              <w:jc w:val="center"/>
              <w:rPr>
                <w:rFonts w:ascii="宋体" w:hAnsi="宋体" w:cs="宋体"/>
                <w:kern w:val="0"/>
                <w:sz w:val="24"/>
                <w:highlight w:val="none"/>
              </w:rPr>
            </w:pPr>
            <w:r>
              <w:rPr>
                <w:rFonts w:hint="eastAsia" w:ascii="宋体" w:hAnsi="宋体" w:cs="宋体"/>
                <w:kern w:val="0"/>
                <w:sz w:val="24"/>
                <w:highlight w:val="none"/>
              </w:rPr>
              <w:t>审查内容</w:t>
            </w:r>
          </w:p>
        </w:tc>
        <w:tc>
          <w:tcPr>
            <w:tcW w:w="3570" w:type="dxa"/>
            <w:gridSpan w:val="4"/>
            <w:vAlign w:val="center"/>
          </w:tcPr>
          <w:p w14:paraId="17869EFE">
            <w:pPr>
              <w:snapToGrid w:val="0"/>
              <w:ind w:firstLine="480"/>
              <w:jc w:val="center"/>
              <w:rPr>
                <w:rFonts w:ascii="宋体" w:hAnsi="宋体" w:cs="宋体"/>
                <w:kern w:val="0"/>
                <w:sz w:val="24"/>
                <w:highlight w:val="none"/>
              </w:rPr>
            </w:pPr>
            <w:r>
              <w:rPr>
                <w:rFonts w:hint="eastAsia" w:ascii="宋体" w:hAnsi="宋体" w:cs="宋体"/>
                <w:kern w:val="0"/>
                <w:sz w:val="24"/>
                <w:highlight w:val="none"/>
              </w:rPr>
              <w:t>投标人</w:t>
            </w:r>
          </w:p>
        </w:tc>
      </w:tr>
      <w:tr w14:paraId="3D4A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25" w:type="dxa"/>
            <w:vMerge w:val="continue"/>
            <w:vAlign w:val="center"/>
          </w:tcPr>
          <w:p w14:paraId="3AC83601">
            <w:pPr>
              <w:autoSpaceDE w:val="0"/>
              <w:autoSpaceDN w:val="0"/>
              <w:adjustRightInd w:val="0"/>
              <w:snapToGrid w:val="0"/>
              <w:ind w:firstLine="480"/>
              <w:jc w:val="center"/>
              <w:rPr>
                <w:rFonts w:ascii="宋体" w:hAnsi="宋体" w:cs="宋体"/>
                <w:kern w:val="0"/>
                <w:sz w:val="24"/>
                <w:highlight w:val="none"/>
              </w:rPr>
            </w:pPr>
          </w:p>
        </w:tc>
        <w:tc>
          <w:tcPr>
            <w:tcW w:w="4863" w:type="dxa"/>
            <w:vMerge w:val="continue"/>
            <w:vAlign w:val="center"/>
          </w:tcPr>
          <w:p w14:paraId="0FA0166F">
            <w:pPr>
              <w:autoSpaceDE w:val="0"/>
              <w:autoSpaceDN w:val="0"/>
              <w:adjustRightInd w:val="0"/>
              <w:snapToGrid w:val="0"/>
              <w:ind w:firstLine="480"/>
              <w:jc w:val="center"/>
              <w:rPr>
                <w:rFonts w:ascii="宋体" w:hAnsi="宋体" w:cs="宋体"/>
                <w:kern w:val="0"/>
                <w:sz w:val="24"/>
                <w:highlight w:val="none"/>
              </w:rPr>
            </w:pPr>
          </w:p>
        </w:tc>
        <w:tc>
          <w:tcPr>
            <w:tcW w:w="892" w:type="dxa"/>
            <w:vAlign w:val="center"/>
          </w:tcPr>
          <w:p w14:paraId="2374FDC2">
            <w:pPr>
              <w:snapToGrid w:val="0"/>
              <w:ind w:firstLine="480"/>
              <w:jc w:val="center"/>
              <w:rPr>
                <w:rFonts w:ascii="宋体" w:hAnsi="宋体" w:cs="宋体"/>
                <w:kern w:val="0"/>
                <w:sz w:val="24"/>
                <w:highlight w:val="none"/>
              </w:rPr>
            </w:pPr>
          </w:p>
        </w:tc>
        <w:tc>
          <w:tcPr>
            <w:tcW w:w="892" w:type="dxa"/>
            <w:vAlign w:val="center"/>
          </w:tcPr>
          <w:p w14:paraId="0DD2F3BE">
            <w:pPr>
              <w:snapToGrid w:val="0"/>
              <w:ind w:firstLine="480"/>
              <w:jc w:val="center"/>
              <w:rPr>
                <w:rFonts w:ascii="宋体" w:hAnsi="宋体" w:cs="宋体"/>
                <w:kern w:val="0"/>
                <w:sz w:val="24"/>
                <w:highlight w:val="none"/>
              </w:rPr>
            </w:pPr>
          </w:p>
        </w:tc>
        <w:tc>
          <w:tcPr>
            <w:tcW w:w="894" w:type="dxa"/>
            <w:vAlign w:val="center"/>
          </w:tcPr>
          <w:p w14:paraId="2A376568">
            <w:pPr>
              <w:snapToGrid w:val="0"/>
              <w:ind w:firstLine="480"/>
              <w:jc w:val="center"/>
              <w:rPr>
                <w:rFonts w:ascii="宋体" w:hAnsi="宋体" w:cs="宋体"/>
                <w:kern w:val="0"/>
                <w:sz w:val="24"/>
                <w:highlight w:val="none"/>
              </w:rPr>
            </w:pPr>
          </w:p>
        </w:tc>
        <w:tc>
          <w:tcPr>
            <w:tcW w:w="892" w:type="dxa"/>
            <w:vAlign w:val="center"/>
          </w:tcPr>
          <w:p w14:paraId="2153CD97">
            <w:pPr>
              <w:snapToGrid w:val="0"/>
              <w:ind w:firstLine="480"/>
              <w:jc w:val="center"/>
              <w:rPr>
                <w:rFonts w:ascii="宋体" w:hAnsi="宋体" w:cs="宋体"/>
                <w:kern w:val="0"/>
                <w:sz w:val="24"/>
                <w:highlight w:val="none"/>
              </w:rPr>
            </w:pPr>
          </w:p>
        </w:tc>
      </w:tr>
      <w:tr w14:paraId="267A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825" w:type="dxa"/>
            <w:vAlign w:val="center"/>
          </w:tcPr>
          <w:p w14:paraId="7AAA9D9E">
            <w:pPr>
              <w:pStyle w:val="8"/>
              <w:snapToGrid w:val="0"/>
              <w:rPr>
                <w:rFonts w:ascii="宋体" w:hAnsi="宋体" w:cs="宋体"/>
                <w:kern w:val="0"/>
                <w:sz w:val="24"/>
                <w:highlight w:val="none"/>
              </w:rPr>
            </w:pPr>
            <w:r>
              <w:rPr>
                <w:rFonts w:hint="eastAsia" w:ascii="宋体" w:hAnsi="宋体" w:cs="宋体"/>
                <w:kern w:val="0"/>
                <w:sz w:val="24"/>
                <w:highlight w:val="none"/>
              </w:rPr>
              <w:t>1</w:t>
            </w:r>
          </w:p>
        </w:tc>
        <w:tc>
          <w:tcPr>
            <w:tcW w:w="4863" w:type="dxa"/>
            <w:shd w:val="clear" w:color="auto" w:fill="auto"/>
            <w:vAlign w:val="center"/>
          </w:tcPr>
          <w:p w14:paraId="1FD2CA2D">
            <w:pPr>
              <w:pStyle w:val="8"/>
              <w:snapToGrid w:val="0"/>
              <w:jc w:val="left"/>
              <w:rPr>
                <w:rFonts w:ascii="宋体" w:hAnsi="宋体" w:cs="宋体"/>
                <w:kern w:val="0"/>
                <w:sz w:val="24"/>
                <w:highlight w:val="none"/>
              </w:rPr>
            </w:pPr>
            <w:r>
              <w:rPr>
                <w:rFonts w:hint="eastAsia" w:ascii="宋体" w:hAnsi="宋体" w:cs="宋体"/>
                <w:kern w:val="0"/>
                <w:sz w:val="24"/>
                <w:highlight w:val="none"/>
              </w:rPr>
              <w:t>投标文件按规定格式填写，内容齐全、关键字迹清晰；</w:t>
            </w:r>
          </w:p>
        </w:tc>
        <w:tc>
          <w:tcPr>
            <w:tcW w:w="892" w:type="dxa"/>
            <w:vAlign w:val="center"/>
          </w:tcPr>
          <w:p w14:paraId="431C1095">
            <w:pPr>
              <w:pStyle w:val="8"/>
              <w:snapToGrid w:val="0"/>
              <w:ind w:firstLine="480"/>
              <w:jc w:val="left"/>
              <w:rPr>
                <w:rFonts w:ascii="宋体" w:hAnsi="宋体" w:cs="宋体"/>
                <w:kern w:val="0"/>
                <w:sz w:val="24"/>
                <w:highlight w:val="none"/>
              </w:rPr>
            </w:pPr>
          </w:p>
        </w:tc>
        <w:tc>
          <w:tcPr>
            <w:tcW w:w="892" w:type="dxa"/>
            <w:vAlign w:val="center"/>
          </w:tcPr>
          <w:p w14:paraId="5CCEBB14">
            <w:pPr>
              <w:pStyle w:val="8"/>
              <w:snapToGrid w:val="0"/>
              <w:ind w:firstLine="480"/>
              <w:jc w:val="left"/>
              <w:rPr>
                <w:rFonts w:ascii="宋体" w:hAnsi="宋体" w:cs="宋体"/>
                <w:kern w:val="0"/>
                <w:sz w:val="24"/>
                <w:highlight w:val="none"/>
              </w:rPr>
            </w:pPr>
          </w:p>
        </w:tc>
        <w:tc>
          <w:tcPr>
            <w:tcW w:w="894" w:type="dxa"/>
            <w:vAlign w:val="center"/>
          </w:tcPr>
          <w:p w14:paraId="7854FBC1">
            <w:pPr>
              <w:pStyle w:val="8"/>
              <w:snapToGrid w:val="0"/>
              <w:ind w:firstLine="480"/>
              <w:jc w:val="left"/>
              <w:rPr>
                <w:rFonts w:ascii="宋体" w:hAnsi="宋体" w:cs="宋体"/>
                <w:kern w:val="0"/>
                <w:sz w:val="24"/>
                <w:highlight w:val="none"/>
              </w:rPr>
            </w:pPr>
          </w:p>
        </w:tc>
        <w:tc>
          <w:tcPr>
            <w:tcW w:w="892" w:type="dxa"/>
            <w:vAlign w:val="center"/>
          </w:tcPr>
          <w:p w14:paraId="6259AE98">
            <w:pPr>
              <w:pStyle w:val="8"/>
              <w:snapToGrid w:val="0"/>
              <w:ind w:firstLine="480"/>
              <w:jc w:val="left"/>
              <w:rPr>
                <w:rFonts w:ascii="宋体" w:hAnsi="宋体" w:cs="宋体"/>
                <w:kern w:val="0"/>
                <w:sz w:val="24"/>
                <w:highlight w:val="none"/>
              </w:rPr>
            </w:pPr>
          </w:p>
        </w:tc>
      </w:tr>
      <w:tr w14:paraId="183C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825" w:type="dxa"/>
            <w:vAlign w:val="center"/>
          </w:tcPr>
          <w:p w14:paraId="3C74F080">
            <w:pPr>
              <w:pStyle w:val="8"/>
              <w:snapToGrid w:val="0"/>
              <w:rPr>
                <w:rFonts w:ascii="宋体" w:hAnsi="宋体" w:cs="宋体"/>
                <w:kern w:val="0"/>
                <w:sz w:val="24"/>
                <w:highlight w:val="none"/>
              </w:rPr>
            </w:pPr>
            <w:r>
              <w:rPr>
                <w:rFonts w:hint="eastAsia" w:ascii="宋体" w:hAnsi="宋体" w:cs="宋体"/>
                <w:kern w:val="0"/>
                <w:sz w:val="24"/>
                <w:highlight w:val="none"/>
              </w:rPr>
              <w:t>2</w:t>
            </w:r>
          </w:p>
        </w:tc>
        <w:tc>
          <w:tcPr>
            <w:tcW w:w="4863" w:type="dxa"/>
            <w:shd w:val="clear" w:color="auto" w:fill="auto"/>
            <w:vAlign w:val="center"/>
          </w:tcPr>
          <w:p w14:paraId="4BDF5869">
            <w:pPr>
              <w:pStyle w:val="8"/>
              <w:snapToGrid w:val="0"/>
              <w:jc w:val="left"/>
              <w:rPr>
                <w:rFonts w:ascii="宋体" w:hAnsi="宋体" w:cs="宋体"/>
                <w:kern w:val="0"/>
                <w:sz w:val="24"/>
                <w:highlight w:val="none"/>
              </w:rPr>
            </w:pPr>
            <w:r>
              <w:rPr>
                <w:rFonts w:hint="eastAsia" w:ascii="宋体" w:hAnsi="宋体" w:cs="宋体"/>
                <w:kern w:val="0"/>
                <w:sz w:val="24"/>
                <w:highlight w:val="none"/>
              </w:rPr>
              <w:t>投标人未递交两份或多份内容不同的投标文件，在一份投标文件中对同一项有且只有一个报价；</w:t>
            </w:r>
          </w:p>
        </w:tc>
        <w:tc>
          <w:tcPr>
            <w:tcW w:w="892" w:type="dxa"/>
            <w:vAlign w:val="center"/>
          </w:tcPr>
          <w:p w14:paraId="06FE73B4">
            <w:pPr>
              <w:pStyle w:val="8"/>
              <w:snapToGrid w:val="0"/>
              <w:ind w:firstLine="480"/>
              <w:jc w:val="left"/>
              <w:rPr>
                <w:rFonts w:ascii="宋体" w:hAnsi="宋体" w:cs="宋体"/>
                <w:kern w:val="0"/>
                <w:sz w:val="24"/>
                <w:highlight w:val="none"/>
              </w:rPr>
            </w:pPr>
          </w:p>
        </w:tc>
        <w:tc>
          <w:tcPr>
            <w:tcW w:w="892" w:type="dxa"/>
            <w:vAlign w:val="center"/>
          </w:tcPr>
          <w:p w14:paraId="50B56E10">
            <w:pPr>
              <w:pStyle w:val="8"/>
              <w:snapToGrid w:val="0"/>
              <w:ind w:firstLine="480"/>
              <w:jc w:val="left"/>
              <w:rPr>
                <w:rFonts w:ascii="宋体" w:hAnsi="宋体" w:cs="宋体"/>
                <w:kern w:val="0"/>
                <w:sz w:val="24"/>
                <w:highlight w:val="none"/>
              </w:rPr>
            </w:pPr>
          </w:p>
        </w:tc>
        <w:tc>
          <w:tcPr>
            <w:tcW w:w="894" w:type="dxa"/>
            <w:vAlign w:val="center"/>
          </w:tcPr>
          <w:p w14:paraId="4F2F4A58">
            <w:pPr>
              <w:pStyle w:val="8"/>
              <w:snapToGrid w:val="0"/>
              <w:ind w:firstLine="480"/>
              <w:jc w:val="left"/>
              <w:rPr>
                <w:rFonts w:ascii="宋体" w:hAnsi="宋体" w:cs="宋体"/>
                <w:kern w:val="0"/>
                <w:sz w:val="24"/>
                <w:highlight w:val="none"/>
              </w:rPr>
            </w:pPr>
          </w:p>
        </w:tc>
        <w:tc>
          <w:tcPr>
            <w:tcW w:w="892" w:type="dxa"/>
            <w:vAlign w:val="center"/>
          </w:tcPr>
          <w:p w14:paraId="438521FA">
            <w:pPr>
              <w:pStyle w:val="8"/>
              <w:snapToGrid w:val="0"/>
              <w:ind w:firstLine="480"/>
              <w:jc w:val="left"/>
              <w:rPr>
                <w:rFonts w:ascii="宋体" w:hAnsi="宋体" w:cs="宋体"/>
                <w:kern w:val="0"/>
                <w:sz w:val="24"/>
                <w:highlight w:val="none"/>
              </w:rPr>
            </w:pPr>
          </w:p>
        </w:tc>
      </w:tr>
      <w:tr w14:paraId="3516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5" w:type="dxa"/>
            <w:vAlign w:val="center"/>
          </w:tcPr>
          <w:p w14:paraId="72DE4043">
            <w:pPr>
              <w:pStyle w:val="8"/>
              <w:snapToGrid w:val="0"/>
              <w:rPr>
                <w:rFonts w:ascii="宋体" w:hAnsi="宋体" w:cs="宋体"/>
                <w:kern w:val="0"/>
                <w:sz w:val="24"/>
                <w:highlight w:val="none"/>
              </w:rPr>
            </w:pPr>
            <w:r>
              <w:rPr>
                <w:rFonts w:hint="eastAsia" w:ascii="宋体" w:hAnsi="宋体" w:cs="宋体"/>
                <w:kern w:val="0"/>
                <w:sz w:val="24"/>
                <w:highlight w:val="none"/>
              </w:rPr>
              <w:t>3</w:t>
            </w:r>
          </w:p>
        </w:tc>
        <w:tc>
          <w:tcPr>
            <w:tcW w:w="4863" w:type="dxa"/>
            <w:shd w:val="clear" w:color="auto" w:fill="auto"/>
            <w:vAlign w:val="center"/>
          </w:tcPr>
          <w:p w14:paraId="27107C3E">
            <w:pPr>
              <w:pStyle w:val="8"/>
              <w:snapToGrid w:val="0"/>
              <w:jc w:val="left"/>
              <w:rPr>
                <w:rFonts w:ascii="宋体" w:hAnsi="宋体" w:cs="宋体"/>
                <w:kern w:val="0"/>
                <w:sz w:val="24"/>
                <w:highlight w:val="none"/>
              </w:rPr>
            </w:pPr>
            <w:r>
              <w:rPr>
                <w:rFonts w:hint="eastAsia" w:ascii="宋体" w:hAnsi="宋体" w:cs="宋体"/>
                <w:kern w:val="0"/>
                <w:sz w:val="24"/>
                <w:highlight w:val="none"/>
              </w:rPr>
              <w:t>投标总报价或分项报价未超出项目预算或最高限价；</w:t>
            </w:r>
          </w:p>
        </w:tc>
        <w:tc>
          <w:tcPr>
            <w:tcW w:w="892" w:type="dxa"/>
            <w:vAlign w:val="center"/>
          </w:tcPr>
          <w:p w14:paraId="1186B7DD">
            <w:pPr>
              <w:pStyle w:val="8"/>
              <w:snapToGrid w:val="0"/>
              <w:ind w:firstLine="480"/>
              <w:jc w:val="left"/>
              <w:rPr>
                <w:rFonts w:ascii="宋体" w:hAnsi="宋体" w:cs="宋体"/>
                <w:kern w:val="0"/>
                <w:sz w:val="24"/>
                <w:highlight w:val="none"/>
              </w:rPr>
            </w:pPr>
          </w:p>
        </w:tc>
        <w:tc>
          <w:tcPr>
            <w:tcW w:w="892" w:type="dxa"/>
            <w:vAlign w:val="center"/>
          </w:tcPr>
          <w:p w14:paraId="7EB327E4">
            <w:pPr>
              <w:pStyle w:val="8"/>
              <w:snapToGrid w:val="0"/>
              <w:ind w:firstLine="480"/>
              <w:jc w:val="left"/>
              <w:rPr>
                <w:rFonts w:ascii="宋体" w:hAnsi="宋体" w:cs="宋体"/>
                <w:kern w:val="0"/>
                <w:sz w:val="24"/>
                <w:highlight w:val="none"/>
              </w:rPr>
            </w:pPr>
          </w:p>
        </w:tc>
        <w:tc>
          <w:tcPr>
            <w:tcW w:w="894" w:type="dxa"/>
            <w:vAlign w:val="center"/>
          </w:tcPr>
          <w:p w14:paraId="5FB215A3">
            <w:pPr>
              <w:pStyle w:val="8"/>
              <w:snapToGrid w:val="0"/>
              <w:ind w:firstLine="480"/>
              <w:jc w:val="left"/>
              <w:rPr>
                <w:rFonts w:ascii="宋体" w:hAnsi="宋体" w:cs="宋体"/>
                <w:kern w:val="0"/>
                <w:sz w:val="24"/>
                <w:highlight w:val="none"/>
              </w:rPr>
            </w:pPr>
          </w:p>
        </w:tc>
        <w:tc>
          <w:tcPr>
            <w:tcW w:w="892" w:type="dxa"/>
            <w:vAlign w:val="center"/>
          </w:tcPr>
          <w:p w14:paraId="35E96D19">
            <w:pPr>
              <w:pStyle w:val="8"/>
              <w:snapToGrid w:val="0"/>
              <w:ind w:firstLine="480"/>
              <w:jc w:val="left"/>
              <w:rPr>
                <w:rFonts w:ascii="宋体" w:hAnsi="宋体" w:cs="宋体"/>
                <w:kern w:val="0"/>
                <w:sz w:val="24"/>
                <w:highlight w:val="none"/>
              </w:rPr>
            </w:pPr>
          </w:p>
        </w:tc>
      </w:tr>
      <w:tr w14:paraId="14BB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2" w:hRule="atLeast"/>
          <w:jc w:val="center"/>
        </w:trPr>
        <w:tc>
          <w:tcPr>
            <w:tcW w:w="825" w:type="dxa"/>
            <w:vAlign w:val="center"/>
          </w:tcPr>
          <w:p w14:paraId="7C6C3525">
            <w:pPr>
              <w:pStyle w:val="8"/>
              <w:snapToGrid w:val="0"/>
              <w:rPr>
                <w:rFonts w:ascii="宋体" w:hAnsi="宋体" w:cs="宋体"/>
                <w:kern w:val="0"/>
                <w:sz w:val="24"/>
                <w:highlight w:val="none"/>
              </w:rPr>
            </w:pPr>
            <w:r>
              <w:rPr>
                <w:rFonts w:hint="eastAsia" w:ascii="宋体" w:hAnsi="宋体" w:cs="宋体"/>
                <w:kern w:val="0"/>
                <w:sz w:val="24"/>
                <w:highlight w:val="none"/>
              </w:rPr>
              <w:t>4</w:t>
            </w:r>
          </w:p>
        </w:tc>
        <w:tc>
          <w:tcPr>
            <w:tcW w:w="4863" w:type="dxa"/>
            <w:shd w:val="clear" w:color="auto" w:fill="auto"/>
            <w:vAlign w:val="center"/>
          </w:tcPr>
          <w:p w14:paraId="1CD37D6D">
            <w:pPr>
              <w:pStyle w:val="8"/>
              <w:snapToGrid w:val="0"/>
              <w:jc w:val="left"/>
              <w:rPr>
                <w:rFonts w:ascii="宋体" w:hAnsi="宋体" w:cs="宋体"/>
                <w:kern w:val="0"/>
                <w:sz w:val="24"/>
                <w:highlight w:val="none"/>
              </w:rPr>
            </w:pPr>
            <w:r>
              <w:rPr>
                <w:rFonts w:hint="eastAsia" w:ascii="宋体" w:hAnsi="宋体" w:cs="宋体"/>
                <w:kern w:val="0"/>
                <w:sz w:val="24"/>
                <w:highlight w:val="none"/>
              </w:rPr>
              <w:t>投标文件中“★”条款全部响应且未出现负偏离，完全满足采购人技术要求；</w:t>
            </w:r>
          </w:p>
        </w:tc>
        <w:tc>
          <w:tcPr>
            <w:tcW w:w="892" w:type="dxa"/>
            <w:vAlign w:val="center"/>
          </w:tcPr>
          <w:p w14:paraId="196CAEB2">
            <w:pPr>
              <w:pStyle w:val="8"/>
              <w:snapToGrid w:val="0"/>
              <w:ind w:firstLine="480"/>
              <w:jc w:val="left"/>
              <w:rPr>
                <w:rFonts w:ascii="宋体" w:hAnsi="宋体" w:cs="宋体"/>
                <w:kern w:val="0"/>
                <w:sz w:val="24"/>
                <w:highlight w:val="none"/>
              </w:rPr>
            </w:pPr>
          </w:p>
        </w:tc>
        <w:tc>
          <w:tcPr>
            <w:tcW w:w="892" w:type="dxa"/>
            <w:vAlign w:val="center"/>
          </w:tcPr>
          <w:p w14:paraId="51C0B5BE">
            <w:pPr>
              <w:pStyle w:val="8"/>
              <w:snapToGrid w:val="0"/>
              <w:ind w:firstLine="480"/>
              <w:jc w:val="left"/>
              <w:rPr>
                <w:rFonts w:ascii="宋体" w:hAnsi="宋体" w:cs="宋体"/>
                <w:kern w:val="0"/>
                <w:sz w:val="24"/>
                <w:highlight w:val="none"/>
              </w:rPr>
            </w:pPr>
          </w:p>
        </w:tc>
        <w:tc>
          <w:tcPr>
            <w:tcW w:w="894" w:type="dxa"/>
            <w:vAlign w:val="center"/>
          </w:tcPr>
          <w:p w14:paraId="03DBF5E7">
            <w:pPr>
              <w:pStyle w:val="8"/>
              <w:snapToGrid w:val="0"/>
              <w:ind w:firstLine="480"/>
              <w:jc w:val="left"/>
              <w:rPr>
                <w:rFonts w:ascii="宋体" w:hAnsi="宋体" w:cs="宋体"/>
                <w:kern w:val="0"/>
                <w:sz w:val="24"/>
                <w:highlight w:val="none"/>
              </w:rPr>
            </w:pPr>
          </w:p>
        </w:tc>
        <w:tc>
          <w:tcPr>
            <w:tcW w:w="892" w:type="dxa"/>
            <w:vAlign w:val="center"/>
          </w:tcPr>
          <w:p w14:paraId="77422D85">
            <w:pPr>
              <w:pStyle w:val="8"/>
              <w:snapToGrid w:val="0"/>
              <w:ind w:firstLine="480"/>
              <w:jc w:val="left"/>
              <w:rPr>
                <w:rFonts w:ascii="宋体" w:hAnsi="宋体" w:cs="宋体"/>
                <w:kern w:val="0"/>
                <w:sz w:val="24"/>
                <w:highlight w:val="none"/>
              </w:rPr>
            </w:pPr>
          </w:p>
        </w:tc>
      </w:tr>
      <w:tr w14:paraId="3ADF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25" w:type="dxa"/>
            <w:vAlign w:val="center"/>
          </w:tcPr>
          <w:p w14:paraId="273BE3D1">
            <w:pPr>
              <w:pStyle w:val="8"/>
              <w:snapToGrid w:val="0"/>
              <w:rPr>
                <w:rFonts w:ascii="宋体" w:hAnsi="宋体" w:cs="宋体"/>
                <w:kern w:val="0"/>
                <w:sz w:val="24"/>
                <w:highlight w:val="none"/>
              </w:rPr>
            </w:pPr>
            <w:r>
              <w:rPr>
                <w:rFonts w:hint="eastAsia" w:ascii="宋体" w:hAnsi="宋体" w:cs="宋体"/>
                <w:kern w:val="0"/>
                <w:sz w:val="24"/>
                <w:highlight w:val="none"/>
              </w:rPr>
              <w:t>5</w:t>
            </w:r>
          </w:p>
        </w:tc>
        <w:tc>
          <w:tcPr>
            <w:tcW w:w="4863" w:type="dxa"/>
            <w:shd w:val="clear" w:color="auto" w:fill="auto"/>
            <w:vAlign w:val="center"/>
          </w:tcPr>
          <w:p w14:paraId="7C43A130">
            <w:pPr>
              <w:pStyle w:val="8"/>
              <w:snapToGrid w:val="0"/>
              <w:jc w:val="left"/>
              <w:rPr>
                <w:rFonts w:ascii="宋体" w:hAnsi="宋体" w:cs="宋体"/>
                <w:kern w:val="0"/>
                <w:sz w:val="24"/>
                <w:highlight w:val="none"/>
              </w:rPr>
            </w:pPr>
            <w:r>
              <w:rPr>
                <w:rFonts w:hint="eastAsia" w:ascii="宋体" w:hAnsi="宋体" w:cs="宋体"/>
                <w:kern w:val="0"/>
                <w:sz w:val="24"/>
                <w:highlight w:val="none"/>
              </w:rPr>
              <w:t>投标有效期满足招标文件要求；</w:t>
            </w:r>
          </w:p>
        </w:tc>
        <w:tc>
          <w:tcPr>
            <w:tcW w:w="892" w:type="dxa"/>
            <w:vAlign w:val="center"/>
          </w:tcPr>
          <w:p w14:paraId="17810114">
            <w:pPr>
              <w:pStyle w:val="8"/>
              <w:snapToGrid w:val="0"/>
              <w:ind w:firstLine="480"/>
              <w:jc w:val="left"/>
              <w:rPr>
                <w:rFonts w:ascii="宋体" w:hAnsi="宋体" w:cs="宋体"/>
                <w:kern w:val="0"/>
                <w:sz w:val="24"/>
                <w:highlight w:val="none"/>
              </w:rPr>
            </w:pPr>
          </w:p>
        </w:tc>
        <w:tc>
          <w:tcPr>
            <w:tcW w:w="892" w:type="dxa"/>
            <w:vAlign w:val="center"/>
          </w:tcPr>
          <w:p w14:paraId="5D63DA8E">
            <w:pPr>
              <w:pStyle w:val="8"/>
              <w:snapToGrid w:val="0"/>
              <w:ind w:firstLine="480"/>
              <w:jc w:val="left"/>
              <w:rPr>
                <w:rFonts w:ascii="宋体" w:hAnsi="宋体" w:cs="宋体"/>
                <w:kern w:val="0"/>
                <w:sz w:val="24"/>
                <w:highlight w:val="none"/>
              </w:rPr>
            </w:pPr>
          </w:p>
        </w:tc>
        <w:tc>
          <w:tcPr>
            <w:tcW w:w="894" w:type="dxa"/>
            <w:vAlign w:val="center"/>
          </w:tcPr>
          <w:p w14:paraId="7F612221">
            <w:pPr>
              <w:pStyle w:val="8"/>
              <w:snapToGrid w:val="0"/>
              <w:ind w:firstLine="480"/>
              <w:jc w:val="left"/>
              <w:rPr>
                <w:rFonts w:ascii="宋体" w:hAnsi="宋体" w:cs="宋体"/>
                <w:kern w:val="0"/>
                <w:sz w:val="24"/>
                <w:highlight w:val="none"/>
              </w:rPr>
            </w:pPr>
          </w:p>
        </w:tc>
        <w:tc>
          <w:tcPr>
            <w:tcW w:w="892" w:type="dxa"/>
            <w:vAlign w:val="center"/>
          </w:tcPr>
          <w:p w14:paraId="1F53AE65">
            <w:pPr>
              <w:pStyle w:val="8"/>
              <w:snapToGrid w:val="0"/>
              <w:ind w:firstLine="480"/>
              <w:jc w:val="left"/>
              <w:rPr>
                <w:rFonts w:ascii="宋体" w:hAnsi="宋体" w:cs="宋体"/>
                <w:kern w:val="0"/>
                <w:sz w:val="24"/>
                <w:highlight w:val="none"/>
              </w:rPr>
            </w:pPr>
          </w:p>
        </w:tc>
      </w:tr>
      <w:tr w14:paraId="55E3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25" w:type="dxa"/>
            <w:vAlign w:val="center"/>
          </w:tcPr>
          <w:p w14:paraId="35C056AB">
            <w:pPr>
              <w:pStyle w:val="8"/>
              <w:snapToGrid w:val="0"/>
              <w:rPr>
                <w:rFonts w:ascii="宋体" w:hAnsi="宋体" w:cs="宋体"/>
                <w:kern w:val="0"/>
                <w:sz w:val="24"/>
                <w:highlight w:val="none"/>
              </w:rPr>
            </w:pPr>
            <w:r>
              <w:rPr>
                <w:rFonts w:hint="eastAsia" w:ascii="宋体" w:hAnsi="宋体" w:cs="宋体"/>
                <w:kern w:val="0"/>
                <w:sz w:val="24"/>
                <w:highlight w:val="none"/>
              </w:rPr>
              <w:t>6</w:t>
            </w:r>
          </w:p>
        </w:tc>
        <w:tc>
          <w:tcPr>
            <w:tcW w:w="4863" w:type="dxa"/>
            <w:shd w:val="clear" w:color="auto" w:fill="auto"/>
            <w:vAlign w:val="center"/>
          </w:tcPr>
          <w:p w14:paraId="0C10A9C9">
            <w:pPr>
              <w:pStyle w:val="8"/>
              <w:snapToGrid w:val="0"/>
              <w:jc w:val="left"/>
              <w:rPr>
                <w:rFonts w:ascii="宋体" w:hAnsi="宋体" w:cs="宋体"/>
                <w:kern w:val="0"/>
                <w:sz w:val="24"/>
                <w:highlight w:val="none"/>
              </w:rPr>
            </w:pPr>
            <w:r>
              <w:rPr>
                <w:rFonts w:hint="eastAsia" w:ascii="宋体" w:hAnsi="宋体" w:cs="宋体"/>
                <w:kern w:val="0"/>
                <w:sz w:val="24"/>
                <w:highlight w:val="none"/>
              </w:rPr>
              <w:t>投标文件未附有采购人不能接受的条件，对合同中约定的采购人的权利和投标人的义务方面未造成限制；</w:t>
            </w:r>
          </w:p>
        </w:tc>
        <w:tc>
          <w:tcPr>
            <w:tcW w:w="892" w:type="dxa"/>
            <w:vAlign w:val="center"/>
          </w:tcPr>
          <w:p w14:paraId="7B0BD6E2">
            <w:pPr>
              <w:pStyle w:val="8"/>
              <w:snapToGrid w:val="0"/>
              <w:ind w:firstLine="480"/>
              <w:jc w:val="left"/>
              <w:rPr>
                <w:rFonts w:ascii="宋体" w:hAnsi="宋体" w:cs="宋体"/>
                <w:kern w:val="0"/>
                <w:sz w:val="24"/>
                <w:highlight w:val="none"/>
              </w:rPr>
            </w:pPr>
          </w:p>
        </w:tc>
        <w:tc>
          <w:tcPr>
            <w:tcW w:w="892" w:type="dxa"/>
            <w:vAlign w:val="center"/>
          </w:tcPr>
          <w:p w14:paraId="19BBB852">
            <w:pPr>
              <w:pStyle w:val="8"/>
              <w:snapToGrid w:val="0"/>
              <w:ind w:firstLine="480"/>
              <w:jc w:val="left"/>
              <w:rPr>
                <w:rFonts w:ascii="宋体" w:hAnsi="宋体" w:cs="宋体"/>
                <w:kern w:val="0"/>
                <w:sz w:val="24"/>
                <w:highlight w:val="none"/>
              </w:rPr>
            </w:pPr>
          </w:p>
        </w:tc>
        <w:tc>
          <w:tcPr>
            <w:tcW w:w="894" w:type="dxa"/>
            <w:vAlign w:val="center"/>
          </w:tcPr>
          <w:p w14:paraId="397F6F4F">
            <w:pPr>
              <w:pStyle w:val="8"/>
              <w:snapToGrid w:val="0"/>
              <w:ind w:firstLine="480"/>
              <w:jc w:val="left"/>
              <w:rPr>
                <w:rFonts w:ascii="宋体" w:hAnsi="宋体" w:cs="宋体"/>
                <w:kern w:val="0"/>
                <w:sz w:val="24"/>
                <w:highlight w:val="none"/>
              </w:rPr>
            </w:pPr>
          </w:p>
        </w:tc>
        <w:tc>
          <w:tcPr>
            <w:tcW w:w="892" w:type="dxa"/>
            <w:vAlign w:val="center"/>
          </w:tcPr>
          <w:p w14:paraId="7303C52F">
            <w:pPr>
              <w:pStyle w:val="8"/>
              <w:snapToGrid w:val="0"/>
              <w:ind w:firstLine="480"/>
              <w:jc w:val="left"/>
              <w:rPr>
                <w:rFonts w:ascii="宋体" w:hAnsi="宋体" w:cs="宋体"/>
                <w:kern w:val="0"/>
                <w:sz w:val="24"/>
                <w:highlight w:val="none"/>
              </w:rPr>
            </w:pPr>
          </w:p>
        </w:tc>
      </w:tr>
      <w:tr w14:paraId="11C3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25" w:type="dxa"/>
            <w:vAlign w:val="center"/>
          </w:tcPr>
          <w:p w14:paraId="41A91CAA">
            <w:pPr>
              <w:pStyle w:val="8"/>
              <w:snapToGrid w:val="0"/>
              <w:rPr>
                <w:rFonts w:ascii="宋体" w:hAnsi="宋体" w:cs="宋体"/>
                <w:kern w:val="0"/>
                <w:sz w:val="24"/>
                <w:highlight w:val="none"/>
              </w:rPr>
            </w:pPr>
            <w:r>
              <w:rPr>
                <w:rFonts w:hint="eastAsia" w:ascii="宋体" w:hAnsi="宋体" w:cs="宋体"/>
                <w:kern w:val="0"/>
                <w:sz w:val="24"/>
                <w:highlight w:val="none"/>
              </w:rPr>
              <w:t>7</w:t>
            </w:r>
          </w:p>
        </w:tc>
        <w:tc>
          <w:tcPr>
            <w:tcW w:w="4863" w:type="dxa"/>
            <w:shd w:val="clear" w:color="auto" w:fill="auto"/>
            <w:vAlign w:val="center"/>
          </w:tcPr>
          <w:p w14:paraId="1C31B8ED">
            <w:pPr>
              <w:pStyle w:val="8"/>
              <w:snapToGrid w:val="0"/>
              <w:jc w:val="left"/>
              <w:rPr>
                <w:rFonts w:ascii="宋体" w:hAnsi="宋体" w:cs="宋体"/>
                <w:kern w:val="0"/>
                <w:sz w:val="24"/>
                <w:highlight w:val="none"/>
              </w:rPr>
            </w:pPr>
            <w:r>
              <w:rPr>
                <w:rFonts w:hint="eastAsia" w:ascii="宋体" w:hAnsi="宋体" w:cs="宋体"/>
                <w:kern w:val="0"/>
                <w:sz w:val="24"/>
                <w:highlight w:val="none"/>
              </w:rPr>
              <w:t>符合法律、法规和招标文件规定的其他实质性要求。</w:t>
            </w:r>
          </w:p>
        </w:tc>
        <w:tc>
          <w:tcPr>
            <w:tcW w:w="892" w:type="dxa"/>
            <w:vAlign w:val="center"/>
          </w:tcPr>
          <w:p w14:paraId="2B0256FC">
            <w:pPr>
              <w:pStyle w:val="8"/>
              <w:snapToGrid w:val="0"/>
              <w:ind w:firstLine="480"/>
              <w:jc w:val="left"/>
              <w:rPr>
                <w:rFonts w:ascii="宋体" w:hAnsi="宋体" w:cs="宋体"/>
                <w:kern w:val="0"/>
                <w:sz w:val="24"/>
                <w:highlight w:val="none"/>
              </w:rPr>
            </w:pPr>
          </w:p>
        </w:tc>
        <w:tc>
          <w:tcPr>
            <w:tcW w:w="892" w:type="dxa"/>
            <w:vAlign w:val="center"/>
          </w:tcPr>
          <w:p w14:paraId="057DA401">
            <w:pPr>
              <w:pStyle w:val="8"/>
              <w:snapToGrid w:val="0"/>
              <w:ind w:firstLine="480"/>
              <w:jc w:val="left"/>
              <w:rPr>
                <w:rFonts w:ascii="宋体" w:hAnsi="宋体" w:cs="宋体"/>
                <w:kern w:val="0"/>
                <w:sz w:val="24"/>
                <w:highlight w:val="none"/>
              </w:rPr>
            </w:pPr>
          </w:p>
        </w:tc>
        <w:tc>
          <w:tcPr>
            <w:tcW w:w="894" w:type="dxa"/>
            <w:vAlign w:val="center"/>
          </w:tcPr>
          <w:p w14:paraId="32A77D47">
            <w:pPr>
              <w:pStyle w:val="8"/>
              <w:snapToGrid w:val="0"/>
              <w:ind w:firstLine="480"/>
              <w:jc w:val="left"/>
              <w:rPr>
                <w:rFonts w:ascii="宋体" w:hAnsi="宋体" w:cs="宋体"/>
                <w:kern w:val="0"/>
                <w:sz w:val="24"/>
                <w:highlight w:val="none"/>
              </w:rPr>
            </w:pPr>
          </w:p>
        </w:tc>
        <w:tc>
          <w:tcPr>
            <w:tcW w:w="892" w:type="dxa"/>
            <w:vAlign w:val="center"/>
          </w:tcPr>
          <w:p w14:paraId="22A57488">
            <w:pPr>
              <w:pStyle w:val="8"/>
              <w:snapToGrid w:val="0"/>
              <w:ind w:firstLine="480"/>
              <w:jc w:val="left"/>
              <w:rPr>
                <w:rFonts w:ascii="宋体" w:hAnsi="宋体" w:cs="宋体"/>
                <w:kern w:val="0"/>
                <w:sz w:val="24"/>
                <w:highlight w:val="none"/>
              </w:rPr>
            </w:pPr>
          </w:p>
        </w:tc>
      </w:tr>
      <w:tr w14:paraId="6920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688" w:type="dxa"/>
            <w:gridSpan w:val="2"/>
            <w:vAlign w:val="center"/>
          </w:tcPr>
          <w:p w14:paraId="78F2DD0E">
            <w:pPr>
              <w:pStyle w:val="8"/>
              <w:snapToGrid w:val="0"/>
              <w:ind w:firstLine="480"/>
              <w:rPr>
                <w:rFonts w:ascii="宋体" w:hAnsi="宋体" w:cs="宋体"/>
                <w:kern w:val="0"/>
                <w:sz w:val="24"/>
                <w:highlight w:val="none"/>
              </w:rPr>
            </w:pPr>
            <w:r>
              <w:rPr>
                <w:rFonts w:hint="eastAsia" w:ascii="宋体" w:hAnsi="宋体" w:cs="宋体"/>
                <w:kern w:val="0"/>
                <w:sz w:val="24"/>
                <w:highlight w:val="none"/>
              </w:rPr>
              <w:t>审查结论</w:t>
            </w:r>
          </w:p>
        </w:tc>
        <w:tc>
          <w:tcPr>
            <w:tcW w:w="892" w:type="dxa"/>
            <w:vAlign w:val="center"/>
          </w:tcPr>
          <w:p w14:paraId="0BB9086A">
            <w:pPr>
              <w:pStyle w:val="8"/>
              <w:snapToGrid w:val="0"/>
              <w:ind w:firstLine="480"/>
              <w:rPr>
                <w:rFonts w:ascii="宋体" w:hAnsi="宋体" w:cs="宋体"/>
                <w:kern w:val="0"/>
                <w:sz w:val="24"/>
                <w:highlight w:val="none"/>
              </w:rPr>
            </w:pPr>
          </w:p>
        </w:tc>
        <w:tc>
          <w:tcPr>
            <w:tcW w:w="892" w:type="dxa"/>
            <w:vAlign w:val="center"/>
          </w:tcPr>
          <w:p w14:paraId="36CC5EBE">
            <w:pPr>
              <w:pStyle w:val="8"/>
              <w:snapToGrid w:val="0"/>
              <w:ind w:firstLine="480"/>
              <w:rPr>
                <w:rFonts w:ascii="宋体" w:hAnsi="宋体" w:cs="宋体"/>
                <w:kern w:val="0"/>
                <w:sz w:val="24"/>
                <w:highlight w:val="none"/>
              </w:rPr>
            </w:pPr>
          </w:p>
        </w:tc>
        <w:tc>
          <w:tcPr>
            <w:tcW w:w="894" w:type="dxa"/>
            <w:vAlign w:val="center"/>
          </w:tcPr>
          <w:p w14:paraId="088C78C0">
            <w:pPr>
              <w:pStyle w:val="8"/>
              <w:snapToGrid w:val="0"/>
              <w:ind w:firstLine="480"/>
              <w:rPr>
                <w:rFonts w:ascii="宋体" w:hAnsi="宋体" w:cs="宋体"/>
                <w:kern w:val="0"/>
                <w:sz w:val="24"/>
                <w:highlight w:val="none"/>
              </w:rPr>
            </w:pPr>
          </w:p>
        </w:tc>
        <w:tc>
          <w:tcPr>
            <w:tcW w:w="892" w:type="dxa"/>
            <w:vAlign w:val="center"/>
          </w:tcPr>
          <w:p w14:paraId="357E4891">
            <w:pPr>
              <w:pStyle w:val="8"/>
              <w:snapToGrid w:val="0"/>
              <w:ind w:firstLine="480"/>
              <w:rPr>
                <w:rFonts w:ascii="宋体" w:hAnsi="宋体" w:cs="宋体"/>
                <w:kern w:val="0"/>
                <w:sz w:val="24"/>
                <w:highlight w:val="none"/>
              </w:rPr>
            </w:pPr>
          </w:p>
        </w:tc>
      </w:tr>
      <w:tr w14:paraId="70F4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9258" w:type="dxa"/>
            <w:gridSpan w:val="6"/>
            <w:vAlign w:val="center"/>
          </w:tcPr>
          <w:p w14:paraId="6BA6EC6B">
            <w:pPr>
              <w:pStyle w:val="8"/>
              <w:snapToGrid w:val="0"/>
              <w:rPr>
                <w:rFonts w:ascii="宋体" w:hAnsi="宋体" w:cs="宋体"/>
                <w:kern w:val="0"/>
                <w:sz w:val="24"/>
                <w:highlight w:val="none"/>
              </w:rPr>
            </w:pPr>
            <w:r>
              <w:rPr>
                <w:rFonts w:hint="eastAsia" w:ascii="宋体" w:hAnsi="宋体" w:cs="宋体"/>
                <w:kern w:val="0"/>
                <w:sz w:val="24"/>
                <w:highlight w:val="none"/>
              </w:rPr>
              <w:t xml:space="preserve">评委签字： </w:t>
            </w:r>
            <w:r>
              <w:rPr>
                <w:rFonts w:ascii="宋体" w:hAnsi="宋体" w:cs="宋体"/>
                <w:kern w:val="0"/>
                <w:sz w:val="24"/>
                <w:highlight w:val="none"/>
              </w:rPr>
              <w:t xml:space="preserve">                                         </w:t>
            </w:r>
            <w:r>
              <w:rPr>
                <w:rFonts w:hint="eastAsia" w:ascii="宋体" w:hAnsi="宋体" w:cs="宋体"/>
                <w:kern w:val="0"/>
                <w:sz w:val="24"/>
                <w:highlight w:val="none"/>
              </w:rPr>
              <w:t xml:space="preserve">年 </w:t>
            </w:r>
            <w:r>
              <w:rPr>
                <w:rFonts w:ascii="宋体" w:hAnsi="宋体" w:cs="宋体"/>
                <w:kern w:val="0"/>
                <w:sz w:val="24"/>
                <w:highlight w:val="none"/>
              </w:rPr>
              <w:t xml:space="preserve">  </w:t>
            </w:r>
            <w:r>
              <w:rPr>
                <w:rFonts w:hint="eastAsia" w:ascii="宋体" w:hAnsi="宋体" w:cs="宋体"/>
                <w:kern w:val="0"/>
                <w:sz w:val="24"/>
                <w:highlight w:val="none"/>
              </w:rPr>
              <w:t xml:space="preserve">月 </w:t>
            </w:r>
            <w:r>
              <w:rPr>
                <w:rFonts w:ascii="宋体" w:hAnsi="宋体" w:cs="宋体"/>
                <w:kern w:val="0"/>
                <w:sz w:val="24"/>
                <w:highlight w:val="none"/>
              </w:rPr>
              <w:t xml:space="preserve">  </w:t>
            </w:r>
            <w:r>
              <w:rPr>
                <w:rFonts w:hint="eastAsia" w:ascii="宋体" w:hAnsi="宋体" w:cs="宋体"/>
                <w:kern w:val="0"/>
                <w:sz w:val="24"/>
                <w:highlight w:val="none"/>
              </w:rPr>
              <w:t>日</w:t>
            </w:r>
          </w:p>
        </w:tc>
      </w:tr>
    </w:tbl>
    <w:p w14:paraId="6C57E3A6">
      <w:pPr>
        <w:spacing w:line="360" w:lineRule="auto"/>
        <w:ind w:left="-487" w:leftChars="-232"/>
        <w:rPr>
          <w:rFonts w:ascii="宋体" w:hAnsi="宋体" w:cs="宋体"/>
          <w:b/>
          <w:bCs/>
          <w:sz w:val="24"/>
          <w:highlight w:val="none"/>
        </w:rPr>
      </w:pPr>
    </w:p>
    <w:p w14:paraId="44B6F769">
      <w:pPr>
        <w:numPr>
          <w:ilvl w:val="255"/>
          <w:numId w:val="0"/>
        </w:numPr>
        <w:jc w:val="left"/>
        <w:rPr>
          <w:rFonts w:ascii="宋体" w:hAnsi="宋体" w:cs="宋体"/>
          <w:sz w:val="24"/>
          <w:szCs w:val="28"/>
          <w:highlight w:val="none"/>
        </w:rPr>
      </w:pPr>
      <w:r>
        <w:rPr>
          <w:rFonts w:hint="eastAsia" w:ascii="宋体" w:hAnsi="宋体" w:cs="宋体"/>
          <w:sz w:val="24"/>
          <w:szCs w:val="28"/>
          <w:highlight w:val="none"/>
        </w:rPr>
        <w:br w:type="page"/>
      </w:r>
    </w:p>
    <w:bookmarkEnd w:id="410"/>
    <w:p w14:paraId="7519FDC9">
      <w:pPr>
        <w:spacing w:line="360" w:lineRule="auto"/>
        <w:ind w:left="559" w:hanging="559" w:hangingChars="232"/>
        <w:rPr>
          <w:rFonts w:ascii="宋体" w:hAnsi="宋体" w:cs="宋体"/>
          <w:sz w:val="24"/>
          <w:szCs w:val="24"/>
          <w:highlight w:val="none"/>
        </w:rPr>
      </w:pPr>
      <w:r>
        <w:rPr>
          <w:rFonts w:hint="eastAsia" w:ascii="宋体" w:hAnsi="宋体" w:cs="宋体"/>
          <w:b/>
          <w:bCs/>
          <w:sz w:val="24"/>
          <w:highlight w:val="none"/>
        </w:rPr>
        <w:t>三、详细评审</w:t>
      </w:r>
    </w:p>
    <w:tbl>
      <w:tblPr>
        <w:tblStyle w:val="28"/>
        <w:tblpPr w:leftFromText="180" w:rightFromText="180" w:vertAnchor="text" w:horzAnchor="page" w:tblpX="1786" w:tblpY="308"/>
        <w:tblOverlap w:val="never"/>
        <w:tblW w:w="85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908"/>
        <w:gridCol w:w="1105"/>
        <w:gridCol w:w="860"/>
        <w:gridCol w:w="5665"/>
      </w:tblGrid>
      <w:tr w14:paraId="613AE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11"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5F55C0FD">
            <w:pPr>
              <w:spacing w:line="400" w:lineRule="exact"/>
              <w:jc w:val="center"/>
              <w:rPr>
                <w:rFonts w:ascii="宋体" w:hAnsi="宋体" w:cs="宋体"/>
                <w:b/>
                <w:highlight w:val="none"/>
              </w:rPr>
            </w:pPr>
            <w:r>
              <w:rPr>
                <w:rFonts w:hint="eastAsia" w:ascii="宋体" w:hAnsi="宋体" w:cs="宋体"/>
                <w:b/>
                <w:highlight w:val="none"/>
              </w:rPr>
              <w:t>序号</w:t>
            </w:r>
          </w:p>
        </w:tc>
        <w:tc>
          <w:tcPr>
            <w:tcW w:w="1105" w:type="dxa"/>
            <w:tcBorders>
              <w:top w:val="single" w:color="000000" w:sz="4" w:space="0"/>
              <w:left w:val="single" w:color="000000" w:sz="4" w:space="0"/>
              <w:bottom w:val="single" w:color="000000" w:sz="4" w:space="0"/>
              <w:right w:val="single" w:color="000000" w:sz="4" w:space="0"/>
            </w:tcBorders>
            <w:vAlign w:val="center"/>
          </w:tcPr>
          <w:p w14:paraId="6AD42A1E">
            <w:pPr>
              <w:spacing w:line="400" w:lineRule="exact"/>
              <w:jc w:val="center"/>
              <w:rPr>
                <w:rFonts w:ascii="宋体" w:hAnsi="宋体" w:cs="宋体"/>
                <w:b/>
                <w:highlight w:val="none"/>
              </w:rPr>
            </w:pPr>
            <w:r>
              <w:rPr>
                <w:rFonts w:hint="eastAsia" w:ascii="宋体" w:hAnsi="宋体" w:cs="宋体"/>
                <w:b/>
                <w:highlight w:val="none"/>
              </w:rPr>
              <w:t>评审项目</w:t>
            </w:r>
          </w:p>
        </w:tc>
        <w:tc>
          <w:tcPr>
            <w:tcW w:w="860" w:type="dxa"/>
            <w:tcBorders>
              <w:top w:val="single" w:color="000000" w:sz="4" w:space="0"/>
              <w:left w:val="single" w:color="000000" w:sz="4" w:space="0"/>
              <w:bottom w:val="single" w:color="000000" w:sz="4" w:space="0"/>
              <w:right w:val="single" w:color="000000" w:sz="4" w:space="0"/>
            </w:tcBorders>
            <w:vAlign w:val="center"/>
          </w:tcPr>
          <w:p w14:paraId="5EED90A5">
            <w:pPr>
              <w:spacing w:line="400" w:lineRule="exact"/>
              <w:jc w:val="center"/>
              <w:rPr>
                <w:rFonts w:ascii="宋体" w:hAnsi="宋体" w:cs="宋体"/>
                <w:b/>
                <w:highlight w:val="none"/>
              </w:rPr>
            </w:pPr>
            <w:r>
              <w:rPr>
                <w:rFonts w:hint="eastAsia" w:ascii="宋体" w:hAnsi="宋体" w:cs="宋体"/>
                <w:b/>
                <w:highlight w:val="none"/>
              </w:rPr>
              <w:t>标准分</w:t>
            </w:r>
          </w:p>
        </w:tc>
        <w:tc>
          <w:tcPr>
            <w:tcW w:w="5665" w:type="dxa"/>
            <w:tcBorders>
              <w:top w:val="single" w:color="000000" w:sz="4" w:space="0"/>
              <w:left w:val="single" w:color="000000" w:sz="4" w:space="0"/>
              <w:bottom w:val="single" w:color="000000" w:sz="4" w:space="0"/>
              <w:right w:val="single" w:color="000000" w:sz="4" w:space="0"/>
            </w:tcBorders>
            <w:vAlign w:val="center"/>
          </w:tcPr>
          <w:p w14:paraId="0E67E48E">
            <w:pPr>
              <w:spacing w:line="400" w:lineRule="exact"/>
              <w:jc w:val="center"/>
              <w:rPr>
                <w:rFonts w:ascii="宋体" w:hAnsi="宋体" w:cs="宋体"/>
                <w:b/>
                <w:highlight w:val="none"/>
              </w:rPr>
            </w:pPr>
            <w:r>
              <w:rPr>
                <w:rFonts w:hint="eastAsia" w:ascii="宋体" w:hAnsi="宋体" w:cs="宋体"/>
                <w:b/>
                <w:highlight w:val="none"/>
              </w:rPr>
              <w:t>评分标准</w:t>
            </w:r>
          </w:p>
        </w:tc>
      </w:tr>
      <w:tr w14:paraId="57FF5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11" w:hRule="atLeast"/>
        </w:trPr>
        <w:tc>
          <w:tcPr>
            <w:tcW w:w="8538" w:type="dxa"/>
            <w:gridSpan w:val="4"/>
            <w:tcBorders>
              <w:top w:val="single" w:color="000000" w:sz="4" w:space="0"/>
              <w:left w:val="single" w:color="000000" w:sz="4" w:space="0"/>
              <w:bottom w:val="single" w:color="000000" w:sz="4" w:space="0"/>
              <w:right w:val="single" w:color="000000" w:sz="4" w:space="0"/>
            </w:tcBorders>
            <w:vAlign w:val="center"/>
          </w:tcPr>
          <w:p w14:paraId="0F20DA61">
            <w:pPr>
              <w:spacing w:line="400" w:lineRule="exact"/>
              <w:jc w:val="center"/>
              <w:rPr>
                <w:rFonts w:ascii="宋体" w:hAnsi="宋体" w:cs="宋体"/>
                <w:b/>
                <w:highlight w:val="none"/>
              </w:rPr>
            </w:pPr>
            <w:r>
              <w:rPr>
                <w:rFonts w:hint="eastAsia" w:cs="宋体"/>
                <w:b/>
                <w:bCs/>
                <w:sz w:val="24"/>
                <w:szCs w:val="24"/>
                <w:highlight w:val="none"/>
              </w:rPr>
              <w:t>价格部分（30分）</w:t>
            </w:r>
          </w:p>
        </w:tc>
      </w:tr>
      <w:tr w14:paraId="78C19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509"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3AAF6409">
            <w:pPr>
              <w:spacing w:line="400" w:lineRule="exact"/>
              <w:jc w:val="left"/>
              <w:rPr>
                <w:rFonts w:ascii="宋体" w:hAnsi="宋体" w:cs="宋体"/>
                <w:sz w:val="24"/>
                <w:highlight w:val="none"/>
              </w:rPr>
            </w:pPr>
            <w:r>
              <w:rPr>
                <w:rFonts w:hint="eastAsia" w:ascii="宋体" w:hAnsi="宋体" w:cs="宋体"/>
                <w:kern w:val="0"/>
                <w:sz w:val="24"/>
                <w:szCs w:val="24"/>
                <w:highlight w:val="none"/>
              </w:rPr>
              <w:t>1.01</w:t>
            </w:r>
          </w:p>
        </w:tc>
        <w:tc>
          <w:tcPr>
            <w:tcW w:w="1105" w:type="dxa"/>
            <w:tcBorders>
              <w:top w:val="single" w:color="000000" w:sz="4" w:space="0"/>
              <w:left w:val="single" w:color="000000" w:sz="4" w:space="0"/>
              <w:bottom w:val="single" w:color="000000" w:sz="4" w:space="0"/>
              <w:right w:val="single" w:color="000000" w:sz="4" w:space="0"/>
            </w:tcBorders>
            <w:vAlign w:val="center"/>
          </w:tcPr>
          <w:p w14:paraId="3C8518D2">
            <w:pPr>
              <w:spacing w:line="400" w:lineRule="exact"/>
              <w:jc w:val="left"/>
              <w:rPr>
                <w:rFonts w:ascii="宋体" w:hAnsi="宋体" w:cs="宋体"/>
                <w:sz w:val="24"/>
                <w:highlight w:val="none"/>
              </w:rPr>
            </w:pPr>
            <w:r>
              <w:rPr>
                <w:rFonts w:hint="eastAsia" w:ascii="宋体" w:hAnsi="宋体" w:cs="宋体"/>
                <w:kern w:val="0"/>
                <w:sz w:val="24"/>
                <w:szCs w:val="24"/>
                <w:highlight w:val="none"/>
              </w:rPr>
              <w:t>价格部分</w:t>
            </w:r>
          </w:p>
        </w:tc>
        <w:tc>
          <w:tcPr>
            <w:tcW w:w="860" w:type="dxa"/>
            <w:tcBorders>
              <w:top w:val="single" w:color="000000" w:sz="4" w:space="0"/>
              <w:left w:val="single" w:color="000000" w:sz="4" w:space="0"/>
              <w:bottom w:val="single" w:color="000000" w:sz="4" w:space="0"/>
              <w:right w:val="single" w:color="000000" w:sz="4" w:space="0"/>
            </w:tcBorders>
            <w:vAlign w:val="center"/>
          </w:tcPr>
          <w:p w14:paraId="426F95FB">
            <w:pPr>
              <w:spacing w:line="400" w:lineRule="exact"/>
              <w:jc w:val="left"/>
              <w:rPr>
                <w:rFonts w:ascii="宋体" w:hAnsi="宋体" w:cs="宋体"/>
                <w:sz w:val="24"/>
                <w:highlight w:val="none"/>
              </w:rPr>
            </w:pPr>
            <w:r>
              <w:rPr>
                <w:rFonts w:hint="eastAsia" w:ascii="宋体" w:hAnsi="宋体" w:cs="宋体"/>
                <w:kern w:val="0"/>
                <w:sz w:val="24"/>
                <w:szCs w:val="24"/>
                <w:highlight w:val="none"/>
              </w:rPr>
              <w:t>30</w:t>
            </w:r>
          </w:p>
        </w:tc>
        <w:tc>
          <w:tcPr>
            <w:tcW w:w="5665" w:type="dxa"/>
            <w:tcBorders>
              <w:top w:val="single" w:color="000000" w:sz="4" w:space="0"/>
              <w:left w:val="single" w:color="000000" w:sz="4" w:space="0"/>
              <w:bottom w:val="single" w:color="000000" w:sz="4" w:space="0"/>
              <w:right w:val="single" w:color="000000" w:sz="4" w:space="0"/>
            </w:tcBorders>
            <w:vAlign w:val="center"/>
          </w:tcPr>
          <w:p w14:paraId="16670602">
            <w:pPr>
              <w:jc w:val="left"/>
              <w:rPr>
                <w:rFonts w:ascii="宋体" w:hAnsi="宋体" w:cs="宋体"/>
                <w:sz w:val="24"/>
                <w:szCs w:val="24"/>
                <w:highlight w:val="none"/>
              </w:rPr>
            </w:pPr>
            <w:r>
              <w:rPr>
                <w:rFonts w:hint="eastAsia" w:ascii="宋体" w:hAnsi="宋体" w:cs="宋体"/>
                <w:sz w:val="24"/>
                <w:szCs w:val="24"/>
                <w:highlight w:val="none"/>
              </w:rPr>
              <w:t>如果有效投标人超过 5 家，则去掉1个最高价，1个最低价;若小于 5 家（包含），则不去；</w:t>
            </w:r>
          </w:p>
          <w:p w14:paraId="5A6B345A">
            <w:pPr>
              <w:spacing w:line="360" w:lineRule="auto"/>
              <w:rPr>
                <w:rFonts w:ascii="宋体" w:hAnsi="宋体" w:cs="宋体"/>
                <w:sz w:val="24"/>
                <w:highlight w:val="none"/>
              </w:rPr>
            </w:pPr>
            <w:r>
              <w:rPr>
                <w:rFonts w:hint="eastAsia" w:ascii="宋体" w:hAnsi="宋体" w:cs="宋体"/>
                <w:sz w:val="24"/>
                <w:szCs w:val="24"/>
                <w:highlight w:val="none"/>
              </w:rPr>
              <w:t>取有效投标人报价的平均值作为评标基准；有效投标报价等于评标基准价的，得分为30分，投标报价与基准价相比，每高出 1个百分点扣0.15分，每低于1个百分点扣0.1分，不足 1%时按内插法计算，分值扣完为止。</w:t>
            </w:r>
          </w:p>
        </w:tc>
      </w:tr>
      <w:tr w14:paraId="20961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7" w:hRule="atLeast"/>
        </w:trPr>
        <w:tc>
          <w:tcPr>
            <w:tcW w:w="8538" w:type="dxa"/>
            <w:gridSpan w:val="4"/>
            <w:tcBorders>
              <w:top w:val="single" w:color="000000" w:sz="4" w:space="0"/>
              <w:left w:val="single" w:color="000000" w:sz="4" w:space="0"/>
              <w:bottom w:val="single" w:color="000000" w:sz="4" w:space="0"/>
              <w:right w:val="single" w:color="000000" w:sz="4" w:space="0"/>
            </w:tcBorders>
            <w:vAlign w:val="center"/>
          </w:tcPr>
          <w:p w14:paraId="194CA8E7">
            <w:pPr>
              <w:pStyle w:val="48"/>
              <w:spacing w:line="360" w:lineRule="auto"/>
              <w:ind w:left="108" w:right="238"/>
              <w:jc w:val="center"/>
              <w:rPr>
                <w:sz w:val="24"/>
                <w:highlight w:val="none"/>
                <w:lang w:eastAsia="zh-CN"/>
              </w:rPr>
            </w:pPr>
            <w:bookmarkStart w:id="417" w:name="OLE_LINK22"/>
            <w:bookmarkStart w:id="418" w:name="OLE_LINK10"/>
            <w:r>
              <w:rPr>
                <w:rFonts w:hint="eastAsia"/>
                <w:b/>
                <w:bCs/>
                <w:sz w:val="24"/>
                <w:szCs w:val="24"/>
                <w:highlight w:val="none"/>
                <w:lang w:eastAsia="zh-CN"/>
              </w:rPr>
              <w:t>技术部分</w:t>
            </w:r>
            <w:bookmarkEnd w:id="417"/>
            <w:r>
              <w:rPr>
                <w:rFonts w:hint="eastAsia"/>
                <w:b/>
                <w:bCs/>
                <w:sz w:val="24"/>
                <w:szCs w:val="24"/>
                <w:highlight w:val="none"/>
                <w:lang w:eastAsia="zh-CN"/>
              </w:rPr>
              <w:t>（48分）</w:t>
            </w:r>
            <w:bookmarkEnd w:id="418"/>
          </w:p>
        </w:tc>
      </w:tr>
      <w:tr w14:paraId="25AFE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226"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41D63CD9">
            <w:pPr>
              <w:spacing w:line="400" w:lineRule="exact"/>
              <w:jc w:val="left"/>
              <w:rPr>
                <w:rFonts w:ascii="宋体" w:hAnsi="宋体" w:cs="宋体"/>
                <w:sz w:val="24"/>
                <w:highlight w:val="none"/>
              </w:rPr>
            </w:pPr>
            <w:bookmarkStart w:id="419" w:name="OLE_LINK9"/>
            <w:r>
              <w:rPr>
                <w:rFonts w:hint="eastAsia" w:ascii="宋体" w:hAnsi="宋体" w:cs="宋体"/>
                <w:sz w:val="24"/>
                <w:highlight w:val="none"/>
              </w:rPr>
              <w:t>1.0</w:t>
            </w:r>
            <w:bookmarkEnd w:id="419"/>
            <w:r>
              <w:rPr>
                <w:rFonts w:hint="eastAsia" w:ascii="宋体" w:hAnsi="宋体" w:cs="宋体"/>
                <w:sz w:val="24"/>
                <w:highlight w:val="none"/>
              </w:rPr>
              <w:t>2</w:t>
            </w:r>
          </w:p>
        </w:tc>
        <w:tc>
          <w:tcPr>
            <w:tcW w:w="1105" w:type="dxa"/>
            <w:tcBorders>
              <w:top w:val="single" w:color="000000" w:sz="4" w:space="0"/>
              <w:left w:val="single" w:color="000000" w:sz="4" w:space="0"/>
              <w:bottom w:val="single" w:color="000000" w:sz="4" w:space="0"/>
              <w:right w:val="single" w:color="000000" w:sz="4" w:space="0"/>
            </w:tcBorders>
            <w:vAlign w:val="center"/>
          </w:tcPr>
          <w:p w14:paraId="0FC7B282">
            <w:pPr>
              <w:spacing w:line="400" w:lineRule="exact"/>
              <w:jc w:val="center"/>
              <w:rPr>
                <w:rFonts w:ascii="宋体" w:hAnsi="宋体" w:cs="宋体"/>
                <w:sz w:val="24"/>
                <w:highlight w:val="none"/>
              </w:rPr>
            </w:pPr>
            <w:r>
              <w:rPr>
                <w:rFonts w:hint="eastAsia" w:ascii="宋体" w:hAnsi="宋体" w:cs="宋体"/>
                <w:sz w:val="24"/>
                <w:highlight w:val="none"/>
              </w:rPr>
              <w:t>总体技术工作方案</w:t>
            </w:r>
          </w:p>
        </w:tc>
        <w:tc>
          <w:tcPr>
            <w:tcW w:w="860" w:type="dxa"/>
            <w:tcBorders>
              <w:top w:val="single" w:color="000000" w:sz="4" w:space="0"/>
              <w:left w:val="single" w:color="000000" w:sz="4" w:space="0"/>
              <w:bottom w:val="single" w:color="000000" w:sz="4" w:space="0"/>
              <w:right w:val="single" w:color="000000" w:sz="4" w:space="0"/>
            </w:tcBorders>
            <w:vAlign w:val="center"/>
          </w:tcPr>
          <w:p w14:paraId="0CDDF395">
            <w:pPr>
              <w:spacing w:line="400" w:lineRule="exact"/>
              <w:jc w:val="center"/>
              <w:rPr>
                <w:rFonts w:ascii="宋体" w:hAnsi="宋体" w:cs="宋体"/>
                <w:sz w:val="24"/>
                <w:highlight w:val="none"/>
              </w:rPr>
            </w:pPr>
            <w:r>
              <w:rPr>
                <w:rFonts w:hint="eastAsia" w:ascii="宋体" w:hAnsi="宋体" w:cs="宋体"/>
                <w:sz w:val="24"/>
                <w:highlight w:val="none"/>
              </w:rPr>
              <w:t>6</w:t>
            </w:r>
          </w:p>
        </w:tc>
        <w:tc>
          <w:tcPr>
            <w:tcW w:w="5665" w:type="dxa"/>
            <w:tcBorders>
              <w:top w:val="single" w:color="000000" w:sz="4" w:space="0"/>
              <w:left w:val="single" w:color="000000" w:sz="4" w:space="0"/>
              <w:bottom w:val="single" w:color="000000" w:sz="4" w:space="0"/>
              <w:right w:val="single" w:color="000000" w:sz="4" w:space="0"/>
            </w:tcBorders>
            <w:vAlign w:val="center"/>
          </w:tcPr>
          <w:p w14:paraId="28A80D73">
            <w:pPr>
              <w:spacing w:line="360" w:lineRule="auto"/>
              <w:rPr>
                <w:rFonts w:ascii="宋体" w:hAnsi="宋体" w:cs="宋体"/>
                <w:sz w:val="24"/>
                <w:highlight w:val="none"/>
              </w:rPr>
            </w:pPr>
            <w:r>
              <w:rPr>
                <w:rFonts w:hint="eastAsia" w:ascii="宋体" w:hAnsi="宋体" w:cs="宋体"/>
                <w:sz w:val="24"/>
                <w:highlight w:val="none"/>
              </w:rPr>
              <w:t>1、工作方案科学合理，有较强的针对性，在深度、高度、合理性、符合性、可行性等方面优于招标要求，切合实际，</w:t>
            </w:r>
            <w:bookmarkStart w:id="420" w:name="OLE_LINK27"/>
            <w:r>
              <w:rPr>
                <w:rFonts w:hint="eastAsia" w:ascii="宋体" w:hAnsi="宋体" w:cs="宋体"/>
                <w:sz w:val="24"/>
                <w:highlight w:val="none"/>
              </w:rPr>
              <w:t>得4（不含4）-6分</w:t>
            </w:r>
            <w:bookmarkEnd w:id="420"/>
            <w:r>
              <w:rPr>
                <w:rFonts w:hint="eastAsia" w:ascii="宋体" w:hAnsi="宋体" w:cs="宋体"/>
                <w:sz w:val="24"/>
                <w:highlight w:val="none"/>
              </w:rPr>
              <w:t>；</w:t>
            </w:r>
          </w:p>
          <w:p w14:paraId="737115AC">
            <w:pPr>
              <w:spacing w:line="360" w:lineRule="auto"/>
              <w:rPr>
                <w:rFonts w:ascii="宋体" w:hAnsi="宋体" w:cs="宋体"/>
                <w:sz w:val="24"/>
                <w:highlight w:val="none"/>
              </w:rPr>
            </w:pPr>
            <w:r>
              <w:rPr>
                <w:rFonts w:hint="eastAsia" w:ascii="宋体" w:hAnsi="宋体" w:cs="宋体"/>
                <w:sz w:val="24"/>
                <w:highlight w:val="none"/>
              </w:rPr>
              <w:t>2、工作方案基本合理，有针对性，在深度、高度、合理性、符合性、可行性等方面满足招标要求，较切合实际，</w:t>
            </w:r>
            <w:bookmarkStart w:id="421" w:name="OLE_LINK26"/>
            <w:r>
              <w:rPr>
                <w:rFonts w:hint="eastAsia" w:ascii="宋体" w:hAnsi="宋体" w:cs="宋体"/>
                <w:sz w:val="24"/>
                <w:highlight w:val="none"/>
              </w:rPr>
              <w:t>得2（不含2）-4分</w:t>
            </w:r>
            <w:bookmarkEnd w:id="421"/>
            <w:r>
              <w:rPr>
                <w:rFonts w:hint="eastAsia" w:ascii="宋体" w:hAnsi="宋体" w:cs="宋体"/>
                <w:sz w:val="24"/>
                <w:highlight w:val="none"/>
              </w:rPr>
              <w:t>；</w:t>
            </w:r>
          </w:p>
          <w:p w14:paraId="570AEEB4">
            <w:pPr>
              <w:spacing w:line="360" w:lineRule="auto"/>
              <w:rPr>
                <w:rFonts w:ascii="宋体" w:hAnsi="宋体" w:cs="宋体"/>
                <w:sz w:val="24"/>
                <w:highlight w:val="none"/>
              </w:rPr>
            </w:pPr>
            <w:r>
              <w:rPr>
                <w:rFonts w:hint="eastAsia" w:ascii="宋体" w:hAnsi="宋体" w:cs="宋体"/>
                <w:sz w:val="24"/>
                <w:highlight w:val="none"/>
              </w:rPr>
              <w:t>3、工作方案要求在深度、高度、合理性、符合性、可行性等方面有欠缺，不太切合实际，</w:t>
            </w:r>
            <w:bookmarkStart w:id="422" w:name="OLE_LINK25"/>
            <w:r>
              <w:rPr>
                <w:rFonts w:hint="eastAsia" w:ascii="宋体" w:hAnsi="宋体" w:cs="宋体"/>
                <w:sz w:val="24"/>
                <w:highlight w:val="none"/>
              </w:rPr>
              <w:t>得0（不含0）-2分</w:t>
            </w:r>
            <w:bookmarkEnd w:id="422"/>
            <w:r>
              <w:rPr>
                <w:rFonts w:hint="eastAsia" w:ascii="宋体" w:hAnsi="宋体" w:cs="宋体"/>
                <w:sz w:val="24"/>
                <w:highlight w:val="none"/>
              </w:rPr>
              <w:t>。</w:t>
            </w:r>
          </w:p>
          <w:p w14:paraId="7FA32FD7">
            <w:pPr>
              <w:spacing w:line="360" w:lineRule="auto"/>
              <w:rPr>
                <w:rFonts w:ascii="宋体" w:hAnsi="宋体" w:cs="宋体"/>
                <w:sz w:val="24"/>
                <w:highlight w:val="none"/>
              </w:rPr>
            </w:pPr>
            <w:r>
              <w:rPr>
                <w:rFonts w:hint="eastAsia" w:ascii="宋体" w:hAnsi="宋体" w:cs="宋体"/>
                <w:sz w:val="24"/>
                <w:highlight w:val="none"/>
              </w:rPr>
              <w:t>4、不提供得0分。</w:t>
            </w:r>
          </w:p>
        </w:tc>
      </w:tr>
      <w:tr w14:paraId="46550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289"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18800C4C">
            <w:pPr>
              <w:spacing w:line="400" w:lineRule="exact"/>
              <w:jc w:val="left"/>
              <w:rPr>
                <w:rFonts w:ascii="宋体" w:hAnsi="宋体" w:cs="宋体"/>
                <w:sz w:val="24"/>
                <w:highlight w:val="none"/>
              </w:rPr>
            </w:pPr>
            <w:r>
              <w:rPr>
                <w:rFonts w:hint="eastAsia" w:ascii="宋体" w:hAnsi="宋体" w:cs="宋体"/>
                <w:sz w:val="24"/>
                <w:highlight w:val="none"/>
              </w:rPr>
              <w:t>1.03</w:t>
            </w:r>
          </w:p>
        </w:tc>
        <w:tc>
          <w:tcPr>
            <w:tcW w:w="1105" w:type="dxa"/>
            <w:tcBorders>
              <w:top w:val="single" w:color="000000" w:sz="4" w:space="0"/>
              <w:left w:val="single" w:color="000000" w:sz="4" w:space="0"/>
              <w:bottom w:val="single" w:color="000000" w:sz="4" w:space="0"/>
              <w:right w:val="single" w:color="000000" w:sz="4" w:space="0"/>
            </w:tcBorders>
            <w:vAlign w:val="center"/>
          </w:tcPr>
          <w:p w14:paraId="246D7FBB">
            <w:pPr>
              <w:spacing w:line="360" w:lineRule="auto"/>
              <w:jc w:val="center"/>
              <w:rPr>
                <w:rFonts w:ascii="宋体" w:hAnsi="宋体" w:cs="宋体"/>
                <w:sz w:val="24"/>
                <w:highlight w:val="none"/>
              </w:rPr>
            </w:pPr>
            <w:r>
              <w:rPr>
                <w:rFonts w:hint="eastAsia" w:ascii="宋体" w:hAnsi="宋体" w:cs="宋体"/>
                <w:sz w:val="24"/>
                <w:highlight w:val="none"/>
              </w:rPr>
              <w:t>设备保障</w:t>
            </w:r>
          </w:p>
        </w:tc>
        <w:tc>
          <w:tcPr>
            <w:tcW w:w="860" w:type="dxa"/>
            <w:tcBorders>
              <w:top w:val="single" w:color="000000" w:sz="4" w:space="0"/>
              <w:left w:val="single" w:color="000000" w:sz="4" w:space="0"/>
              <w:bottom w:val="single" w:color="000000" w:sz="4" w:space="0"/>
              <w:right w:val="single" w:color="000000" w:sz="4" w:space="0"/>
            </w:tcBorders>
            <w:vAlign w:val="center"/>
          </w:tcPr>
          <w:p w14:paraId="655B587A">
            <w:pPr>
              <w:pStyle w:val="48"/>
              <w:spacing w:before="1" w:line="360" w:lineRule="auto"/>
              <w:jc w:val="center"/>
              <w:rPr>
                <w:sz w:val="24"/>
                <w:highlight w:val="none"/>
                <w:lang w:eastAsia="zh-CN"/>
              </w:rPr>
            </w:pPr>
            <w:r>
              <w:rPr>
                <w:rFonts w:hint="eastAsia"/>
                <w:sz w:val="24"/>
                <w:highlight w:val="none"/>
                <w:lang w:eastAsia="zh-CN"/>
              </w:rPr>
              <w:t>6</w:t>
            </w:r>
          </w:p>
        </w:tc>
        <w:tc>
          <w:tcPr>
            <w:tcW w:w="5665" w:type="dxa"/>
            <w:tcBorders>
              <w:top w:val="single" w:color="000000" w:sz="4" w:space="0"/>
              <w:left w:val="single" w:color="000000" w:sz="4" w:space="0"/>
              <w:bottom w:val="single" w:color="000000" w:sz="4" w:space="0"/>
              <w:right w:val="single" w:color="000000" w:sz="4" w:space="0"/>
            </w:tcBorders>
          </w:tcPr>
          <w:p w14:paraId="7E0A4F5F">
            <w:pPr>
              <w:spacing w:line="360" w:lineRule="auto"/>
              <w:rPr>
                <w:rFonts w:ascii="宋体" w:hAnsi="宋体" w:cs="宋体"/>
                <w:sz w:val="24"/>
                <w:highlight w:val="none"/>
              </w:rPr>
            </w:pPr>
            <w:bookmarkStart w:id="423" w:name="OLE_LINK17"/>
            <w:r>
              <w:rPr>
                <w:rFonts w:hint="eastAsia" w:ascii="宋体" w:hAnsi="宋体" w:cs="宋体"/>
                <w:sz w:val="24"/>
                <w:highlight w:val="none"/>
              </w:rPr>
              <w:t>1、软硬件设备最先进，能提供最先进、完善的服务，保障成果质量的可靠技术设备，得4（不含4）-6分；</w:t>
            </w:r>
          </w:p>
          <w:p w14:paraId="1B1EF2F1">
            <w:pPr>
              <w:spacing w:line="360" w:lineRule="auto"/>
              <w:rPr>
                <w:rFonts w:ascii="宋体" w:hAnsi="宋体" w:cs="宋体"/>
                <w:sz w:val="24"/>
                <w:highlight w:val="none"/>
              </w:rPr>
            </w:pPr>
            <w:r>
              <w:rPr>
                <w:rFonts w:hint="eastAsia" w:ascii="宋体" w:hAnsi="宋体" w:cs="宋体"/>
                <w:sz w:val="24"/>
                <w:highlight w:val="none"/>
              </w:rPr>
              <w:t>2、软硬件设备比较先进，能提供比较先进、完善的服务，保障成果质量的可靠技术设备，得2（不含2）-4分；</w:t>
            </w:r>
          </w:p>
          <w:p w14:paraId="737DE4E7">
            <w:pPr>
              <w:spacing w:line="360" w:lineRule="auto"/>
              <w:rPr>
                <w:rFonts w:ascii="宋体" w:hAnsi="宋体" w:cs="宋体"/>
                <w:sz w:val="24"/>
                <w:highlight w:val="none"/>
              </w:rPr>
            </w:pPr>
            <w:r>
              <w:rPr>
                <w:rFonts w:hint="eastAsia" w:ascii="宋体" w:hAnsi="宋体" w:cs="宋体"/>
                <w:sz w:val="24"/>
                <w:highlight w:val="none"/>
              </w:rPr>
              <w:t>3、软硬件设备符合要求，能提供完善的服务，保障成果质量的可靠技术设备，得0（不含0）-2分。</w:t>
            </w:r>
          </w:p>
          <w:p w14:paraId="5F26B120">
            <w:pPr>
              <w:spacing w:line="360" w:lineRule="auto"/>
              <w:rPr>
                <w:rFonts w:ascii="宋体" w:hAnsi="宋体" w:cs="宋体"/>
                <w:sz w:val="24"/>
                <w:highlight w:val="none"/>
              </w:rPr>
            </w:pPr>
            <w:r>
              <w:rPr>
                <w:rFonts w:hint="eastAsia" w:ascii="宋体" w:hAnsi="宋体" w:cs="宋体"/>
                <w:sz w:val="24"/>
                <w:highlight w:val="none"/>
              </w:rPr>
              <w:t>4、不提供得0分。</w:t>
            </w:r>
            <w:bookmarkEnd w:id="423"/>
          </w:p>
        </w:tc>
      </w:tr>
      <w:tr w14:paraId="41E31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2352"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6EC58783">
            <w:pPr>
              <w:spacing w:line="400" w:lineRule="exact"/>
              <w:jc w:val="left"/>
              <w:rPr>
                <w:rFonts w:ascii="宋体" w:hAnsi="宋体" w:cs="宋体"/>
                <w:sz w:val="24"/>
                <w:highlight w:val="none"/>
              </w:rPr>
            </w:pPr>
            <w:r>
              <w:rPr>
                <w:rFonts w:hint="eastAsia" w:ascii="宋体" w:hAnsi="宋体" w:cs="宋体"/>
                <w:sz w:val="24"/>
                <w:highlight w:val="none"/>
              </w:rPr>
              <w:t>1.04</w:t>
            </w:r>
          </w:p>
        </w:tc>
        <w:tc>
          <w:tcPr>
            <w:tcW w:w="1105" w:type="dxa"/>
            <w:tcBorders>
              <w:top w:val="single" w:color="000000" w:sz="4" w:space="0"/>
              <w:left w:val="single" w:color="000000" w:sz="4" w:space="0"/>
              <w:bottom w:val="single" w:color="000000" w:sz="4" w:space="0"/>
              <w:right w:val="single" w:color="000000" w:sz="4" w:space="0"/>
            </w:tcBorders>
            <w:vAlign w:val="center"/>
          </w:tcPr>
          <w:p w14:paraId="7DCA59F5">
            <w:pPr>
              <w:spacing w:line="360" w:lineRule="auto"/>
              <w:jc w:val="center"/>
              <w:rPr>
                <w:rFonts w:ascii="宋体" w:hAnsi="宋体" w:cs="宋体"/>
                <w:sz w:val="24"/>
                <w:highlight w:val="none"/>
              </w:rPr>
            </w:pPr>
            <w:bookmarkStart w:id="424" w:name="OLE_LINK18"/>
            <w:r>
              <w:rPr>
                <w:rFonts w:hint="eastAsia" w:ascii="宋体" w:hAnsi="宋体" w:cs="宋体"/>
                <w:sz w:val="24"/>
                <w:highlight w:val="none"/>
              </w:rPr>
              <w:t>数值模拟、系统开发</w:t>
            </w:r>
            <w:bookmarkEnd w:id="424"/>
            <w:r>
              <w:rPr>
                <w:rFonts w:hint="eastAsia" w:ascii="宋体" w:hAnsi="宋体" w:cs="宋体"/>
                <w:sz w:val="24"/>
                <w:highlight w:val="none"/>
              </w:rPr>
              <w:t>方案</w:t>
            </w:r>
          </w:p>
        </w:tc>
        <w:tc>
          <w:tcPr>
            <w:tcW w:w="860" w:type="dxa"/>
            <w:tcBorders>
              <w:top w:val="single" w:color="000000" w:sz="4" w:space="0"/>
              <w:left w:val="single" w:color="000000" w:sz="4" w:space="0"/>
              <w:bottom w:val="single" w:color="000000" w:sz="4" w:space="0"/>
              <w:right w:val="single" w:color="000000" w:sz="4" w:space="0"/>
            </w:tcBorders>
            <w:vAlign w:val="center"/>
          </w:tcPr>
          <w:p w14:paraId="0F992EAB">
            <w:pPr>
              <w:pStyle w:val="48"/>
              <w:spacing w:before="1" w:line="360" w:lineRule="auto"/>
              <w:jc w:val="center"/>
              <w:rPr>
                <w:sz w:val="24"/>
                <w:szCs w:val="24"/>
                <w:highlight w:val="none"/>
                <w:lang w:eastAsia="zh-CN"/>
              </w:rPr>
            </w:pPr>
            <w:r>
              <w:rPr>
                <w:rFonts w:hint="eastAsia"/>
                <w:sz w:val="24"/>
                <w:szCs w:val="24"/>
                <w:highlight w:val="none"/>
                <w:lang w:eastAsia="zh-CN"/>
              </w:rPr>
              <w:t>6</w:t>
            </w:r>
          </w:p>
        </w:tc>
        <w:tc>
          <w:tcPr>
            <w:tcW w:w="5665" w:type="dxa"/>
            <w:tcBorders>
              <w:top w:val="single" w:color="000000" w:sz="4" w:space="0"/>
              <w:left w:val="single" w:color="000000" w:sz="4" w:space="0"/>
              <w:bottom w:val="single" w:color="000000" w:sz="4" w:space="0"/>
              <w:right w:val="single" w:color="000000" w:sz="4" w:space="0"/>
            </w:tcBorders>
          </w:tcPr>
          <w:p w14:paraId="2CB7F0CB">
            <w:pPr>
              <w:numPr>
                <w:ilvl w:val="0"/>
                <w:numId w:val="16"/>
              </w:numPr>
              <w:spacing w:line="360" w:lineRule="auto"/>
              <w:rPr>
                <w:rFonts w:ascii="宋体" w:hAnsi="宋体" w:cs="宋体"/>
                <w:sz w:val="24"/>
                <w:highlight w:val="none"/>
              </w:rPr>
            </w:pPr>
            <w:bookmarkStart w:id="425" w:name="OLE_LINK20"/>
            <w:bookmarkStart w:id="426" w:name="OLE_LINK19"/>
            <w:r>
              <w:rPr>
                <w:rFonts w:hint="eastAsia" w:ascii="宋体" w:hAnsi="宋体" w:cs="宋体"/>
                <w:sz w:val="24"/>
                <w:highlight w:val="none"/>
              </w:rPr>
              <w:t>数值模拟、系统开发全面、科学、合理、技术先进</w:t>
            </w:r>
            <w:bookmarkEnd w:id="425"/>
            <w:r>
              <w:rPr>
                <w:rFonts w:hint="eastAsia" w:ascii="宋体" w:hAnsi="宋体" w:cs="宋体"/>
                <w:sz w:val="24"/>
                <w:highlight w:val="none"/>
              </w:rPr>
              <w:t>，</w:t>
            </w:r>
            <w:bookmarkEnd w:id="426"/>
            <w:r>
              <w:rPr>
                <w:rFonts w:hint="eastAsia" w:ascii="宋体" w:hAnsi="宋体" w:cs="宋体"/>
                <w:sz w:val="24"/>
                <w:highlight w:val="none"/>
              </w:rPr>
              <w:t>得4（不含4）-6分；</w:t>
            </w:r>
          </w:p>
          <w:p w14:paraId="703FEB08">
            <w:pPr>
              <w:spacing w:line="360" w:lineRule="auto"/>
              <w:rPr>
                <w:rFonts w:ascii="宋体" w:hAnsi="宋体" w:cs="宋体"/>
                <w:sz w:val="24"/>
                <w:highlight w:val="none"/>
              </w:rPr>
            </w:pPr>
            <w:r>
              <w:rPr>
                <w:rFonts w:hint="eastAsia" w:ascii="宋体" w:hAnsi="宋体" w:cs="宋体"/>
                <w:sz w:val="24"/>
                <w:highlight w:val="none"/>
              </w:rPr>
              <w:t>2、</w:t>
            </w:r>
            <w:bookmarkStart w:id="427" w:name="OLE_LINK21"/>
            <w:r>
              <w:rPr>
                <w:rFonts w:hint="eastAsia" w:ascii="宋体" w:hAnsi="宋体" w:cs="宋体"/>
                <w:sz w:val="24"/>
                <w:highlight w:val="none"/>
              </w:rPr>
              <w:t>数值模拟、系统开发较全面、科学、合理、技术较先进，</w:t>
            </w:r>
            <w:bookmarkEnd w:id="427"/>
            <w:r>
              <w:rPr>
                <w:rFonts w:hint="eastAsia" w:ascii="宋体" w:hAnsi="宋体" w:cs="宋体"/>
                <w:sz w:val="24"/>
                <w:highlight w:val="none"/>
              </w:rPr>
              <w:t>得2（不含2）-4分；</w:t>
            </w:r>
          </w:p>
          <w:p w14:paraId="2B261DF8">
            <w:pPr>
              <w:spacing w:line="360" w:lineRule="auto"/>
              <w:rPr>
                <w:rFonts w:ascii="宋体" w:hAnsi="宋体" w:cs="宋体"/>
                <w:sz w:val="24"/>
                <w:highlight w:val="none"/>
              </w:rPr>
            </w:pPr>
            <w:r>
              <w:rPr>
                <w:rFonts w:hint="eastAsia" w:ascii="宋体" w:hAnsi="宋体" w:cs="宋体"/>
                <w:sz w:val="24"/>
                <w:highlight w:val="none"/>
              </w:rPr>
              <w:t>3、数值模拟、系统开发全面性、科学性、合理性一般，得0（不含0）-2分。</w:t>
            </w:r>
          </w:p>
          <w:p w14:paraId="30A0A470">
            <w:pPr>
              <w:spacing w:line="360" w:lineRule="auto"/>
              <w:rPr>
                <w:rFonts w:ascii="宋体" w:hAnsi="宋体" w:cs="宋体"/>
                <w:sz w:val="24"/>
                <w:highlight w:val="none"/>
              </w:rPr>
            </w:pPr>
            <w:r>
              <w:rPr>
                <w:rFonts w:hint="eastAsia" w:ascii="宋体" w:hAnsi="宋体" w:cs="宋体"/>
                <w:sz w:val="24"/>
                <w:highlight w:val="none"/>
              </w:rPr>
              <w:t>4、不提供得0分。</w:t>
            </w:r>
          </w:p>
        </w:tc>
      </w:tr>
      <w:tr w14:paraId="6E9B1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228"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57944189">
            <w:pPr>
              <w:spacing w:line="400" w:lineRule="exact"/>
              <w:jc w:val="left"/>
              <w:rPr>
                <w:rFonts w:ascii="宋体" w:hAnsi="宋体" w:cs="宋体"/>
                <w:sz w:val="24"/>
                <w:highlight w:val="none"/>
              </w:rPr>
            </w:pPr>
            <w:r>
              <w:rPr>
                <w:rFonts w:hint="eastAsia" w:ascii="宋体" w:hAnsi="宋体" w:cs="宋体"/>
                <w:sz w:val="24"/>
                <w:highlight w:val="none"/>
              </w:rPr>
              <w:t>1.05</w:t>
            </w:r>
          </w:p>
        </w:tc>
        <w:tc>
          <w:tcPr>
            <w:tcW w:w="1105" w:type="dxa"/>
            <w:tcBorders>
              <w:top w:val="single" w:color="000000" w:sz="4" w:space="0"/>
              <w:left w:val="single" w:color="000000" w:sz="4" w:space="0"/>
              <w:bottom w:val="single" w:color="000000" w:sz="4" w:space="0"/>
              <w:right w:val="single" w:color="000000" w:sz="4" w:space="0"/>
            </w:tcBorders>
            <w:vAlign w:val="center"/>
          </w:tcPr>
          <w:p w14:paraId="210EDA87">
            <w:pPr>
              <w:spacing w:line="400" w:lineRule="exact"/>
              <w:jc w:val="left"/>
              <w:rPr>
                <w:rFonts w:ascii="宋体" w:hAnsi="宋体" w:cs="宋体"/>
                <w:sz w:val="24"/>
                <w:highlight w:val="none"/>
              </w:rPr>
            </w:pPr>
            <w:r>
              <w:rPr>
                <w:rFonts w:hint="eastAsia" w:ascii="宋体" w:hAnsi="宋体" w:cs="宋体"/>
                <w:sz w:val="24"/>
                <w:highlight w:val="none"/>
              </w:rPr>
              <w:t>售后服务方案</w:t>
            </w:r>
          </w:p>
        </w:tc>
        <w:tc>
          <w:tcPr>
            <w:tcW w:w="860" w:type="dxa"/>
            <w:tcBorders>
              <w:top w:val="single" w:color="000000" w:sz="4" w:space="0"/>
              <w:left w:val="single" w:color="000000" w:sz="4" w:space="0"/>
              <w:bottom w:val="single" w:color="000000" w:sz="4" w:space="0"/>
              <w:right w:val="single" w:color="000000" w:sz="4" w:space="0"/>
            </w:tcBorders>
            <w:vAlign w:val="center"/>
          </w:tcPr>
          <w:p w14:paraId="46F24FDA">
            <w:pPr>
              <w:spacing w:line="400" w:lineRule="exact"/>
              <w:jc w:val="left"/>
              <w:rPr>
                <w:rFonts w:cs="宋体"/>
                <w:sz w:val="24"/>
                <w:szCs w:val="24"/>
                <w:highlight w:val="none"/>
              </w:rPr>
            </w:pPr>
            <w:r>
              <w:rPr>
                <w:rFonts w:hint="eastAsia" w:ascii="宋体" w:hAnsi="宋体" w:cs="宋体"/>
                <w:sz w:val="24"/>
                <w:highlight w:val="none"/>
              </w:rPr>
              <w:t>6</w:t>
            </w:r>
          </w:p>
        </w:tc>
        <w:tc>
          <w:tcPr>
            <w:tcW w:w="5665" w:type="dxa"/>
            <w:tcBorders>
              <w:top w:val="single" w:color="000000" w:sz="4" w:space="0"/>
              <w:left w:val="single" w:color="000000" w:sz="4" w:space="0"/>
              <w:bottom w:val="single" w:color="000000" w:sz="4" w:space="0"/>
              <w:right w:val="single" w:color="000000" w:sz="4" w:space="0"/>
            </w:tcBorders>
            <w:vAlign w:val="center"/>
          </w:tcPr>
          <w:p w14:paraId="5B87719D">
            <w:pPr>
              <w:widowControl/>
              <w:spacing w:line="400" w:lineRule="exact"/>
              <w:jc w:val="left"/>
              <w:rPr>
                <w:rFonts w:ascii="宋体" w:hAnsi="宋体" w:cs="宋体"/>
                <w:sz w:val="24"/>
                <w:highlight w:val="none"/>
              </w:rPr>
            </w:pPr>
            <w:r>
              <w:rPr>
                <w:rFonts w:hint="eastAsia" w:ascii="宋体" w:hAnsi="宋体" w:cs="宋体"/>
                <w:sz w:val="24"/>
                <w:highlight w:val="none"/>
              </w:rPr>
              <w:t>投标人应根据采购需求，结合项目实际，提供售后服务方案，方案至少应包括但不限于以下内容：①质保期②售后技术人员队伍③质保期服务内容④售后服务响应时间。</w:t>
            </w:r>
          </w:p>
          <w:p w14:paraId="365BA0AC">
            <w:pPr>
              <w:widowControl/>
              <w:spacing w:line="400" w:lineRule="exact"/>
              <w:jc w:val="left"/>
              <w:rPr>
                <w:rFonts w:ascii="宋体" w:hAnsi="宋体" w:cs="宋体"/>
                <w:sz w:val="24"/>
                <w:highlight w:val="none"/>
              </w:rPr>
            </w:pPr>
            <w:r>
              <w:rPr>
                <w:rFonts w:hint="eastAsia" w:ascii="宋体" w:hAnsi="宋体" w:cs="宋体"/>
                <w:sz w:val="24"/>
                <w:highlight w:val="none"/>
              </w:rPr>
              <w:t>1、提供符合采购需求全面详实的有效方案，无缺陷，得4（不含4）-6分；</w:t>
            </w:r>
          </w:p>
          <w:p w14:paraId="467C9F05">
            <w:pPr>
              <w:widowControl/>
              <w:spacing w:line="400" w:lineRule="exact"/>
              <w:jc w:val="left"/>
              <w:rPr>
                <w:rFonts w:ascii="宋体" w:hAnsi="宋体" w:cs="宋体"/>
                <w:sz w:val="24"/>
                <w:highlight w:val="none"/>
              </w:rPr>
            </w:pPr>
            <w:r>
              <w:rPr>
                <w:rFonts w:hint="eastAsia" w:ascii="宋体" w:hAnsi="宋体" w:cs="宋体"/>
                <w:sz w:val="24"/>
                <w:highlight w:val="none"/>
              </w:rPr>
              <w:t>2、方案内容存在缺陷的，得2（不含2）-4分；</w:t>
            </w:r>
          </w:p>
          <w:p w14:paraId="7992DB5B">
            <w:pPr>
              <w:widowControl/>
              <w:spacing w:line="400" w:lineRule="exact"/>
              <w:jc w:val="left"/>
              <w:rPr>
                <w:rFonts w:ascii="宋体" w:hAnsi="宋体" w:cs="宋体"/>
                <w:sz w:val="24"/>
                <w:highlight w:val="none"/>
              </w:rPr>
            </w:pPr>
            <w:r>
              <w:rPr>
                <w:rFonts w:hint="eastAsia" w:ascii="宋体" w:hAnsi="宋体" w:cs="宋体"/>
                <w:sz w:val="24"/>
                <w:highlight w:val="none"/>
              </w:rPr>
              <w:t>3、方案内容存在不符合项目需求的，或方案中缺少上述应包括内容任意一项内容的，得0（不含0）-2分；</w:t>
            </w:r>
          </w:p>
          <w:p w14:paraId="49B1E43D">
            <w:pPr>
              <w:widowControl/>
              <w:spacing w:line="400" w:lineRule="exact"/>
              <w:jc w:val="left"/>
              <w:rPr>
                <w:rFonts w:ascii="宋体" w:hAnsi="宋体" w:cs="宋体"/>
                <w:sz w:val="24"/>
                <w:highlight w:val="none"/>
              </w:rPr>
            </w:pPr>
            <w:r>
              <w:rPr>
                <w:rFonts w:hint="eastAsia" w:ascii="宋体" w:hAnsi="宋体" w:cs="宋体"/>
                <w:sz w:val="24"/>
                <w:highlight w:val="none"/>
              </w:rPr>
              <w:t>4、未提供方案，得0分。</w:t>
            </w:r>
          </w:p>
          <w:p w14:paraId="7D286928">
            <w:pPr>
              <w:widowControl/>
              <w:spacing w:line="400" w:lineRule="exact"/>
              <w:jc w:val="left"/>
              <w:rPr>
                <w:rFonts w:ascii="宋体" w:hAnsi="宋体" w:cs="宋体"/>
                <w:sz w:val="24"/>
                <w:highlight w:val="none"/>
              </w:rPr>
            </w:pPr>
            <w:r>
              <w:rPr>
                <w:rFonts w:hint="eastAsia" w:ascii="宋体" w:hAnsi="宋体" w:cs="宋体"/>
                <w:sz w:val="24"/>
                <w:highlight w:val="none"/>
              </w:rPr>
              <w:t>注：缺陷是指方案内容与项目需求不完全一致、存在相互矛盾内容以及未针对本项目编写的任意一种情形。不符合项目需求是指存在与本项目执行无关的内容、存在相关内容在实际操作中不能运用的任意一种情形。</w:t>
            </w:r>
          </w:p>
        </w:tc>
      </w:tr>
      <w:tr w14:paraId="54A3F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827"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1BE8E46D">
            <w:pPr>
              <w:spacing w:line="400" w:lineRule="exact"/>
              <w:jc w:val="left"/>
              <w:rPr>
                <w:rFonts w:ascii="宋体" w:hAnsi="宋体" w:cs="宋体"/>
                <w:sz w:val="24"/>
                <w:highlight w:val="none"/>
              </w:rPr>
            </w:pPr>
            <w:r>
              <w:rPr>
                <w:rFonts w:hint="eastAsia" w:ascii="宋体" w:hAnsi="宋体" w:cs="宋体"/>
                <w:sz w:val="24"/>
                <w:highlight w:val="none"/>
              </w:rPr>
              <w:t>1.06</w:t>
            </w:r>
          </w:p>
        </w:tc>
        <w:tc>
          <w:tcPr>
            <w:tcW w:w="1105" w:type="dxa"/>
            <w:tcBorders>
              <w:top w:val="single" w:color="000000" w:sz="4" w:space="0"/>
              <w:left w:val="single" w:color="000000" w:sz="4" w:space="0"/>
              <w:bottom w:val="single" w:color="000000" w:sz="4" w:space="0"/>
              <w:right w:val="single" w:color="000000" w:sz="4" w:space="0"/>
            </w:tcBorders>
            <w:vAlign w:val="center"/>
          </w:tcPr>
          <w:p w14:paraId="730D930F">
            <w:pPr>
              <w:spacing w:line="400" w:lineRule="exact"/>
              <w:jc w:val="left"/>
              <w:rPr>
                <w:rFonts w:ascii="宋体" w:hAnsi="宋体" w:cs="宋体"/>
                <w:sz w:val="24"/>
                <w:highlight w:val="none"/>
              </w:rPr>
            </w:pPr>
            <w:r>
              <w:rPr>
                <w:rFonts w:hint="eastAsia" w:ascii="宋体" w:hAnsi="宋体" w:cs="宋体"/>
                <w:sz w:val="24"/>
                <w:highlight w:val="none"/>
              </w:rPr>
              <w:t>供货及安装调试方案</w:t>
            </w:r>
          </w:p>
        </w:tc>
        <w:tc>
          <w:tcPr>
            <w:tcW w:w="860" w:type="dxa"/>
            <w:tcBorders>
              <w:top w:val="single" w:color="000000" w:sz="4" w:space="0"/>
              <w:left w:val="single" w:color="000000" w:sz="4" w:space="0"/>
              <w:bottom w:val="single" w:color="000000" w:sz="4" w:space="0"/>
              <w:right w:val="single" w:color="000000" w:sz="4" w:space="0"/>
            </w:tcBorders>
            <w:vAlign w:val="center"/>
          </w:tcPr>
          <w:p w14:paraId="173A373C">
            <w:pPr>
              <w:spacing w:line="400" w:lineRule="exact"/>
              <w:jc w:val="left"/>
              <w:rPr>
                <w:rFonts w:cs="宋体"/>
                <w:sz w:val="24"/>
                <w:szCs w:val="24"/>
                <w:highlight w:val="none"/>
              </w:rPr>
            </w:pPr>
            <w:r>
              <w:rPr>
                <w:rFonts w:hint="eastAsia" w:ascii="宋体" w:hAnsi="宋体" w:cs="宋体"/>
                <w:sz w:val="24"/>
                <w:highlight w:val="none"/>
              </w:rPr>
              <w:t>6</w:t>
            </w:r>
          </w:p>
        </w:tc>
        <w:tc>
          <w:tcPr>
            <w:tcW w:w="5665" w:type="dxa"/>
            <w:tcBorders>
              <w:top w:val="single" w:color="000000" w:sz="4" w:space="0"/>
              <w:left w:val="single" w:color="000000" w:sz="4" w:space="0"/>
              <w:bottom w:val="single" w:color="000000" w:sz="4" w:space="0"/>
              <w:right w:val="single" w:color="000000" w:sz="4" w:space="0"/>
            </w:tcBorders>
            <w:vAlign w:val="center"/>
          </w:tcPr>
          <w:p w14:paraId="4669BEAE">
            <w:pPr>
              <w:spacing w:line="400" w:lineRule="exact"/>
              <w:jc w:val="left"/>
              <w:rPr>
                <w:rFonts w:ascii="宋体" w:hAnsi="宋体" w:cs="宋体"/>
                <w:sz w:val="24"/>
                <w:highlight w:val="none"/>
              </w:rPr>
            </w:pPr>
            <w:r>
              <w:rPr>
                <w:rFonts w:ascii="宋体" w:hAnsi="宋体" w:cs="宋体"/>
                <w:sz w:val="24"/>
                <w:highlight w:val="none"/>
              </w:rPr>
              <w:t>投标人应根据采购需求，结合项目实际，提供供货及安装调试方案，方案至少应包括但不限于以下内容：①供货配送计划②安装调试计划③试运行计划④应急预案。</w:t>
            </w:r>
          </w:p>
          <w:p w14:paraId="2C2034B1">
            <w:pPr>
              <w:spacing w:line="400" w:lineRule="exact"/>
              <w:jc w:val="left"/>
              <w:rPr>
                <w:rFonts w:ascii="宋体" w:hAnsi="宋体" w:cs="宋体"/>
                <w:sz w:val="24"/>
                <w:highlight w:val="none"/>
              </w:rPr>
            </w:pPr>
            <w:r>
              <w:rPr>
                <w:rFonts w:ascii="宋体" w:hAnsi="宋体" w:cs="宋体"/>
                <w:sz w:val="24"/>
                <w:highlight w:val="none"/>
              </w:rPr>
              <w:t>1、提供符合采购需求全面详实的有效方案，无缺陷，</w:t>
            </w:r>
            <w:r>
              <w:rPr>
                <w:rFonts w:hint="eastAsia" w:ascii="宋体" w:hAnsi="宋体" w:cs="宋体"/>
                <w:sz w:val="24"/>
                <w:highlight w:val="none"/>
              </w:rPr>
              <w:t>得4（不含4）-6分</w:t>
            </w:r>
            <w:r>
              <w:rPr>
                <w:rFonts w:ascii="宋体" w:hAnsi="宋体" w:cs="宋体"/>
                <w:sz w:val="24"/>
                <w:highlight w:val="none"/>
              </w:rPr>
              <w:t>；</w:t>
            </w:r>
          </w:p>
          <w:p w14:paraId="60C9FE02">
            <w:pPr>
              <w:spacing w:line="400" w:lineRule="exact"/>
              <w:jc w:val="left"/>
              <w:rPr>
                <w:rFonts w:ascii="宋体" w:hAnsi="宋体" w:cs="宋体"/>
                <w:sz w:val="24"/>
                <w:highlight w:val="none"/>
              </w:rPr>
            </w:pPr>
            <w:r>
              <w:rPr>
                <w:rFonts w:ascii="宋体" w:hAnsi="宋体" w:cs="宋体"/>
                <w:sz w:val="24"/>
                <w:highlight w:val="none"/>
              </w:rPr>
              <w:t>2、方案内容存在缺陷的，</w:t>
            </w:r>
            <w:r>
              <w:rPr>
                <w:rFonts w:hint="eastAsia" w:ascii="宋体" w:hAnsi="宋体" w:cs="宋体"/>
                <w:sz w:val="24"/>
                <w:highlight w:val="none"/>
              </w:rPr>
              <w:t>得2（不含2）-4分</w:t>
            </w:r>
            <w:r>
              <w:rPr>
                <w:rFonts w:ascii="宋体" w:hAnsi="宋体" w:cs="宋体"/>
                <w:sz w:val="24"/>
                <w:highlight w:val="none"/>
              </w:rPr>
              <w:t>；</w:t>
            </w:r>
          </w:p>
          <w:p w14:paraId="07F92099">
            <w:pPr>
              <w:spacing w:line="400" w:lineRule="exact"/>
              <w:jc w:val="left"/>
              <w:rPr>
                <w:rFonts w:ascii="宋体" w:hAnsi="宋体" w:cs="宋体"/>
                <w:sz w:val="24"/>
                <w:highlight w:val="none"/>
              </w:rPr>
            </w:pPr>
            <w:r>
              <w:rPr>
                <w:rFonts w:ascii="宋体" w:hAnsi="宋体" w:cs="宋体"/>
                <w:sz w:val="24"/>
                <w:highlight w:val="none"/>
              </w:rPr>
              <w:t>3、方案内容存在不符合项目需求的，或方案中缺少上述应包括内容任意一项内容的，</w:t>
            </w:r>
            <w:r>
              <w:rPr>
                <w:rFonts w:hint="eastAsia" w:ascii="宋体" w:hAnsi="宋体" w:cs="宋体"/>
                <w:sz w:val="24"/>
                <w:highlight w:val="none"/>
              </w:rPr>
              <w:t>得0（不含0）-2分</w:t>
            </w:r>
            <w:r>
              <w:rPr>
                <w:rFonts w:ascii="宋体" w:hAnsi="宋体" w:cs="宋体"/>
                <w:sz w:val="24"/>
                <w:highlight w:val="none"/>
              </w:rPr>
              <w:t>；</w:t>
            </w:r>
          </w:p>
          <w:p w14:paraId="744D3B1D">
            <w:pPr>
              <w:spacing w:line="400" w:lineRule="exact"/>
              <w:jc w:val="left"/>
              <w:rPr>
                <w:rFonts w:ascii="宋体" w:hAnsi="宋体" w:cs="宋体"/>
                <w:sz w:val="24"/>
                <w:highlight w:val="none"/>
              </w:rPr>
            </w:pPr>
            <w:r>
              <w:rPr>
                <w:rFonts w:ascii="宋体" w:hAnsi="宋体" w:cs="宋体"/>
                <w:sz w:val="24"/>
                <w:highlight w:val="none"/>
              </w:rPr>
              <w:t>注：缺陷是指方案内容与项目需求不完全一致、存在相互矛盾内容以及未针对本项目编写的任意一种情形。不符合项目需求是指存在与本项目执行无关的内容、存在相关内容在实际</w:t>
            </w:r>
          </w:p>
        </w:tc>
      </w:tr>
      <w:tr w14:paraId="32E0D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289"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31A97155">
            <w:pPr>
              <w:spacing w:line="400" w:lineRule="exact"/>
              <w:jc w:val="left"/>
              <w:rPr>
                <w:rFonts w:ascii="宋体" w:hAnsi="宋体" w:cs="宋体"/>
                <w:sz w:val="24"/>
                <w:highlight w:val="none"/>
              </w:rPr>
            </w:pPr>
            <w:r>
              <w:rPr>
                <w:rFonts w:hint="eastAsia" w:ascii="宋体" w:hAnsi="宋体" w:cs="宋体"/>
                <w:sz w:val="24"/>
                <w:highlight w:val="none"/>
              </w:rPr>
              <w:t>1.07</w:t>
            </w:r>
          </w:p>
        </w:tc>
        <w:tc>
          <w:tcPr>
            <w:tcW w:w="1105" w:type="dxa"/>
            <w:tcBorders>
              <w:top w:val="single" w:color="000000" w:sz="4" w:space="0"/>
              <w:left w:val="single" w:color="000000" w:sz="4" w:space="0"/>
              <w:bottom w:val="single" w:color="000000" w:sz="4" w:space="0"/>
              <w:right w:val="single" w:color="000000" w:sz="4" w:space="0"/>
            </w:tcBorders>
            <w:vAlign w:val="center"/>
          </w:tcPr>
          <w:p w14:paraId="1939BB80">
            <w:pPr>
              <w:spacing w:line="400" w:lineRule="exact"/>
              <w:jc w:val="center"/>
              <w:rPr>
                <w:rFonts w:ascii="宋体" w:hAnsi="宋体" w:cs="宋体"/>
                <w:sz w:val="24"/>
                <w:highlight w:val="none"/>
              </w:rPr>
            </w:pPr>
            <w:r>
              <w:rPr>
                <w:rFonts w:hint="eastAsia" w:ascii="宋体" w:hAnsi="宋体" w:cs="宋体"/>
                <w:sz w:val="24"/>
                <w:highlight w:val="none"/>
              </w:rPr>
              <w:t>质量控制保证措施</w:t>
            </w:r>
          </w:p>
        </w:tc>
        <w:tc>
          <w:tcPr>
            <w:tcW w:w="860" w:type="dxa"/>
            <w:tcBorders>
              <w:top w:val="single" w:color="000000" w:sz="4" w:space="0"/>
              <w:left w:val="single" w:color="000000" w:sz="4" w:space="0"/>
              <w:bottom w:val="single" w:color="000000" w:sz="4" w:space="0"/>
              <w:right w:val="single" w:color="000000" w:sz="4" w:space="0"/>
            </w:tcBorders>
            <w:vAlign w:val="center"/>
          </w:tcPr>
          <w:p w14:paraId="5B922CA9">
            <w:pPr>
              <w:spacing w:line="400" w:lineRule="exact"/>
              <w:jc w:val="center"/>
              <w:rPr>
                <w:rFonts w:ascii="宋体" w:hAnsi="宋体" w:cs="宋体"/>
                <w:sz w:val="24"/>
                <w:highlight w:val="none"/>
              </w:rPr>
            </w:pPr>
            <w:r>
              <w:rPr>
                <w:rFonts w:hint="eastAsia" w:ascii="宋体" w:hAnsi="宋体" w:cs="宋体"/>
                <w:sz w:val="24"/>
                <w:highlight w:val="none"/>
              </w:rPr>
              <w:t>6</w:t>
            </w:r>
          </w:p>
        </w:tc>
        <w:tc>
          <w:tcPr>
            <w:tcW w:w="5665" w:type="dxa"/>
            <w:tcBorders>
              <w:top w:val="single" w:color="000000" w:sz="4" w:space="0"/>
              <w:left w:val="single" w:color="000000" w:sz="4" w:space="0"/>
              <w:bottom w:val="single" w:color="000000" w:sz="4" w:space="0"/>
              <w:right w:val="single" w:color="000000" w:sz="4" w:space="0"/>
            </w:tcBorders>
            <w:vAlign w:val="center"/>
          </w:tcPr>
          <w:p w14:paraId="34161BE7">
            <w:pPr>
              <w:spacing w:line="360" w:lineRule="auto"/>
              <w:rPr>
                <w:rFonts w:ascii="宋体" w:hAnsi="宋体" w:cs="宋体"/>
                <w:sz w:val="24"/>
                <w:highlight w:val="none"/>
              </w:rPr>
            </w:pPr>
            <w:r>
              <w:rPr>
                <w:rFonts w:hint="eastAsia" w:ascii="宋体" w:hAnsi="宋体" w:cs="宋体"/>
                <w:sz w:val="24"/>
                <w:highlight w:val="none"/>
              </w:rPr>
              <w:t>1、服务质量保证体系健全，工作程序清晰，安排科学，保证措施有力，有具体的质量违约责任承诺的得4（不含4）-6分；</w:t>
            </w:r>
          </w:p>
          <w:p w14:paraId="60B98E89">
            <w:pPr>
              <w:spacing w:line="360" w:lineRule="auto"/>
              <w:rPr>
                <w:rFonts w:ascii="宋体" w:hAnsi="宋体" w:cs="宋体"/>
                <w:sz w:val="24"/>
                <w:highlight w:val="none"/>
              </w:rPr>
            </w:pPr>
            <w:r>
              <w:rPr>
                <w:rFonts w:hint="eastAsia" w:ascii="宋体" w:hAnsi="宋体" w:cs="宋体"/>
                <w:sz w:val="24"/>
                <w:highlight w:val="none"/>
              </w:rPr>
              <w:t>2、服务质量保证体系健全，工作程序清晰，安排基本合理，保证措施较合理，有质量违约责任承诺的得2（不含2）-4分；</w:t>
            </w:r>
          </w:p>
          <w:p w14:paraId="2EE12693">
            <w:pPr>
              <w:spacing w:line="360" w:lineRule="auto"/>
              <w:rPr>
                <w:rFonts w:ascii="宋体" w:hAnsi="宋体" w:cs="宋体"/>
                <w:sz w:val="24"/>
                <w:highlight w:val="none"/>
              </w:rPr>
            </w:pPr>
            <w:r>
              <w:rPr>
                <w:rFonts w:hint="eastAsia" w:ascii="宋体" w:hAnsi="宋体" w:cs="宋体"/>
                <w:sz w:val="24"/>
                <w:highlight w:val="none"/>
              </w:rPr>
              <w:t>3、服务质量保证体系欠缺，工作程序清晰，安排基本合理，保证措施基本合理的得0（不含0）-2分。</w:t>
            </w:r>
          </w:p>
          <w:p w14:paraId="613063C7">
            <w:pPr>
              <w:spacing w:line="360" w:lineRule="auto"/>
              <w:rPr>
                <w:rFonts w:ascii="宋体" w:hAnsi="宋体" w:cs="宋体"/>
                <w:sz w:val="24"/>
                <w:highlight w:val="none"/>
              </w:rPr>
            </w:pPr>
            <w:r>
              <w:rPr>
                <w:rFonts w:hint="eastAsia" w:ascii="宋体" w:hAnsi="宋体" w:cs="宋体"/>
                <w:sz w:val="24"/>
                <w:highlight w:val="none"/>
              </w:rPr>
              <w:t>4、不提供得0分。</w:t>
            </w:r>
          </w:p>
        </w:tc>
      </w:tr>
      <w:tr w14:paraId="22B7F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694"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5DE22410">
            <w:pPr>
              <w:spacing w:line="400" w:lineRule="exact"/>
              <w:jc w:val="left"/>
              <w:rPr>
                <w:rFonts w:ascii="宋体" w:hAnsi="宋体" w:cs="宋体"/>
                <w:sz w:val="24"/>
                <w:highlight w:val="none"/>
              </w:rPr>
            </w:pPr>
            <w:r>
              <w:rPr>
                <w:rFonts w:hint="eastAsia" w:ascii="宋体" w:hAnsi="宋体" w:cs="宋体"/>
                <w:sz w:val="24"/>
                <w:highlight w:val="none"/>
              </w:rPr>
              <w:t>1.08</w:t>
            </w:r>
          </w:p>
        </w:tc>
        <w:tc>
          <w:tcPr>
            <w:tcW w:w="1105" w:type="dxa"/>
            <w:tcBorders>
              <w:top w:val="single" w:color="000000" w:sz="4" w:space="0"/>
              <w:left w:val="single" w:color="000000" w:sz="4" w:space="0"/>
              <w:bottom w:val="single" w:color="000000" w:sz="4" w:space="0"/>
              <w:right w:val="single" w:color="000000" w:sz="4" w:space="0"/>
            </w:tcBorders>
            <w:vAlign w:val="center"/>
          </w:tcPr>
          <w:p w14:paraId="16D9F1F9">
            <w:pPr>
              <w:spacing w:line="400" w:lineRule="exact"/>
              <w:jc w:val="center"/>
              <w:rPr>
                <w:rFonts w:ascii="宋体" w:hAnsi="宋体" w:cs="宋体"/>
                <w:sz w:val="24"/>
                <w:highlight w:val="none"/>
              </w:rPr>
            </w:pPr>
            <w:r>
              <w:rPr>
                <w:rFonts w:hint="eastAsia" w:ascii="宋体" w:hAnsi="宋体" w:cs="宋体"/>
                <w:sz w:val="24"/>
                <w:highlight w:val="none"/>
              </w:rPr>
              <w:t>实施进度计划及保障措施</w:t>
            </w:r>
          </w:p>
        </w:tc>
        <w:tc>
          <w:tcPr>
            <w:tcW w:w="860" w:type="dxa"/>
            <w:tcBorders>
              <w:top w:val="single" w:color="000000" w:sz="4" w:space="0"/>
              <w:left w:val="single" w:color="000000" w:sz="4" w:space="0"/>
              <w:bottom w:val="single" w:color="000000" w:sz="4" w:space="0"/>
              <w:right w:val="single" w:color="000000" w:sz="4" w:space="0"/>
            </w:tcBorders>
            <w:vAlign w:val="center"/>
          </w:tcPr>
          <w:p w14:paraId="21AEA3AE">
            <w:pPr>
              <w:spacing w:line="400" w:lineRule="exact"/>
              <w:jc w:val="center"/>
              <w:rPr>
                <w:rFonts w:ascii="宋体" w:hAnsi="宋体" w:cs="宋体"/>
                <w:sz w:val="24"/>
                <w:highlight w:val="none"/>
              </w:rPr>
            </w:pPr>
            <w:r>
              <w:rPr>
                <w:rFonts w:hint="eastAsia" w:ascii="宋体" w:hAnsi="宋体" w:cs="宋体"/>
                <w:sz w:val="24"/>
                <w:highlight w:val="none"/>
              </w:rPr>
              <w:t>6</w:t>
            </w:r>
          </w:p>
        </w:tc>
        <w:tc>
          <w:tcPr>
            <w:tcW w:w="5665" w:type="dxa"/>
            <w:tcBorders>
              <w:top w:val="single" w:color="000000" w:sz="4" w:space="0"/>
              <w:left w:val="single" w:color="000000" w:sz="4" w:space="0"/>
              <w:bottom w:val="single" w:color="000000" w:sz="4" w:space="0"/>
              <w:right w:val="single" w:color="000000" w:sz="4" w:space="0"/>
            </w:tcBorders>
            <w:vAlign w:val="center"/>
          </w:tcPr>
          <w:p w14:paraId="05DD8D03">
            <w:pPr>
              <w:spacing w:line="360" w:lineRule="auto"/>
              <w:rPr>
                <w:rFonts w:ascii="宋体" w:hAnsi="宋体" w:cs="宋体"/>
                <w:sz w:val="24"/>
                <w:highlight w:val="none"/>
              </w:rPr>
            </w:pPr>
            <w:r>
              <w:rPr>
                <w:rFonts w:hint="eastAsia" w:ascii="宋体" w:hAnsi="宋体" w:cs="宋体"/>
                <w:sz w:val="24"/>
                <w:highlight w:val="none"/>
              </w:rPr>
              <w:t>1、实施进度计划明确，保障措施有力、科学合理、可行性强，对不同阶段的工作有周密、细致的计划及控制措施，得4（不含4）-6分；</w:t>
            </w:r>
          </w:p>
          <w:p w14:paraId="1409E5A2">
            <w:pPr>
              <w:spacing w:line="360" w:lineRule="auto"/>
              <w:rPr>
                <w:rFonts w:ascii="宋体" w:hAnsi="宋体" w:cs="宋体"/>
                <w:sz w:val="24"/>
                <w:highlight w:val="none"/>
              </w:rPr>
            </w:pPr>
            <w:r>
              <w:rPr>
                <w:rFonts w:hint="eastAsia" w:ascii="宋体" w:hAnsi="宋体" w:cs="宋体"/>
                <w:sz w:val="24"/>
                <w:highlight w:val="none"/>
              </w:rPr>
              <w:t>2、实施进度计划较为明确，保障措施较为完善、具有科学性和可行性，工作有比较周密、细致的计划控制措施，得2（不含2）-4分；</w:t>
            </w:r>
          </w:p>
          <w:p w14:paraId="300490C5">
            <w:pPr>
              <w:spacing w:line="360" w:lineRule="auto"/>
              <w:rPr>
                <w:rFonts w:ascii="宋体" w:hAnsi="宋体" w:cs="宋体"/>
                <w:sz w:val="24"/>
                <w:highlight w:val="none"/>
              </w:rPr>
            </w:pPr>
            <w:r>
              <w:rPr>
                <w:rFonts w:hint="eastAsia" w:ascii="宋体" w:hAnsi="宋体" w:cs="宋体"/>
                <w:sz w:val="24"/>
                <w:highlight w:val="none"/>
              </w:rPr>
              <w:t>3、实施进度计划模糊，保障措施欠缺、科学性、可行性较差，工作组织没有周密、细致的计划及控制措施，得0（不含0）-2分；</w:t>
            </w:r>
          </w:p>
          <w:p w14:paraId="480A98A0">
            <w:pPr>
              <w:spacing w:line="360" w:lineRule="auto"/>
              <w:rPr>
                <w:rFonts w:ascii="宋体" w:hAnsi="宋体" w:cs="宋体"/>
                <w:sz w:val="24"/>
                <w:highlight w:val="none"/>
              </w:rPr>
            </w:pPr>
            <w:r>
              <w:rPr>
                <w:rFonts w:hint="eastAsia" w:ascii="宋体" w:hAnsi="宋体" w:cs="宋体"/>
                <w:sz w:val="24"/>
                <w:highlight w:val="none"/>
              </w:rPr>
              <w:t>4、不提供得0分。</w:t>
            </w:r>
          </w:p>
        </w:tc>
      </w:tr>
      <w:tr w14:paraId="1E09D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289"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494C059F">
            <w:pPr>
              <w:spacing w:line="400" w:lineRule="exact"/>
              <w:jc w:val="left"/>
              <w:rPr>
                <w:rFonts w:ascii="宋体" w:hAnsi="宋体" w:cs="宋体"/>
                <w:sz w:val="24"/>
                <w:highlight w:val="none"/>
              </w:rPr>
            </w:pPr>
            <w:r>
              <w:rPr>
                <w:rFonts w:hint="eastAsia" w:ascii="宋体" w:hAnsi="宋体" w:cs="宋体"/>
                <w:sz w:val="24"/>
                <w:highlight w:val="none"/>
              </w:rPr>
              <w:t>1.09</w:t>
            </w:r>
          </w:p>
        </w:tc>
        <w:tc>
          <w:tcPr>
            <w:tcW w:w="1105" w:type="dxa"/>
            <w:tcBorders>
              <w:top w:val="single" w:color="000000" w:sz="4" w:space="0"/>
              <w:left w:val="single" w:color="000000" w:sz="4" w:space="0"/>
              <w:bottom w:val="single" w:color="000000" w:sz="4" w:space="0"/>
              <w:right w:val="single" w:color="000000" w:sz="4" w:space="0"/>
            </w:tcBorders>
            <w:vAlign w:val="center"/>
          </w:tcPr>
          <w:p w14:paraId="6FEFCA13">
            <w:pPr>
              <w:spacing w:line="400" w:lineRule="exact"/>
              <w:jc w:val="center"/>
              <w:rPr>
                <w:rFonts w:ascii="宋体" w:hAnsi="宋体" w:cs="宋体"/>
                <w:sz w:val="24"/>
                <w:highlight w:val="none"/>
              </w:rPr>
            </w:pPr>
            <w:r>
              <w:rPr>
                <w:rFonts w:hint="eastAsia" w:ascii="宋体" w:hAnsi="宋体" w:cs="宋体"/>
                <w:sz w:val="24"/>
                <w:highlight w:val="none"/>
              </w:rPr>
              <w:t>项目重点难点的理解及突发情况的预见和解决方案</w:t>
            </w:r>
          </w:p>
        </w:tc>
        <w:tc>
          <w:tcPr>
            <w:tcW w:w="860" w:type="dxa"/>
            <w:tcBorders>
              <w:top w:val="single" w:color="000000" w:sz="4" w:space="0"/>
              <w:left w:val="single" w:color="000000" w:sz="4" w:space="0"/>
              <w:bottom w:val="single" w:color="000000" w:sz="4" w:space="0"/>
              <w:right w:val="single" w:color="000000" w:sz="4" w:space="0"/>
            </w:tcBorders>
            <w:vAlign w:val="center"/>
          </w:tcPr>
          <w:p w14:paraId="337657D7">
            <w:pPr>
              <w:spacing w:line="400" w:lineRule="exact"/>
              <w:jc w:val="center"/>
              <w:rPr>
                <w:rFonts w:ascii="宋体" w:hAnsi="宋体" w:cs="宋体"/>
                <w:sz w:val="24"/>
                <w:highlight w:val="none"/>
              </w:rPr>
            </w:pPr>
            <w:r>
              <w:rPr>
                <w:rFonts w:hint="eastAsia" w:ascii="宋体" w:hAnsi="宋体" w:cs="宋体"/>
                <w:sz w:val="24"/>
                <w:highlight w:val="none"/>
              </w:rPr>
              <w:t>6</w:t>
            </w:r>
          </w:p>
        </w:tc>
        <w:tc>
          <w:tcPr>
            <w:tcW w:w="5665" w:type="dxa"/>
            <w:tcBorders>
              <w:top w:val="single" w:color="000000" w:sz="4" w:space="0"/>
              <w:left w:val="single" w:color="000000" w:sz="4" w:space="0"/>
              <w:bottom w:val="single" w:color="000000" w:sz="4" w:space="0"/>
              <w:right w:val="single" w:color="000000" w:sz="4" w:space="0"/>
            </w:tcBorders>
            <w:vAlign w:val="center"/>
          </w:tcPr>
          <w:p w14:paraId="1A609983">
            <w:pPr>
              <w:spacing w:line="360" w:lineRule="auto"/>
              <w:rPr>
                <w:rFonts w:ascii="宋体" w:hAnsi="宋体" w:cs="宋体"/>
                <w:sz w:val="24"/>
                <w:highlight w:val="none"/>
              </w:rPr>
            </w:pPr>
            <w:r>
              <w:rPr>
                <w:rFonts w:hint="eastAsia" w:ascii="宋体" w:hAnsi="宋体" w:cs="宋体"/>
                <w:sz w:val="24"/>
                <w:highlight w:val="none"/>
              </w:rPr>
              <w:t>1、对重点难点理解透彻、对突发情况的预见全面且解决方案的可行性强得4（不含4）-6分；</w:t>
            </w:r>
          </w:p>
          <w:p w14:paraId="36FEE4F1">
            <w:pPr>
              <w:spacing w:line="360" w:lineRule="auto"/>
              <w:rPr>
                <w:rFonts w:ascii="宋体" w:hAnsi="宋体" w:cs="宋体"/>
                <w:sz w:val="24"/>
                <w:highlight w:val="none"/>
              </w:rPr>
            </w:pPr>
            <w:r>
              <w:rPr>
                <w:rFonts w:hint="eastAsia" w:ascii="宋体" w:hAnsi="宋体" w:cs="宋体"/>
                <w:sz w:val="24"/>
                <w:highlight w:val="none"/>
              </w:rPr>
              <w:t>2、对重点难点稍有理解、对突发情况的预见较为全面且解决方案的较为可行性得2（不含2）-4分；</w:t>
            </w:r>
          </w:p>
          <w:p w14:paraId="7870DC1B">
            <w:pPr>
              <w:spacing w:line="360" w:lineRule="auto"/>
              <w:rPr>
                <w:rFonts w:ascii="宋体" w:hAnsi="宋体" w:cs="宋体"/>
                <w:sz w:val="24"/>
                <w:highlight w:val="none"/>
              </w:rPr>
            </w:pPr>
            <w:r>
              <w:rPr>
                <w:rFonts w:hint="eastAsia" w:ascii="宋体" w:hAnsi="宋体" w:cs="宋体"/>
                <w:sz w:val="24"/>
                <w:highlight w:val="none"/>
              </w:rPr>
              <w:t>3、对重点难点理解欠缺对突发情况的预见不全面且解决方案的可行性差得0（不含0）-2分。</w:t>
            </w:r>
          </w:p>
          <w:p w14:paraId="446012CC">
            <w:pPr>
              <w:spacing w:line="360" w:lineRule="auto"/>
              <w:rPr>
                <w:rFonts w:ascii="宋体" w:hAnsi="宋体" w:cs="宋体"/>
                <w:sz w:val="24"/>
                <w:highlight w:val="none"/>
              </w:rPr>
            </w:pPr>
            <w:r>
              <w:rPr>
                <w:rFonts w:hint="eastAsia" w:ascii="宋体" w:hAnsi="宋体" w:cs="宋体"/>
                <w:sz w:val="24"/>
                <w:highlight w:val="none"/>
              </w:rPr>
              <w:t>4、不提供得0分。</w:t>
            </w:r>
          </w:p>
        </w:tc>
      </w:tr>
      <w:tr w14:paraId="113B0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7" w:hRule="atLeast"/>
        </w:trPr>
        <w:tc>
          <w:tcPr>
            <w:tcW w:w="8538" w:type="dxa"/>
            <w:gridSpan w:val="4"/>
            <w:tcBorders>
              <w:top w:val="single" w:color="000000" w:sz="4" w:space="0"/>
              <w:left w:val="single" w:color="000000" w:sz="4" w:space="0"/>
              <w:bottom w:val="single" w:color="000000" w:sz="4" w:space="0"/>
              <w:right w:val="single" w:color="000000" w:sz="4" w:space="0"/>
            </w:tcBorders>
            <w:vAlign w:val="center"/>
          </w:tcPr>
          <w:p w14:paraId="49525D0F">
            <w:pPr>
              <w:spacing w:line="400" w:lineRule="exact"/>
              <w:jc w:val="center"/>
              <w:rPr>
                <w:rFonts w:ascii="宋体" w:hAnsi="宋体" w:cs="宋体"/>
                <w:sz w:val="24"/>
                <w:highlight w:val="none"/>
              </w:rPr>
            </w:pPr>
            <w:r>
              <w:rPr>
                <w:rFonts w:hint="eastAsia" w:cs="宋体"/>
                <w:b/>
                <w:bCs/>
                <w:sz w:val="24"/>
                <w:szCs w:val="24"/>
                <w:highlight w:val="none"/>
              </w:rPr>
              <w:t>商务部分（22分）</w:t>
            </w:r>
          </w:p>
        </w:tc>
      </w:tr>
      <w:tr w14:paraId="22E48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694"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6F4C91BE">
            <w:pPr>
              <w:spacing w:line="400" w:lineRule="exact"/>
              <w:jc w:val="left"/>
              <w:rPr>
                <w:rFonts w:ascii="宋体" w:hAnsi="宋体" w:cs="宋体"/>
                <w:sz w:val="24"/>
                <w:highlight w:val="none"/>
              </w:rPr>
            </w:pPr>
            <w:r>
              <w:rPr>
                <w:rFonts w:hint="eastAsia" w:ascii="宋体" w:hAnsi="宋体" w:cs="宋体"/>
                <w:sz w:val="24"/>
                <w:highlight w:val="none"/>
              </w:rPr>
              <w:t>1.10</w:t>
            </w:r>
          </w:p>
        </w:tc>
        <w:tc>
          <w:tcPr>
            <w:tcW w:w="1105" w:type="dxa"/>
            <w:tcBorders>
              <w:top w:val="single" w:color="000000" w:sz="4" w:space="0"/>
              <w:left w:val="single" w:color="000000" w:sz="4" w:space="0"/>
              <w:bottom w:val="single" w:color="000000" w:sz="4" w:space="0"/>
              <w:right w:val="single" w:color="000000" w:sz="4" w:space="0"/>
            </w:tcBorders>
            <w:vAlign w:val="center"/>
          </w:tcPr>
          <w:p w14:paraId="5CF21AF8">
            <w:pPr>
              <w:spacing w:line="400" w:lineRule="exact"/>
              <w:jc w:val="center"/>
              <w:rPr>
                <w:rFonts w:ascii="宋体" w:hAnsi="宋体" w:cs="宋体"/>
                <w:sz w:val="24"/>
                <w:highlight w:val="none"/>
              </w:rPr>
            </w:pPr>
            <w:r>
              <w:rPr>
                <w:rFonts w:hint="eastAsia" w:ascii="宋体" w:hAnsi="宋体" w:cs="宋体"/>
                <w:sz w:val="24"/>
                <w:highlight w:val="none"/>
              </w:rPr>
              <w:t>人员配备</w:t>
            </w:r>
          </w:p>
        </w:tc>
        <w:tc>
          <w:tcPr>
            <w:tcW w:w="860" w:type="dxa"/>
            <w:tcBorders>
              <w:top w:val="single" w:color="000000" w:sz="4" w:space="0"/>
              <w:left w:val="single" w:color="000000" w:sz="4" w:space="0"/>
              <w:bottom w:val="single" w:color="000000" w:sz="4" w:space="0"/>
              <w:right w:val="single" w:color="000000" w:sz="4" w:space="0"/>
            </w:tcBorders>
            <w:vAlign w:val="center"/>
          </w:tcPr>
          <w:p w14:paraId="357F3899">
            <w:pPr>
              <w:spacing w:line="400" w:lineRule="exact"/>
              <w:jc w:val="center"/>
              <w:rPr>
                <w:rFonts w:ascii="宋体" w:hAnsi="宋体" w:cs="宋体"/>
                <w:sz w:val="24"/>
                <w:highlight w:val="none"/>
              </w:rPr>
            </w:pPr>
            <w:r>
              <w:rPr>
                <w:rFonts w:hint="eastAsia" w:ascii="宋体" w:hAnsi="宋体" w:cs="宋体"/>
                <w:sz w:val="24"/>
                <w:highlight w:val="none"/>
              </w:rPr>
              <w:t>5</w:t>
            </w:r>
          </w:p>
        </w:tc>
        <w:tc>
          <w:tcPr>
            <w:tcW w:w="5665" w:type="dxa"/>
            <w:tcBorders>
              <w:top w:val="single" w:color="000000" w:sz="4" w:space="0"/>
              <w:left w:val="single" w:color="000000" w:sz="4" w:space="0"/>
              <w:bottom w:val="single" w:color="000000" w:sz="4" w:space="0"/>
              <w:right w:val="single" w:color="000000" w:sz="4" w:space="0"/>
            </w:tcBorders>
            <w:vAlign w:val="center"/>
          </w:tcPr>
          <w:p w14:paraId="4C3FB249">
            <w:pPr>
              <w:spacing w:line="360" w:lineRule="auto"/>
              <w:rPr>
                <w:rFonts w:ascii="宋体" w:hAnsi="宋体" w:cs="宋体"/>
                <w:sz w:val="24"/>
                <w:highlight w:val="none"/>
              </w:rPr>
            </w:pPr>
            <w:r>
              <w:rPr>
                <w:rFonts w:hint="eastAsia" w:ascii="宋体" w:hAnsi="宋体" w:cs="宋体"/>
                <w:sz w:val="24"/>
                <w:highlight w:val="none"/>
              </w:rPr>
              <w:t>拟投入</w:t>
            </w:r>
            <w:r>
              <w:rPr>
                <w:rFonts w:ascii="宋体" w:hAnsi="宋体" w:cs="宋体"/>
                <w:sz w:val="24"/>
                <w:highlight w:val="none"/>
              </w:rPr>
              <w:t>项目组成员中（除负责人外）具有与本项目</w:t>
            </w:r>
            <w:r>
              <w:rPr>
                <w:rFonts w:hint="eastAsia" w:ascii="宋体" w:hAnsi="宋体" w:cs="宋体"/>
                <w:sz w:val="24"/>
                <w:highlight w:val="none"/>
              </w:rPr>
              <w:t>相关</w:t>
            </w:r>
            <w:r>
              <w:rPr>
                <w:rFonts w:hint="eastAsia" w:ascii="宋体" w:hAnsi="宋体" w:cs="宋体"/>
                <w:kern w:val="0"/>
                <w:sz w:val="24"/>
                <w:szCs w:val="21"/>
                <w:highlight w:val="none"/>
              </w:rPr>
              <w:t>物理海洋、海洋生物、海洋化学、海洋技术、海洋生态专业高级职称</w:t>
            </w:r>
            <w:r>
              <w:rPr>
                <w:rFonts w:ascii="宋体" w:hAnsi="宋体" w:cs="宋体"/>
                <w:sz w:val="24"/>
                <w:highlight w:val="none"/>
              </w:rPr>
              <w:t>，每有1人得</w:t>
            </w:r>
            <w:r>
              <w:rPr>
                <w:rFonts w:hint="eastAsia" w:ascii="宋体" w:hAnsi="宋体" w:cs="宋体"/>
                <w:sz w:val="24"/>
                <w:highlight w:val="none"/>
              </w:rPr>
              <w:t>0.5</w:t>
            </w:r>
            <w:r>
              <w:rPr>
                <w:rFonts w:ascii="宋体" w:hAnsi="宋体" w:cs="宋体"/>
                <w:sz w:val="24"/>
                <w:highlight w:val="none"/>
              </w:rPr>
              <w:t>分</w:t>
            </w:r>
            <w:r>
              <w:rPr>
                <w:rFonts w:hint="eastAsia" w:ascii="宋体" w:hAnsi="宋体" w:cs="宋体"/>
                <w:sz w:val="24"/>
                <w:highlight w:val="none"/>
              </w:rPr>
              <w:t>；</w:t>
            </w:r>
            <w:r>
              <w:rPr>
                <w:rFonts w:ascii="宋体" w:hAnsi="宋体" w:cs="宋体"/>
                <w:sz w:val="24"/>
                <w:highlight w:val="none"/>
              </w:rPr>
              <w:t>具有与本项目</w:t>
            </w:r>
            <w:r>
              <w:rPr>
                <w:rFonts w:hint="eastAsia" w:ascii="宋体" w:hAnsi="宋体" w:cs="宋体"/>
                <w:sz w:val="24"/>
                <w:highlight w:val="none"/>
              </w:rPr>
              <w:t>相关</w:t>
            </w:r>
            <w:r>
              <w:rPr>
                <w:rFonts w:hint="eastAsia" w:ascii="宋体" w:hAnsi="宋体" w:cs="宋体"/>
                <w:kern w:val="0"/>
                <w:sz w:val="24"/>
                <w:szCs w:val="21"/>
                <w:highlight w:val="none"/>
              </w:rPr>
              <w:t>物理海洋、海洋生物、海洋化学、海洋技术、海洋生态专业中级</w:t>
            </w:r>
            <w:r>
              <w:rPr>
                <w:rFonts w:ascii="宋体" w:hAnsi="宋体" w:cs="宋体"/>
                <w:sz w:val="24"/>
                <w:highlight w:val="none"/>
              </w:rPr>
              <w:t>职称的，每有1人得</w:t>
            </w:r>
            <w:r>
              <w:rPr>
                <w:rFonts w:hint="eastAsia" w:ascii="宋体" w:hAnsi="宋体" w:cs="宋体"/>
                <w:sz w:val="24"/>
                <w:highlight w:val="none"/>
              </w:rPr>
              <w:t>0.2</w:t>
            </w:r>
            <w:r>
              <w:rPr>
                <w:rFonts w:ascii="宋体" w:hAnsi="宋体" w:cs="宋体"/>
                <w:sz w:val="24"/>
                <w:highlight w:val="none"/>
              </w:rPr>
              <w:t>分</w:t>
            </w:r>
            <w:r>
              <w:rPr>
                <w:rFonts w:hint="eastAsia" w:ascii="宋体" w:hAnsi="宋体" w:cs="宋体"/>
                <w:sz w:val="24"/>
                <w:highlight w:val="none"/>
              </w:rPr>
              <w:t>；</w:t>
            </w:r>
            <w:r>
              <w:rPr>
                <w:rFonts w:ascii="宋体" w:hAnsi="宋体" w:cs="宋体"/>
                <w:sz w:val="24"/>
                <w:highlight w:val="none"/>
              </w:rPr>
              <w:t>最高得</w:t>
            </w:r>
            <w:r>
              <w:rPr>
                <w:rFonts w:hint="eastAsia" w:ascii="宋体" w:hAnsi="宋体" w:cs="宋体"/>
                <w:sz w:val="24"/>
                <w:highlight w:val="none"/>
              </w:rPr>
              <w:t>5</w:t>
            </w:r>
            <w:r>
              <w:rPr>
                <w:rFonts w:ascii="宋体" w:hAnsi="宋体" w:cs="宋体"/>
                <w:sz w:val="24"/>
                <w:highlight w:val="none"/>
              </w:rPr>
              <w:t>分。</w:t>
            </w:r>
          </w:p>
          <w:p w14:paraId="6DB941E9">
            <w:pPr>
              <w:spacing w:line="360" w:lineRule="auto"/>
              <w:rPr>
                <w:rFonts w:ascii="宋体" w:hAnsi="宋体" w:cs="宋体"/>
                <w:sz w:val="24"/>
                <w:highlight w:val="none"/>
              </w:rPr>
            </w:pPr>
            <w:r>
              <w:rPr>
                <w:rFonts w:hint="eastAsia" w:ascii="宋体" w:hAnsi="宋体" w:cs="宋体"/>
                <w:sz w:val="24"/>
                <w:highlight w:val="none"/>
              </w:rPr>
              <w:t>注：</w:t>
            </w:r>
            <w:r>
              <w:rPr>
                <w:rFonts w:ascii="宋体" w:hAnsi="宋体" w:cs="宋体"/>
                <w:sz w:val="24"/>
                <w:highlight w:val="none"/>
              </w:rPr>
              <w:t>（1）</w:t>
            </w:r>
            <w:r>
              <w:rPr>
                <w:rFonts w:hint="eastAsia" w:ascii="宋体" w:hAnsi="宋体" w:cs="宋体"/>
                <w:sz w:val="24"/>
                <w:highlight w:val="none"/>
              </w:rPr>
              <w:t>需提供人员学历证明、</w:t>
            </w:r>
            <w:r>
              <w:rPr>
                <w:rFonts w:ascii="宋体" w:hAnsi="宋体" w:cs="宋体"/>
                <w:sz w:val="24"/>
                <w:highlight w:val="none"/>
              </w:rPr>
              <w:t>职称证书扫描件（或有评审单位的</w:t>
            </w:r>
            <w:r>
              <w:rPr>
                <w:rFonts w:hint="eastAsia" w:ascii="宋体" w:hAnsi="宋体" w:cs="宋体"/>
                <w:sz w:val="24"/>
                <w:highlight w:val="none"/>
              </w:rPr>
              <w:t>证明</w:t>
            </w:r>
            <w:r>
              <w:rPr>
                <w:rFonts w:ascii="宋体" w:hAnsi="宋体" w:cs="宋体"/>
                <w:sz w:val="24"/>
                <w:highlight w:val="none"/>
              </w:rPr>
              <w:t>文件</w:t>
            </w:r>
            <w:r>
              <w:rPr>
                <w:rFonts w:hint="eastAsia" w:ascii="宋体" w:hAnsi="宋体" w:cs="宋体"/>
                <w:sz w:val="24"/>
                <w:highlight w:val="none"/>
              </w:rPr>
              <w:t>与专业学位证书</w:t>
            </w:r>
            <w:r>
              <w:rPr>
                <w:rFonts w:ascii="宋体" w:hAnsi="宋体" w:cs="宋体"/>
                <w:sz w:val="24"/>
                <w:highlight w:val="none"/>
              </w:rPr>
              <w:t>）、</w:t>
            </w:r>
            <w:r>
              <w:rPr>
                <w:rFonts w:hint="eastAsia" w:ascii="宋体" w:hAnsi="宋体" w:cs="宋体"/>
                <w:sz w:val="24"/>
                <w:highlight w:val="none"/>
              </w:rPr>
              <w:t>劳动关系证明等材料。</w:t>
            </w:r>
            <w:r>
              <w:rPr>
                <w:rFonts w:hint="eastAsia" w:ascii="宋体" w:hAnsi="宋体" w:cs="宋体"/>
                <w:sz w:val="24"/>
                <w:highlight w:val="none"/>
                <w:lang w:val="zh-CN"/>
              </w:rPr>
              <w:t>提供证明材料</w:t>
            </w:r>
            <w:r>
              <w:rPr>
                <w:rFonts w:hint="eastAsia" w:ascii="宋体" w:hAnsi="宋体" w:cs="宋体"/>
                <w:sz w:val="24"/>
                <w:highlight w:val="none"/>
              </w:rPr>
              <w:t>复印件加盖公章，否则不得分。</w:t>
            </w:r>
          </w:p>
          <w:p w14:paraId="67142068">
            <w:pPr>
              <w:spacing w:line="360" w:lineRule="auto"/>
              <w:rPr>
                <w:rFonts w:ascii="宋体" w:hAnsi="宋体" w:cs="宋体"/>
                <w:sz w:val="24"/>
                <w:highlight w:val="none"/>
              </w:rPr>
            </w:pPr>
            <w:r>
              <w:rPr>
                <w:rFonts w:hint="eastAsia" w:ascii="宋体" w:hAnsi="宋体" w:cs="宋体"/>
                <w:sz w:val="24"/>
                <w:highlight w:val="none"/>
              </w:rPr>
              <w:t>（2）</w:t>
            </w:r>
            <w:r>
              <w:rPr>
                <w:rFonts w:hint="eastAsia" w:ascii="宋体" w:hAnsi="宋体" w:cs="宋体"/>
                <w:kern w:val="0"/>
                <w:sz w:val="24"/>
                <w:szCs w:val="21"/>
                <w:highlight w:val="none"/>
              </w:rPr>
              <w:t>高级职称</w:t>
            </w:r>
            <w:r>
              <w:rPr>
                <w:rFonts w:hint="eastAsia" w:ascii="宋体" w:hAnsi="宋体" w:cs="宋体"/>
                <w:sz w:val="24"/>
                <w:highlight w:val="none"/>
              </w:rPr>
              <w:t>包括高级工程师、副教授、副</w:t>
            </w:r>
            <w:r>
              <w:rPr>
                <w:rFonts w:ascii="宋体" w:hAnsi="宋体" w:cs="宋体"/>
                <w:sz w:val="24"/>
                <w:highlight w:val="none"/>
              </w:rPr>
              <w:t>研究</w:t>
            </w:r>
            <w:r>
              <w:rPr>
                <w:rFonts w:hint="eastAsia" w:ascii="宋体" w:hAnsi="宋体" w:cs="宋体"/>
                <w:sz w:val="24"/>
                <w:highlight w:val="none"/>
              </w:rPr>
              <w:t>员及以上人员。</w:t>
            </w:r>
          </w:p>
        </w:tc>
      </w:tr>
      <w:tr w14:paraId="54570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347" w:hRule="atLeast"/>
        </w:trPr>
        <w:tc>
          <w:tcPr>
            <w:tcW w:w="908" w:type="dxa"/>
            <w:vMerge w:val="restart"/>
            <w:tcBorders>
              <w:top w:val="single" w:color="000000" w:sz="4" w:space="0"/>
              <w:left w:val="single" w:color="000000" w:sz="4" w:space="0"/>
              <w:right w:val="single" w:color="000000" w:sz="4" w:space="0"/>
            </w:tcBorders>
            <w:vAlign w:val="center"/>
          </w:tcPr>
          <w:p w14:paraId="2039DA81">
            <w:pPr>
              <w:spacing w:line="400" w:lineRule="exact"/>
              <w:jc w:val="left"/>
              <w:rPr>
                <w:rFonts w:ascii="宋体" w:hAnsi="宋体" w:cs="宋体"/>
                <w:sz w:val="24"/>
                <w:highlight w:val="none"/>
              </w:rPr>
            </w:pPr>
            <w:r>
              <w:rPr>
                <w:rFonts w:hint="eastAsia" w:ascii="宋体" w:hAnsi="宋体" w:cs="宋体"/>
                <w:sz w:val="24"/>
                <w:highlight w:val="none"/>
              </w:rPr>
              <w:t>1.11</w:t>
            </w:r>
          </w:p>
          <w:p w14:paraId="5BCDAE6A">
            <w:pPr>
              <w:spacing w:line="400" w:lineRule="exact"/>
              <w:jc w:val="left"/>
              <w:rPr>
                <w:highlight w:val="none"/>
              </w:rPr>
            </w:pPr>
          </w:p>
          <w:p w14:paraId="3248E93D">
            <w:pPr>
              <w:pStyle w:val="2"/>
              <w:rPr>
                <w:highlight w:val="none"/>
              </w:rPr>
            </w:pPr>
          </w:p>
        </w:tc>
        <w:tc>
          <w:tcPr>
            <w:tcW w:w="1105" w:type="dxa"/>
            <w:vMerge w:val="restart"/>
            <w:tcBorders>
              <w:top w:val="single" w:color="000000" w:sz="4" w:space="0"/>
              <w:left w:val="single" w:color="000000" w:sz="4" w:space="0"/>
              <w:right w:val="single" w:color="000000" w:sz="4" w:space="0"/>
            </w:tcBorders>
            <w:vAlign w:val="center"/>
          </w:tcPr>
          <w:p w14:paraId="30FBFB40">
            <w:pPr>
              <w:spacing w:line="400" w:lineRule="exact"/>
              <w:jc w:val="left"/>
              <w:rPr>
                <w:rFonts w:ascii="宋体" w:hAnsi="宋体" w:cs="宋体"/>
                <w:sz w:val="24"/>
                <w:highlight w:val="none"/>
              </w:rPr>
            </w:pPr>
            <w:r>
              <w:rPr>
                <w:rFonts w:hint="eastAsia" w:ascii="宋体" w:hAnsi="宋体" w:cs="宋体"/>
                <w:sz w:val="24"/>
                <w:highlight w:val="none"/>
                <w:lang w:val="zh-CN"/>
              </w:rPr>
              <w:t>企业</w:t>
            </w:r>
            <w:r>
              <w:rPr>
                <w:rFonts w:hint="eastAsia" w:ascii="宋体" w:hAnsi="宋体" w:cs="宋体"/>
                <w:sz w:val="24"/>
                <w:highlight w:val="none"/>
              </w:rPr>
              <w:t>业绩（14分）</w:t>
            </w:r>
          </w:p>
        </w:tc>
        <w:tc>
          <w:tcPr>
            <w:tcW w:w="860" w:type="dxa"/>
            <w:tcBorders>
              <w:top w:val="single" w:color="000000" w:sz="4" w:space="0"/>
              <w:left w:val="single" w:color="000000" w:sz="4" w:space="0"/>
              <w:bottom w:val="single" w:color="000000" w:sz="4" w:space="0"/>
              <w:right w:val="single" w:color="000000" w:sz="4" w:space="0"/>
            </w:tcBorders>
            <w:vAlign w:val="center"/>
          </w:tcPr>
          <w:p w14:paraId="3B35C6A2">
            <w:pPr>
              <w:spacing w:line="400" w:lineRule="exact"/>
              <w:jc w:val="center"/>
              <w:rPr>
                <w:rFonts w:ascii="宋体" w:hAnsi="宋体" w:cs="宋体"/>
                <w:sz w:val="24"/>
                <w:highlight w:val="none"/>
              </w:rPr>
            </w:pPr>
            <w:r>
              <w:rPr>
                <w:rFonts w:hint="eastAsia" w:ascii="宋体" w:hAnsi="宋体" w:cs="宋体"/>
                <w:sz w:val="24"/>
                <w:highlight w:val="none"/>
              </w:rPr>
              <w:t>4</w:t>
            </w:r>
          </w:p>
        </w:tc>
        <w:tc>
          <w:tcPr>
            <w:tcW w:w="5665" w:type="dxa"/>
            <w:tcBorders>
              <w:top w:val="single" w:color="000000" w:sz="4" w:space="0"/>
              <w:left w:val="single" w:color="000000" w:sz="4" w:space="0"/>
              <w:bottom w:val="single" w:color="000000" w:sz="4" w:space="0"/>
              <w:right w:val="single" w:color="000000" w:sz="4" w:space="0"/>
            </w:tcBorders>
            <w:vAlign w:val="center"/>
          </w:tcPr>
          <w:p w14:paraId="586103CE">
            <w:pPr>
              <w:pStyle w:val="11"/>
              <w:spacing w:line="360" w:lineRule="auto"/>
              <w:rPr>
                <w:rFonts w:ascii="宋体" w:hAnsi="宋体"/>
                <w:sz w:val="24"/>
                <w:highlight w:val="none"/>
              </w:rPr>
            </w:pPr>
            <w:r>
              <w:rPr>
                <w:rFonts w:hint="eastAsia" w:ascii="宋体" w:hAnsi="宋体"/>
                <w:sz w:val="24"/>
                <w:highlight w:val="none"/>
              </w:rPr>
              <w:t>投标人自2022年1月1日至今，</w:t>
            </w:r>
            <w:r>
              <w:rPr>
                <w:rFonts w:hint="eastAsia" w:ascii="宋体" w:hAnsi="宋体" w:cs="宋体"/>
                <w:sz w:val="24"/>
                <w:highlight w:val="none"/>
              </w:rPr>
              <w:t>具有海洋仪器设备研发或集成类似项目相关业绩，每份得1分，满分4分。</w:t>
            </w:r>
          </w:p>
          <w:p w14:paraId="15150C7B">
            <w:pPr>
              <w:widowControl/>
              <w:spacing w:line="400" w:lineRule="exact"/>
              <w:jc w:val="left"/>
              <w:rPr>
                <w:rFonts w:ascii="宋体" w:hAnsi="宋体" w:cs="宋体"/>
                <w:sz w:val="24"/>
                <w:highlight w:val="none"/>
              </w:rPr>
            </w:pPr>
            <w:r>
              <w:rPr>
                <w:rFonts w:hint="eastAsia" w:ascii="宋体" w:hAnsi="宋体" w:cs="宋体"/>
                <w:sz w:val="24"/>
                <w:highlight w:val="none"/>
              </w:rPr>
              <w:t>注：须提供项目合同原件的电子扫描件并加盖公章，承揽时间以合同签署时间为准。</w:t>
            </w:r>
          </w:p>
        </w:tc>
      </w:tr>
      <w:tr w14:paraId="10E42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749" w:hRule="atLeast"/>
        </w:trPr>
        <w:tc>
          <w:tcPr>
            <w:tcW w:w="908" w:type="dxa"/>
            <w:vMerge w:val="continue"/>
            <w:tcBorders>
              <w:left w:val="single" w:color="000000" w:sz="4" w:space="0"/>
              <w:right w:val="single" w:color="000000" w:sz="4" w:space="0"/>
            </w:tcBorders>
            <w:vAlign w:val="center"/>
          </w:tcPr>
          <w:p w14:paraId="65C3214B">
            <w:pPr>
              <w:spacing w:line="400" w:lineRule="exact"/>
              <w:jc w:val="left"/>
              <w:rPr>
                <w:rFonts w:ascii="宋体" w:hAnsi="宋体" w:cs="宋体"/>
                <w:sz w:val="24"/>
                <w:highlight w:val="none"/>
              </w:rPr>
            </w:pPr>
          </w:p>
        </w:tc>
        <w:tc>
          <w:tcPr>
            <w:tcW w:w="1105" w:type="dxa"/>
            <w:vMerge w:val="continue"/>
            <w:tcBorders>
              <w:left w:val="single" w:color="000000" w:sz="4" w:space="0"/>
              <w:right w:val="single" w:color="000000" w:sz="4" w:space="0"/>
            </w:tcBorders>
            <w:vAlign w:val="center"/>
          </w:tcPr>
          <w:p w14:paraId="5CAF7C61">
            <w:pPr>
              <w:spacing w:line="400" w:lineRule="exact"/>
              <w:jc w:val="left"/>
              <w:rPr>
                <w:rFonts w:ascii="宋体" w:hAnsi="宋体" w:cs="宋体"/>
                <w:sz w:val="24"/>
                <w:highlight w:val="none"/>
              </w:rPr>
            </w:pPr>
          </w:p>
        </w:tc>
        <w:tc>
          <w:tcPr>
            <w:tcW w:w="860" w:type="dxa"/>
            <w:tcBorders>
              <w:top w:val="single" w:color="000000" w:sz="4" w:space="0"/>
              <w:left w:val="single" w:color="000000" w:sz="4" w:space="0"/>
              <w:bottom w:val="single" w:color="000000" w:sz="4" w:space="0"/>
              <w:right w:val="single" w:color="000000" w:sz="4" w:space="0"/>
            </w:tcBorders>
            <w:vAlign w:val="center"/>
          </w:tcPr>
          <w:p w14:paraId="36AEC604">
            <w:pPr>
              <w:spacing w:line="400" w:lineRule="exact"/>
              <w:jc w:val="center"/>
              <w:rPr>
                <w:rFonts w:ascii="宋体" w:hAnsi="宋体" w:cs="宋体"/>
                <w:sz w:val="24"/>
                <w:highlight w:val="none"/>
              </w:rPr>
            </w:pPr>
            <w:r>
              <w:rPr>
                <w:rFonts w:hint="eastAsia" w:ascii="宋体" w:hAnsi="宋体" w:cs="宋体"/>
                <w:sz w:val="24"/>
                <w:highlight w:val="none"/>
              </w:rPr>
              <w:t>4</w:t>
            </w:r>
          </w:p>
        </w:tc>
        <w:tc>
          <w:tcPr>
            <w:tcW w:w="5665" w:type="dxa"/>
            <w:tcBorders>
              <w:top w:val="single" w:color="000000" w:sz="4" w:space="0"/>
              <w:left w:val="single" w:color="000000" w:sz="4" w:space="0"/>
              <w:bottom w:val="single" w:color="000000" w:sz="4" w:space="0"/>
              <w:right w:val="single" w:color="000000" w:sz="4" w:space="0"/>
            </w:tcBorders>
            <w:vAlign w:val="center"/>
          </w:tcPr>
          <w:p w14:paraId="6711DC9B">
            <w:pPr>
              <w:pStyle w:val="11"/>
              <w:spacing w:line="360" w:lineRule="auto"/>
              <w:rPr>
                <w:rFonts w:ascii="宋体" w:hAnsi="宋体"/>
                <w:sz w:val="24"/>
                <w:highlight w:val="none"/>
              </w:rPr>
            </w:pPr>
            <w:r>
              <w:rPr>
                <w:rFonts w:hint="eastAsia" w:ascii="宋体" w:hAnsi="宋体"/>
                <w:sz w:val="24"/>
                <w:highlight w:val="none"/>
              </w:rPr>
              <w:t>投标人自2022年1月1日至今，</w:t>
            </w:r>
            <w:r>
              <w:rPr>
                <w:rFonts w:hint="eastAsia" w:ascii="宋体" w:hAnsi="宋体" w:cs="宋体"/>
                <w:sz w:val="24"/>
                <w:highlight w:val="none"/>
              </w:rPr>
              <w:t>具有海洋生物生态调查监测、遥感监测类似项目相关业绩，每份得1分，满分4分。</w:t>
            </w:r>
          </w:p>
          <w:p w14:paraId="444F0F27">
            <w:pPr>
              <w:widowControl/>
              <w:spacing w:line="400" w:lineRule="exact"/>
              <w:jc w:val="left"/>
              <w:rPr>
                <w:rFonts w:ascii="宋体" w:hAnsi="宋体" w:cs="宋体"/>
                <w:sz w:val="24"/>
                <w:highlight w:val="none"/>
              </w:rPr>
            </w:pPr>
            <w:r>
              <w:rPr>
                <w:rFonts w:hint="eastAsia" w:ascii="宋体" w:hAnsi="宋体" w:cs="宋体"/>
                <w:sz w:val="24"/>
                <w:highlight w:val="none"/>
              </w:rPr>
              <w:t>注：须提供项目合同原件的电子扫描件并加盖公章，承揽时间以合同签署时间为准。</w:t>
            </w:r>
          </w:p>
        </w:tc>
      </w:tr>
      <w:tr w14:paraId="6F200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749" w:hRule="atLeast"/>
        </w:trPr>
        <w:tc>
          <w:tcPr>
            <w:tcW w:w="908" w:type="dxa"/>
            <w:vMerge w:val="continue"/>
            <w:tcBorders>
              <w:left w:val="single" w:color="000000" w:sz="4" w:space="0"/>
              <w:right w:val="single" w:color="000000" w:sz="4" w:space="0"/>
            </w:tcBorders>
            <w:vAlign w:val="center"/>
          </w:tcPr>
          <w:p w14:paraId="45AE6DE5">
            <w:pPr>
              <w:spacing w:line="400" w:lineRule="exact"/>
              <w:jc w:val="left"/>
              <w:rPr>
                <w:rFonts w:ascii="宋体" w:hAnsi="宋体" w:cs="宋体"/>
                <w:sz w:val="24"/>
                <w:highlight w:val="none"/>
              </w:rPr>
            </w:pPr>
          </w:p>
        </w:tc>
        <w:tc>
          <w:tcPr>
            <w:tcW w:w="1105" w:type="dxa"/>
            <w:vMerge w:val="continue"/>
            <w:tcBorders>
              <w:left w:val="single" w:color="000000" w:sz="4" w:space="0"/>
              <w:right w:val="single" w:color="000000" w:sz="4" w:space="0"/>
            </w:tcBorders>
            <w:vAlign w:val="center"/>
          </w:tcPr>
          <w:p w14:paraId="4ECAB58C">
            <w:pPr>
              <w:spacing w:line="400" w:lineRule="exact"/>
              <w:jc w:val="left"/>
              <w:rPr>
                <w:rFonts w:ascii="宋体" w:hAnsi="宋体" w:cs="宋体"/>
                <w:sz w:val="24"/>
                <w:highlight w:val="none"/>
              </w:rPr>
            </w:pPr>
          </w:p>
        </w:tc>
        <w:tc>
          <w:tcPr>
            <w:tcW w:w="860" w:type="dxa"/>
            <w:tcBorders>
              <w:top w:val="single" w:color="000000" w:sz="4" w:space="0"/>
              <w:left w:val="single" w:color="000000" w:sz="4" w:space="0"/>
              <w:bottom w:val="single" w:color="000000" w:sz="4" w:space="0"/>
              <w:right w:val="single" w:color="000000" w:sz="4" w:space="0"/>
            </w:tcBorders>
            <w:vAlign w:val="center"/>
          </w:tcPr>
          <w:p w14:paraId="722D0587">
            <w:pPr>
              <w:spacing w:line="400" w:lineRule="exact"/>
              <w:jc w:val="center"/>
              <w:rPr>
                <w:rFonts w:ascii="宋体" w:hAnsi="宋体" w:cs="宋体"/>
                <w:sz w:val="24"/>
                <w:highlight w:val="none"/>
              </w:rPr>
            </w:pPr>
            <w:r>
              <w:rPr>
                <w:rFonts w:hint="eastAsia" w:ascii="宋体" w:hAnsi="宋体" w:cs="宋体"/>
                <w:sz w:val="24"/>
                <w:highlight w:val="none"/>
              </w:rPr>
              <w:t>3</w:t>
            </w:r>
          </w:p>
        </w:tc>
        <w:tc>
          <w:tcPr>
            <w:tcW w:w="5665" w:type="dxa"/>
            <w:tcBorders>
              <w:top w:val="single" w:color="000000" w:sz="4" w:space="0"/>
              <w:left w:val="single" w:color="000000" w:sz="4" w:space="0"/>
              <w:bottom w:val="single" w:color="000000" w:sz="4" w:space="0"/>
              <w:right w:val="single" w:color="000000" w:sz="4" w:space="0"/>
            </w:tcBorders>
            <w:vAlign w:val="center"/>
          </w:tcPr>
          <w:p w14:paraId="47481A2D">
            <w:pPr>
              <w:pStyle w:val="11"/>
              <w:spacing w:line="360" w:lineRule="auto"/>
              <w:rPr>
                <w:rFonts w:ascii="宋体" w:hAnsi="宋体"/>
                <w:sz w:val="24"/>
                <w:highlight w:val="none"/>
              </w:rPr>
            </w:pPr>
            <w:r>
              <w:rPr>
                <w:rFonts w:hint="eastAsia" w:ascii="宋体" w:hAnsi="宋体"/>
                <w:sz w:val="24"/>
                <w:highlight w:val="none"/>
              </w:rPr>
              <w:t>投标人自2022年1月1日至今，</w:t>
            </w:r>
            <w:r>
              <w:rPr>
                <w:rFonts w:hint="eastAsia" w:ascii="宋体" w:hAnsi="宋体" w:cs="宋体"/>
                <w:sz w:val="24"/>
                <w:highlight w:val="none"/>
              </w:rPr>
              <w:t>具有浒苔治理研究类似项目相关业绩，每份得1分，满分3分。</w:t>
            </w:r>
          </w:p>
          <w:p w14:paraId="4EB6F1F1">
            <w:pPr>
              <w:widowControl/>
              <w:spacing w:line="400" w:lineRule="exact"/>
              <w:jc w:val="left"/>
              <w:rPr>
                <w:rFonts w:ascii="宋体" w:hAnsi="宋体" w:cs="宋体"/>
                <w:sz w:val="24"/>
                <w:highlight w:val="none"/>
              </w:rPr>
            </w:pPr>
            <w:r>
              <w:rPr>
                <w:rFonts w:hint="eastAsia" w:ascii="宋体" w:hAnsi="宋体" w:cs="宋体"/>
                <w:sz w:val="24"/>
                <w:highlight w:val="none"/>
              </w:rPr>
              <w:t>注：须提供项目合同原件的电子扫描件并加盖公章，承揽时间以合同签署时间为准。</w:t>
            </w:r>
          </w:p>
        </w:tc>
      </w:tr>
      <w:tr w14:paraId="4753D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883" w:hRule="atLeast"/>
        </w:trPr>
        <w:tc>
          <w:tcPr>
            <w:tcW w:w="908" w:type="dxa"/>
            <w:vMerge w:val="continue"/>
            <w:tcBorders>
              <w:left w:val="single" w:color="000000" w:sz="4" w:space="0"/>
              <w:bottom w:val="single" w:color="000000" w:sz="4" w:space="0"/>
              <w:right w:val="single" w:color="000000" w:sz="4" w:space="0"/>
            </w:tcBorders>
            <w:vAlign w:val="center"/>
          </w:tcPr>
          <w:p w14:paraId="63E3562B">
            <w:pPr>
              <w:pStyle w:val="2"/>
              <w:rPr>
                <w:highlight w:val="none"/>
              </w:rPr>
            </w:pPr>
          </w:p>
        </w:tc>
        <w:tc>
          <w:tcPr>
            <w:tcW w:w="1105" w:type="dxa"/>
            <w:vMerge w:val="continue"/>
            <w:tcBorders>
              <w:left w:val="single" w:color="000000" w:sz="4" w:space="0"/>
              <w:bottom w:val="single" w:color="000000" w:sz="4" w:space="0"/>
              <w:right w:val="single" w:color="000000" w:sz="4" w:space="0"/>
            </w:tcBorders>
            <w:vAlign w:val="center"/>
          </w:tcPr>
          <w:p w14:paraId="687F3026">
            <w:pPr>
              <w:spacing w:line="400" w:lineRule="exact"/>
              <w:jc w:val="left"/>
              <w:rPr>
                <w:rFonts w:ascii="宋体" w:hAnsi="宋体" w:cs="宋体"/>
                <w:sz w:val="24"/>
                <w:highlight w:val="none"/>
              </w:rPr>
            </w:pPr>
          </w:p>
        </w:tc>
        <w:tc>
          <w:tcPr>
            <w:tcW w:w="860" w:type="dxa"/>
            <w:tcBorders>
              <w:top w:val="single" w:color="000000" w:sz="4" w:space="0"/>
              <w:left w:val="single" w:color="000000" w:sz="4" w:space="0"/>
              <w:bottom w:val="single" w:color="000000" w:sz="4" w:space="0"/>
              <w:right w:val="single" w:color="000000" w:sz="4" w:space="0"/>
            </w:tcBorders>
            <w:vAlign w:val="center"/>
          </w:tcPr>
          <w:p w14:paraId="613F9789">
            <w:pPr>
              <w:spacing w:line="400" w:lineRule="exact"/>
              <w:jc w:val="center"/>
              <w:rPr>
                <w:rFonts w:ascii="宋体" w:hAnsi="宋体" w:cs="宋体"/>
                <w:sz w:val="24"/>
                <w:highlight w:val="none"/>
              </w:rPr>
            </w:pPr>
            <w:r>
              <w:rPr>
                <w:rFonts w:hint="eastAsia" w:ascii="宋体" w:hAnsi="宋体" w:cs="宋体"/>
                <w:sz w:val="24"/>
                <w:highlight w:val="none"/>
              </w:rPr>
              <w:t>3</w:t>
            </w:r>
          </w:p>
        </w:tc>
        <w:tc>
          <w:tcPr>
            <w:tcW w:w="5665" w:type="dxa"/>
            <w:tcBorders>
              <w:top w:val="single" w:color="000000" w:sz="4" w:space="0"/>
              <w:left w:val="single" w:color="000000" w:sz="4" w:space="0"/>
              <w:bottom w:val="single" w:color="000000" w:sz="4" w:space="0"/>
              <w:right w:val="single" w:color="000000" w:sz="4" w:space="0"/>
            </w:tcBorders>
            <w:vAlign w:val="center"/>
          </w:tcPr>
          <w:p w14:paraId="35C9EB71">
            <w:pPr>
              <w:pStyle w:val="11"/>
              <w:spacing w:line="360" w:lineRule="auto"/>
              <w:rPr>
                <w:rFonts w:ascii="宋体" w:hAnsi="宋体"/>
                <w:sz w:val="24"/>
                <w:highlight w:val="none"/>
              </w:rPr>
            </w:pPr>
            <w:r>
              <w:rPr>
                <w:rFonts w:hint="eastAsia" w:ascii="宋体" w:hAnsi="宋体"/>
                <w:sz w:val="24"/>
                <w:highlight w:val="none"/>
              </w:rPr>
              <w:t>投标人自2022年1月1日至今，</w:t>
            </w:r>
            <w:r>
              <w:rPr>
                <w:rFonts w:hint="eastAsia" w:ascii="宋体" w:hAnsi="宋体" w:cs="宋体"/>
                <w:sz w:val="24"/>
                <w:highlight w:val="none"/>
              </w:rPr>
              <w:t>具有海洋数值模拟预报类似项目相关业绩，</w:t>
            </w:r>
            <w:bookmarkStart w:id="428" w:name="OLE_LINK36"/>
            <w:r>
              <w:rPr>
                <w:rFonts w:hint="eastAsia" w:ascii="宋体" w:hAnsi="宋体" w:cs="宋体"/>
                <w:sz w:val="24"/>
                <w:highlight w:val="none"/>
              </w:rPr>
              <w:t>每份得1分，满分3分。</w:t>
            </w:r>
            <w:bookmarkEnd w:id="428"/>
          </w:p>
          <w:p w14:paraId="54354738">
            <w:pPr>
              <w:spacing w:line="360" w:lineRule="auto"/>
              <w:rPr>
                <w:rFonts w:ascii="宋体" w:hAnsi="宋体" w:cs="宋体"/>
                <w:sz w:val="24"/>
                <w:highlight w:val="none"/>
              </w:rPr>
            </w:pPr>
            <w:r>
              <w:rPr>
                <w:rFonts w:hint="eastAsia" w:ascii="宋体" w:hAnsi="宋体" w:cs="宋体"/>
                <w:sz w:val="24"/>
                <w:highlight w:val="none"/>
              </w:rPr>
              <w:t>注：须提供项目合同原件的电子扫描件并加盖公章，承揽时间以合同签署时间为准。</w:t>
            </w:r>
          </w:p>
        </w:tc>
      </w:tr>
      <w:tr w14:paraId="1D605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425" w:hRule="atLeast"/>
        </w:trPr>
        <w:tc>
          <w:tcPr>
            <w:tcW w:w="908" w:type="dxa"/>
            <w:tcBorders>
              <w:top w:val="single" w:color="000000" w:sz="4" w:space="0"/>
              <w:left w:val="single" w:color="000000" w:sz="4" w:space="0"/>
              <w:bottom w:val="single" w:color="000000" w:sz="4" w:space="0"/>
              <w:right w:val="single" w:color="000000" w:sz="4" w:space="0"/>
            </w:tcBorders>
            <w:vAlign w:val="center"/>
          </w:tcPr>
          <w:p w14:paraId="32B2E57D">
            <w:pPr>
              <w:pStyle w:val="2"/>
              <w:rPr>
                <w:highlight w:val="none"/>
              </w:rPr>
            </w:pPr>
            <w:r>
              <w:rPr>
                <w:rFonts w:hint="eastAsia"/>
                <w:highlight w:val="none"/>
              </w:rPr>
              <w:t>1.12</w:t>
            </w:r>
          </w:p>
        </w:tc>
        <w:tc>
          <w:tcPr>
            <w:tcW w:w="1105" w:type="dxa"/>
            <w:tcBorders>
              <w:top w:val="single" w:color="000000" w:sz="4" w:space="0"/>
              <w:left w:val="single" w:color="000000" w:sz="4" w:space="0"/>
              <w:bottom w:val="single" w:color="000000" w:sz="4" w:space="0"/>
              <w:right w:val="single" w:color="000000" w:sz="4" w:space="0"/>
            </w:tcBorders>
            <w:vAlign w:val="center"/>
          </w:tcPr>
          <w:p w14:paraId="15B928EB">
            <w:pPr>
              <w:spacing w:line="400" w:lineRule="exact"/>
              <w:jc w:val="left"/>
              <w:rPr>
                <w:rFonts w:ascii="宋体" w:hAnsi="宋体" w:cs="宋体"/>
                <w:sz w:val="24"/>
                <w:highlight w:val="none"/>
              </w:rPr>
            </w:pPr>
            <w:r>
              <w:rPr>
                <w:rFonts w:hint="eastAsia" w:ascii="宋体" w:hAnsi="宋体" w:cs="宋体"/>
                <w:sz w:val="24"/>
                <w:highlight w:val="none"/>
              </w:rPr>
              <w:t>认证证书</w:t>
            </w:r>
          </w:p>
        </w:tc>
        <w:tc>
          <w:tcPr>
            <w:tcW w:w="860" w:type="dxa"/>
            <w:tcBorders>
              <w:top w:val="single" w:color="000000" w:sz="4" w:space="0"/>
              <w:left w:val="single" w:color="000000" w:sz="4" w:space="0"/>
              <w:bottom w:val="single" w:color="000000" w:sz="4" w:space="0"/>
              <w:right w:val="single" w:color="000000" w:sz="4" w:space="0"/>
            </w:tcBorders>
            <w:vAlign w:val="center"/>
          </w:tcPr>
          <w:p w14:paraId="10904A6C">
            <w:pPr>
              <w:spacing w:line="400" w:lineRule="exact"/>
              <w:jc w:val="center"/>
              <w:rPr>
                <w:rFonts w:ascii="宋体" w:hAnsi="宋体" w:cs="宋体"/>
                <w:sz w:val="24"/>
                <w:highlight w:val="none"/>
              </w:rPr>
            </w:pPr>
            <w:r>
              <w:rPr>
                <w:rFonts w:hint="eastAsia" w:ascii="宋体" w:hAnsi="宋体" w:cs="宋体"/>
                <w:sz w:val="24"/>
                <w:highlight w:val="none"/>
              </w:rPr>
              <w:t>3</w:t>
            </w:r>
          </w:p>
        </w:tc>
        <w:tc>
          <w:tcPr>
            <w:tcW w:w="5665" w:type="dxa"/>
            <w:tcBorders>
              <w:top w:val="single" w:color="000000" w:sz="4" w:space="0"/>
              <w:left w:val="single" w:color="000000" w:sz="4" w:space="0"/>
              <w:bottom w:val="single" w:color="000000" w:sz="4" w:space="0"/>
              <w:right w:val="single" w:color="000000" w:sz="4" w:space="0"/>
            </w:tcBorders>
            <w:vAlign w:val="center"/>
          </w:tcPr>
          <w:p w14:paraId="4EF9A9DB">
            <w:pPr>
              <w:spacing w:line="360" w:lineRule="auto"/>
              <w:rPr>
                <w:rFonts w:ascii="宋体" w:hAnsi="宋体" w:cs="宋体"/>
                <w:sz w:val="24"/>
                <w:highlight w:val="none"/>
              </w:rPr>
            </w:pPr>
            <w:r>
              <w:rPr>
                <w:rFonts w:hint="eastAsia" w:ascii="宋体" w:hAnsi="宋体" w:cs="宋体"/>
                <w:kern w:val="0"/>
                <w:sz w:val="24"/>
                <w:szCs w:val="28"/>
                <w:highlight w:val="none"/>
              </w:rPr>
              <w:t>需提供质量技术监督部门颁发的CMA认证证书，认证监测范围需包括：海水监测、海洋生态与生物监测（含浮游植物、大型浮游生物）、海洋水文与气象。</w:t>
            </w:r>
            <w:r>
              <w:rPr>
                <w:rFonts w:hint="eastAsia" w:ascii="宋体" w:hAnsi="宋体" w:cs="宋体"/>
                <w:sz w:val="24"/>
                <w:highlight w:val="none"/>
              </w:rPr>
              <w:t>全部符合要求得3分。</w:t>
            </w:r>
          </w:p>
        </w:tc>
      </w:tr>
    </w:tbl>
    <w:p w14:paraId="261B520B">
      <w:pPr>
        <w:adjustRightInd w:val="0"/>
        <w:snapToGrid w:val="0"/>
        <w:spacing w:line="360" w:lineRule="auto"/>
        <w:rPr>
          <w:rFonts w:ascii="宋体" w:hAnsi="宋体" w:cs="宋体"/>
          <w:sz w:val="24"/>
          <w:szCs w:val="21"/>
          <w:highlight w:val="none"/>
        </w:rPr>
      </w:pPr>
    </w:p>
    <w:p w14:paraId="06963D67">
      <w:pPr>
        <w:pStyle w:val="2"/>
        <w:rPr>
          <w:rFonts w:ascii="宋体" w:hAnsi="宋体" w:cs="宋体"/>
          <w:sz w:val="24"/>
          <w:szCs w:val="21"/>
          <w:highlight w:val="none"/>
        </w:rPr>
      </w:pPr>
    </w:p>
    <w:p w14:paraId="08B0A304">
      <w:pPr>
        <w:rPr>
          <w:rFonts w:ascii="宋体" w:hAnsi="宋体" w:cs="宋体"/>
          <w:sz w:val="24"/>
          <w:szCs w:val="21"/>
          <w:highlight w:val="none"/>
        </w:rPr>
      </w:pPr>
    </w:p>
    <w:p w14:paraId="60761E9D">
      <w:pPr>
        <w:pStyle w:val="2"/>
        <w:rPr>
          <w:rFonts w:ascii="宋体" w:hAnsi="宋体" w:cs="宋体"/>
          <w:sz w:val="24"/>
          <w:szCs w:val="21"/>
          <w:highlight w:val="none"/>
        </w:rPr>
      </w:pPr>
    </w:p>
    <w:p w14:paraId="239C74CD">
      <w:pPr>
        <w:rPr>
          <w:highlight w:val="none"/>
        </w:rPr>
      </w:pPr>
    </w:p>
    <w:p w14:paraId="0ABDAFA0">
      <w:pPr>
        <w:adjustRightInd w:val="0"/>
        <w:snapToGrid w:val="0"/>
        <w:spacing w:line="360" w:lineRule="auto"/>
        <w:rPr>
          <w:rFonts w:ascii="宋体" w:hAnsi="宋体" w:cs="宋体"/>
          <w:sz w:val="24"/>
          <w:szCs w:val="21"/>
          <w:highlight w:val="none"/>
        </w:rPr>
      </w:pPr>
      <w:r>
        <w:rPr>
          <w:rFonts w:hint="eastAsia" w:ascii="宋体" w:hAnsi="宋体" w:cs="宋体"/>
          <w:sz w:val="24"/>
          <w:szCs w:val="21"/>
          <w:highlight w:val="none"/>
        </w:rPr>
        <w:t xml:space="preserve"> </w:t>
      </w:r>
    </w:p>
    <w:p w14:paraId="237C1CE6">
      <w:pPr>
        <w:adjustRightInd w:val="0"/>
        <w:snapToGrid w:val="0"/>
        <w:spacing w:line="360" w:lineRule="auto"/>
        <w:rPr>
          <w:rFonts w:ascii="宋体" w:hAnsi="宋体" w:cs="宋体"/>
          <w:sz w:val="24"/>
          <w:szCs w:val="21"/>
          <w:highlight w:val="none"/>
        </w:rPr>
      </w:pPr>
    </w:p>
    <w:p w14:paraId="64CD1381">
      <w:pPr>
        <w:adjustRightInd w:val="0"/>
        <w:snapToGrid w:val="0"/>
        <w:spacing w:line="360" w:lineRule="auto"/>
        <w:rPr>
          <w:rFonts w:ascii="宋体" w:hAnsi="宋体" w:cs="宋体"/>
          <w:sz w:val="24"/>
          <w:szCs w:val="21"/>
          <w:highlight w:val="none"/>
        </w:rPr>
      </w:pPr>
    </w:p>
    <w:p w14:paraId="72359F2C">
      <w:pPr>
        <w:adjustRightInd w:val="0"/>
        <w:snapToGrid w:val="0"/>
        <w:spacing w:line="360" w:lineRule="auto"/>
        <w:rPr>
          <w:rFonts w:ascii="宋体" w:hAnsi="宋体" w:cs="宋体"/>
          <w:sz w:val="24"/>
          <w:szCs w:val="21"/>
          <w:highlight w:val="none"/>
        </w:rPr>
      </w:pPr>
    </w:p>
    <w:p w14:paraId="252C81A2">
      <w:pPr>
        <w:adjustRightInd w:val="0"/>
        <w:snapToGrid w:val="0"/>
        <w:spacing w:line="360" w:lineRule="auto"/>
        <w:rPr>
          <w:rFonts w:ascii="宋体" w:hAnsi="宋体" w:cs="宋体"/>
          <w:sz w:val="24"/>
          <w:szCs w:val="21"/>
          <w:highlight w:val="none"/>
        </w:rPr>
      </w:pPr>
    </w:p>
    <w:p w14:paraId="61338124">
      <w:pPr>
        <w:adjustRightInd w:val="0"/>
        <w:snapToGrid w:val="0"/>
        <w:spacing w:line="360" w:lineRule="auto"/>
        <w:rPr>
          <w:rFonts w:ascii="宋体" w:hAnsi="宋体" w:cs="宋体"/>
          <w:sz w:val="24"/>
          <w:szCs w:val="21"/>
          <w:highlight w:val="none"/>
        </w:rPr>
      </w:pPr>
    </w:p>
    <w:p w14:paraId="12960B23">
      <w:pPr>
        <w:adjustRightInd w:val="0"/>
        <w:snapToGrid w:val="0"/>
        <w:spacing w:line="360" w:lineRule="auto"/>
        <w:rPr>
          <w:rFonts w:ascii="宋体" w:hAnsi="宋体" w:cs="宋体"/>
          <w:sz w:val="24"/>
          <w:szCs w:val="21"/>
          <w:highlight w:val="none"/>
        </w:rPr>
      </w:pPr>
    </w:p>
    <w:p w14:paraId="659B84DD">
      <w:pPr>
        <w:adjustRightInd w:val="0"/>
        <w:snapToGrid w:val="0"/>
        <w:spacing w:line="360" w:lineRule="auto"/>
        <w:rPr>
          <w:rFonts w:ascii="宋体" w:hAnsi="宋体" w:cs="宋体"/>
          <w:sz w:val="24"/>
          <w:szCs w:val="21"/>
          <w:highlight w:val="none"/>
        </w:rPr>
      </w:pPr>
    </w:p>
    <w:p w14:paraId="5E142F49">
      <w:pPr>
        <w:adjustRightInd w:val="0"/>
        <w:snapToGrid w:val="0"/>
        <w:spacing w:line="360" w:lineRule="auto"/>
        <w:rPr>
          <w:rFonts w:ascii="宋体" w:hAnsi="宋体" w:cs="宋体"/>
          <w:sz w:val="24"/>
          <w:szCs w:val="21"/>
          <w:highlight w:val="none"/>
        </w:rPr>
      </w:pPr>
    </w:p>
    <w:p w14:paraId="7714644A">
      <w:pPr>
        <w:adjustRightInd w:val="0"/>
        <w:snapToGrid w:val="0"/>
        <w:spacing w:line="360" w:lineRule="auto"/>
        <w:rPr>
          <w:rFonts w:ascii="宋体" w:hAnsi="宋体" w:cs="宋体"/>
          <w:sz w:val="24"/>
          <w:szCs w:val="21"/>
          <w:highlight w:val="none"/>
        </w:rPr>
      </w:pPr>
    </w:p>
    <w:p w14:paraId="470C739F">
      <w:pPr>
        <w:adjustRightInd w:val="0"/>
        <w:snapToGrid w:val="0"/>
        <w:spacing w:line="360" w:lineRule="auto"/>
        <w:rPr>
          <w:rFonts w:ascii="宋体" w:hAnsi="宋体" w:cs="宋体"/>
          <w:sz w:val="24"/>
          <w:szCs w:val="21"/>
          <w:highlight w:val="none"/>
        </w:rPr>
      </w:pPr>
    </w:p>
    <w:p w14:paraId="4FE288D5">
      <w:pPr>
        <w:adjustRightInd w:val="0"/>
        <w:snapToGrid w:val="0"/>
        <w:spacing w:line="360" w:lineRule="auto"/>
        <w:rPr>
          <w:rFonts w:ascii="宋体" w:hAnsi="宋体" w:cs="宋体"/>
          <w:sz w:val="24"/>
          <w:szCs w:val="21"/>
          <w:highlight w:val="none"/>
        </w:rPr>
      </w:pPr>
    </w:p>
    <w:p w14:paraId="0C0D7DD1">
      <w:pPr>
        <w:adjustRightInd w:val="0"/>
        <w:snapToGrid w:val="0"/>
        <w:spacing w:line="360" w:lineRule="auto"/>
        <w:rPr>
          <w:rFonts w:ascii="宋体" w:hAnsi="宋体" w:cs="宋体"/>
          <w:sz w:val="24"/>
          <w:szCs w:val="21"/>
          <w:highlight w:val="none"/>
        </w:rPr>
      </w:pPr>
    </w:p>
    <w:p w14:paraId="2F1A5D17">
      <w:pPr>
        <w:adjustRightInd w:val="0"/>
        <w:snapToGrid w:val="0"/>
        <w:spacing w:line="360" w:lineRule="auto"/>
        <w:rPr>
          <w:rFonts w:ascii="宋体" w:hAnsi="宋体" w:cs="宋体"/>
          <w:sz w:val="24"/>
          <w:szCs w:val="21"/>
          <w:highlight w:val="none"/>
        </w:rPr>
      </w:pPr>
    </w:p>
    <w:p w14:paraId="57E45119">
      <w:pPr>
        <w:adjustRightInd w:val="0"/>
        <w:snapToGrid w:val="0"/>
        <w:spacing w:line="360" w:lineRule="auto"/>
        <w:rPr>
          <w:rFonts w:ascii="宋体" w:hAnsi="宋体" w:cs="宋体"/>
          <w:sz w:val="24"/>
          <w:szCs w:val="21"/>
          <w:highlight w:val="none"/>
        </w:rPr>
      </w:pPr>
    </w:p>
    <w:p w14:paraId="678A622E">
      <w:pPr>
        <w:adjustRightInd w:val="0"/>
        <w:snapToGrid w:val="0"/>
        <w:spacing w:line="360" w:lineRule="auto"/>
        <w:rPr>
          <w:rFonts w:ascii="宋体" w:hAnsi="宋体" w:cs="宋体"/>
          <w:sz w:val="24"/>
          <w:szCs w:val="21"/>
          <w:highlight w:val="none"/>
        </w:rPr>
      </w:pPr>
    </w:p>
    <w:p w14:paraId="576DDF14">
      <w:pPr>
        <w:pStyle w:val="2"/>
        <w:rPr>
          <w:rFonts w:ascii="宋体" w:hAnsi="宋体" w:cs="宋体"/>
          <w:sz w:val="24"/>
          <w:szCs w:val="21"/>
          <w:highlight w:val="none"/>
        </w:rPr>
      </w:pPr>
    </w:p>
    <w:p w14:paraId="44462542">
      <w:pPr>
        <w:rPr>
          <w:rFonts w:ascii="宋体" w:hAnsi="宋体" w:cs="宋体"/>
          <w:sz w:val="24"/>
          <w:szCs w:val="21"/>
          <w:highlight w:val="none"/>
        </w:rPr>
      </w:pPr>
    </w:p>
    <w:p w14:paraId="45345E40">
      <w:pPr>
        <w:pStyle w:val="2"/>
        <w:rPr>
          <w:rFonts w:ascii="宋体" w:hAnsi="宋体" w:cs="宋体"/>
          <w:sz w:val="24"/>
          <w:szCs w:val="21"/>
          <w:highlight w:val="none"/>
        </w:rPr>
      </w:pPr>
    </w:p>
    <w:p w14:paraId="3DAC1E30">
      <w:pPr>
        <w:rPr>
          <w:rFonts w:ascii="宋体" w:hAnsi="宋体" w:cs="宋体"/>
          <w:sz w:val="24"/>
          <w:szCs w:val="21"/>
          <w:highlight w:val="none"/>
        </w:rPr>
      </w:pPr>
    </w:p>
    <w:p w14:paraId="371C329F">
      <w:pPr>
        <w:pStyle w:val="2"/>
        <w:rPr>
          <w:rFonts w:ascii="宋体" w:hAnsi="宋体" w:cs="宋体"/>
          <w:sz w:val="24"/>
          <w:szCs w:val="21"/>
          <w:highlight w:val="none"/>
        </w:rPr>
      </w:pPr>
    </w:p>
    <w:p w14:paraId="1528CBF6">
      <w:pPr>
        <w:rPr>
          <w:rFonts w:ascii="宋体" w:hAnsi="宋体" w:cs="宋体"/>
          <w:sz w:val="24"/>
          <w:szCs w:val="21"/>
          <w:highlight w:val="none"/>
        </w:rPr>
      </w:pPr>
    </w:p>
    <w:p w14:paraId="03F00F7A">
      <w:pPr>
        <w:pStyle w:val="2"/>
        <w:rPr>
          <w:rFonts w:ascii="宋体" w:hAnsi="宋体" w:cs="宋体"/>
          <w:sz w:val="24"/>
          <w:szCs w:val="21"/>
          <w:highlight w:val="none"/>
        </w:rPr>
      </w:pPr>
    </w:p>
    <w:p w14:paraId="09D3EFBD">
      <w:pPr>
        <w:rPr>
          <w:rFonts w:ascii="宋体" w:hAnsi="宋体" w:cs="宋体"/>
          <w:sz w:val="24"/>
          <w:szCs w:val="21"/>
          <w:highlight w:val="none"/>
        </w:rPr>
      </w:pPr>
    </w:p>
    <w:p w14:paraId="3EB7C20A">
      <w:pPr>
        <w:pStyle w:val="2"/>
        <w:rPr>
          <w:rFonts w:ascii="宋体" w:hAnsi="宋体" w:cs="宋体"/>
          <w:sz w:val="24"/>
          <w:szCs w:val="21"/>
          <w:highlight w:val="none"/>
        </w:rPr>
      </w:pPr>
    </w:p>
    <w:p w14:paraId="2FD10EE4">
      <w:pPr>
        <w:rPr>
          <w:rFonts w:ascii="宋体" w:hAnsi="宋体" w:cs="宋体"/>
          <w:sz w:val="24"/>
          <w:szCs w:val="21"/>
          <w:highlight w:val="none"/>
        </w:rPr>
      </w:pPr>
    </w:p>
    <w:p w14:paraId="17D52CF0">
      <w:pPr>
        <w:pStyle w:val="2"/>
        <w:rPr>
          <w:rFonts w:ascii="宋体" w:hAnsi="宋体" w:cs="宋体"/>
          <w:sz w:val="24"/>
          <w:szCs w:val="21"/>
          <w:highlight w:val="none"/>
        </w:rPr>
      </w:pPr>
    </w:p>
    <w:p w14:paraId="13F8C31B">
      <w:pPr>
        <w:rPr>
          <w:rFonts w:ascii="宋体" w:hAnsi="宋体" w:cs="宋体"/>
          <w:sz w:val="24"/>
          <w:szCs w:val="21"/>
          <w:highlight w:val="none"/>
        </w:rPr>
      </w:pPr>
    </w:p>
    <w:p w14:paraId="1B7754AF">
      <w:pPr>
        <w:pStyle w:val="2"/>
        <w:rPr>
          <w:highlight w:val="none"/>
        </w:rPr>
      </w:pPr>
    </w:p>
    <w:p w14:paraId="1DB9B658">
      <w:pPr>
        <w:rPr>
          <w:highlight w:val="none"/>
        </w:rPr>
      </w:pPr>
    </w:p>
    <w:p w14:paraId="2458659D">
      <w:pPr>
        <w:pStyle w:val="2"/>
        <w:rPr>
          <w:highlight w:val="none"/>
        </w:rPr>
      </w:pPr>
    </w:p>
    <w:p w14:paraId="3226EFBE">
      <w:pPr>
        <w:rPr>
          <w:highlight w:val="none"/>
        </w:rPr>
      </w:pPr>
    </w:p>
    <w:p w14:paraId="1F2D89D7">
      <w:pPr>
        <w:pStyle w:val="2"/>
        <w:rPr>
          <w:highlight w:val="none"/>
        </w:rPr>
      </w:pPr>
    </w:p>
    <w:p w14:paraId="22EC4386">
      <w:pPr>
        <w:rPr>
          <w:highlight w:val="none"/>
        </w:rPr>
      </w:pPr>
    </w:p>
    <w:p w14:paraId="6C8128A5">
      <w:pPr>
        <w:pStyle w:val="2"/>
        <w:rPr>
          <w:highlight w:val="none"/>
        </w:rPr>
      </w:pPr>
    </w:p>
    <w:p w14:paraId="0F22F1BF">
      <w:pPr>
        <w:adjustRightInd w:val="0"/>
        <w:snapToGrid w:val="0"/>
        <w:spacing w:line="360" w:lineRule="auto"/>
        <w:rPr>
          <w:rFonts w:ascii="宋体" w:hAnsi="宋体" w:cs="宋体"/>
          <w:sz w:val="24"/>
          <w:szCs w:val="21"/>
          <w:highlight w:val="none"/>
        </w:rPr>
      </w:pPr>
    </w:p>
    <w:p w14:paraId="6D986312">
      <w:pPr>
        <w:adjustRightInd w:val="0"/>
        <w:snapToGrid w:val="0"/>
        <w:spacing w:line="360" w:lineRule="auto"/>
        <w:rPr>
          <w:rFonts w:ascii="宋体" w:hAnsi="宋体" w:cs="宋体"/>
          <w:sz w:val="24"/>
          <w:szCs w:val="21"/>
          <w:highlight w:val="none"/>
        </w:rPr>
      </w:pPr>
      <w:r>
        <w:rPr>
          <w:rFonts w:hint="eastAsia" w:ascii="宋体" w:hAnsi="宋体" w:cs="宋体"/>
          <w:sz w:val="24"/>
          <w:szCs w:val="21"/>
          <w:highlight w:val="none"/>
        </w:rPr>
        <w:t>说明：</w:t>
      </w:r>
    </w:p>
    <w:p w14:paraId="78E27E39">
      <w:pPr>
        <w:spacing w:after="120" w:line="360" w:lineRule="auto"/>
        <w:ind w:firstLine="600" w:firstLineChars="250"/>
        <w:rPr>
          <w:rFonts w:ascii="宋体" w:hAnsi="宋体" w:cs="宋体"/>
          <w:sz w:val="24"/>
          <w:szCs w:val="21"/>
          <w:highlight w:val="none"/>
        </w:rPr>
      </w:pPr>
      <w:r>
        <w:rPr>
          <w:rFonts w:hint="eastAsia" w:ascii="宋体" w:hAnsi="宋体" w:cs="宋体"/>
          <w:sz w:val="24"/>
          <w:szCs w:val="21"/>
          <w:highlight w:val="none"/>
        </w:rPr>
        <w:t>1、公式中的投标报价及其个数是指通过评标委员会初步评审的有效投标人投标报价及其个数。</w:t>
      </w:r>
    </w:p>
    <w:p w14:paraId="057E9D60">
      <w:pPr>
        <w:spacing w:after="120" w:line="360" w:lineRule="auto"/>
        <w:ind w:firstLine="600" w:firstLineChars="250"/>
        <w:rPr>
          <w:rFonts w:ascii="宋体" w:hAnsi="宋体" w:cs="宋体"/>
          <w:highlight w:val="none"/>
        </w:rPr>
      </w:pPr>
      <w:r>
        <w:rPr>
          <w:rFonts w:hint="eastAsia" w:ascii="宋体" w:hAnsi="宋体" w:cs="宋体"/>
          <w:sz w:val="24"/>
          <w:szCs w:val="21"/>
          <w:highlight w:val="none"/>
        </w:rPr>
        <w:t>2、</w:t>
      </w:r>
      <w:r>
        <w:rPr>
          <w:rFonts w:hint="eastAsia" w:ascii="宋体" w:hAnsi="宋体" w:cs="宋体"/>
          <w:spacing w:val="12"/>
          <w:sz w:val="24"/>
          <w:szCs w:val="24"/>
          <w:highlight w:val="none"/>
        </w:rPr>
        <w:t>本项目采用综合评分法评标，不保证最低报价中标。</w:t>
      </w:r>
    </w:p>
    <w:sectPr>
      <w:headerReference r:id="rId17" w:type="default"/>
      <w:pgSz w:w="11906" w:h="16838"/>
      <w:pgMar w:top="1134" w:right="1134" w:bottom="992" w:left="1134" w:header="454" w:footer="454"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badi MT Condensed Light">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B3C54">
    <w:pPr>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013F8">
    <w:pPr>
      <w:rPr>
        <w:sz w:val="24"/>
      </w:rPr>
    </w:pPr>
    <w:r>
      <w:rPr>
        <w:sz w:val="24"/>
      </w:rPr>
      <w:pict>
        <v:shape id="_x0000_s1029" o:spid="_x0000_s102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path/>
          <v:fill on="f" focussize="0,0"/>
          <v:stroke on="f" weight="0.5pt" joinstyle="miter"/>
          <v:imagedata o:title=""/>
          <o:lock v:ext="edit"/>
          <v:textbox inset="0mm,0mm,0mm,0mm" style="mso-fit-shape-to-text:t;">
            <w:txbxContent>
              <w:p w14:paraId="3BAB7F2F">
                <w:pPr>
                  <w:pStyle w:val="20"/>
                </w:pPr>
                <w:r>
                  <w:fldChar w:fldCharType="begin"/>
                </w:r>
                <w:r>
                  <w:instrText xml:space="preserve"> PAGE  \* MERGEFORMAT </w:instrText>
                </w:r>
                <w:r>
                  <w:fldChar w:fldCharType="separate"/>
                </w:r>
                <w:r>
                  <w:t>23</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8B3E4">
    <w:pPr>
      <w:jc w:val="center"/>
      <w:rPr>
        <w:sz w:val="24"/>
      </w:rPr>
    </w:pPr>
    <w:r>
      <w:rPr>
        <w:sz w:val="24"/>
      </w:rP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path/>
          <v:fill on="f" focussize="0,0"/>
          <v:stroke on="f" weight="0.5pt" joinstyle="miter"/>
          <v:imagedata o:title=""/>
          <o:lock v:ext="edit"/>
          <v:textbox inset="0mm,0mm,0mm,0mm" style="mso-fit-shape-to-text:t;">
            <w:txbxContent>
              <w:p w14:paraId="6E62824C">
                <w:pPr>
                  <w:pStyle w:val="20"/>
                </w:pPr>
                <w:r>
                  <w:fldChar w:fldCharType="begin"/>
                </w:r>
                <w:r>
                  <w:instrText xml:space="preserve"> PAGE  \* MERGEFORMAT </w:instrText>
                </w:r>
                <w:r>
                  <w:fldChar w:fldCharType="separate"/>
                </w:r>
                <w:r>
                  <w:t>72</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BD8E3">
    <w:pPr>
      <w:rPr>
        <w:sz w:val="24"/>
      </w:rPr>
    </w:pPr>
    <w:r>
      <w:rPr>
        <w:sz w:val="24"/>
      </w:rPr>
      <w:pict>
        <v:shape id="_x0000_s1028" o:spid="_x0000_s1028"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path/>
          <v:fill on="f" focussize="0,0"/>
          <v:stroke on="f" weight="0.5pt" joinstyle="miter"/>
          <v:imagedata o:title=""/>
          <o:lock v:ext="edit"/>
          <v:textbox inset="0mm,0mm,0mm,0mm" style="mso-fit-shape-to-text:t;">
            <w:txbxContent>
              <w:p w14:paraId="07FA922E">
                <w:pPr>
                  <w:pStyle w:val="20"/>
                </w:pPr>
                <w:r>
                  <w:fldChar w:fldCharType="begin"/>
                </w:r>
                <w:r>
                  <w:instrText xml:space="preserve"> PAGE  \* MERGEFORMAT </w:instrText>
                </w:r>
                <w:r>
                  <w:fldChar w:fldCharType="separate"/>
                </w:r>
                <w:r>
                  <w:t>28</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DB38D">
    <w:pPr>
      <w:pStyle w:val="20"/>
      <w:rPr>
        <w:sz w:val="21"/>
        <w:szCs w:val="21"/>
      </w:rPr>
    </w:pPr>
    <w:r>
      <w:rPr>
        <w:sz w:val="21"/>
      </w:rPr>
      <w:pict>
        <v:shape id="_x0000_s1027" o:spid="_x0000_s1027"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path/>
          <v:fill on="f" focussize="0,0"/>
          <v:stroke on="f" weight="0.5pt" joinstyle="miter"/>
          <v:imagedata o:title=""/>
          <o:lock v:ext="edit"/>
          <v:textbox inset="0mm,0mm,0mm,0mm" style="mso-fit-shape-to-text:t;">
            <w:txbxContent>
              <w:p w14:paraId="66D323E4">
                <w:pPr>
                  <w:pStyle w:val="20"/>
                </w:pPr>
                <w:r>
                  <w:fldChar w:fldCharType="begin"/>
                </w:r>
                <w:r>
                  <w:instrText xml:space="preserve"> PAGE  \* MERGEFORMAT </w:instrText>
                </w:r>
                <w:r>
                  <w:fldChar w:fldCharType="separate"/>
                </w:r>
                <w:r>
                  <w:t>86</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E89CA">
    <w:pPr>
      <w:pStyle w:val="14"/>
      <w:pBdr>
        <w:bottom w:val="thickThinSmallGap" w:color="auto" w:sz="24" w:space="1"/>
      </w:pBdr>
      <w:jc w:val="both"/>
      <w:rPr>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E8E90">
    <w:pPr>
      <w:pStyle w:val="14"/>
      <w:pBdr>
        <w:bottom w:val="thickThinSmallGap" w:color="auto" w:sz="24" w:space="1"/>
      </w:pBdr>
      <w:jc w:val="both"/>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3F8FC">
    <w:pPr>
      <w:pStyle w:val="14"/>
      <w:pBdr>
        <w:bottom w:val="thickThinSmallGap" w:color="auto" w:sz="24"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C9290">
    <w:pPr>
      <w:pStyle w:val="14"/>
      <w:pBdr>
        <w:bottom w:val="thickThinSmallGap" w:color="auto" w:sz="24" w:space="1"/>
      </w:pBdr>
      <w:tabs>
        <w:tab w:val="clear" w:pos="8306"/>
      </w:tabs>
      <w:jc w:val="both"/>
      <w:rPr>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5DB54">
    <w:pPr>
      <w:pStyle w:val="14"/>
      <w:pBdr>
        <w:bottom w:val="thickThinSmallGap" w:color="auto" w:sz="24" w:space="1"/>
      </w:pBdr>
      <w:tabs>
        <w:tab w:val="clear" w:pos="8306"/>
      </w:tabs>
      <w:jc w:val="both"/>
      <w:rPr>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F5081">
    <w:pPr>
      <w:pStyle w:val="14"/>
      <w:pBdr>
        <w:bottom w:val="thickThinSmallGap" w:color="auto" w:sz="24" w:space="1"/>
      </w:pBdr>
      <w:tabs>
        <w:tab w:val="clear" w:pos="8306"/>
      </w:tabs>
      <w:jc w:val="both"/>
      <w:rPr>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89F6D">
    <w:pPr>
      <w:pStyle w:val="14"/>
      <w:pBdr>
        <w:bottom w:val="thickThinSmallGap" w:color="auto" w:sz="24" w:space="1"/>
      </w:pBdr>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0CFFC">
    <w:pPr>
      <w:pStyle w:val="14"/>
      <w:pBdr>
        <w:bottom w:val="thickThinSmallGap" w:color="auto" w:sz="24" w:space="1"/>
      </w:pBdr>
      <w:jc w:val="both"/>
      <w:rPr>
        <w:sz w:val="21"/>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93D14">
    <w:pPr>
      <w:pStyle w:val="14"/>
      <w:pBdr>
        <w:bottom w:val="thickThinSmallGap" w:color="auto" w:sz="24" w:space="1"/>
      </w:pBdr>
      <w:jc w:val="both"/>
      <w:rPr>
        <w:sz w:val="21"/>
        <w:szCs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6360">
    <w:pPr>
      <w:pStyle w:val="14"/>
      <w:pBdr>
        <w:bottom w:val="thickThinSmallGap" w:color="auto" w:sz="24" w:space="1"/>
      </w:pBdr>
      <w:jc w:val="both"/>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A40B85"/>
    <w:multiLevelType w:val="singleLevel"/>
    <w:tmpl w:val="BCA40B85"/>
    <w:lvl w:ilvl="0" w:tentative="0">
      <w:start w:val="2"/>
      <w:numFmt w:val="decimal"/>
      <w:suff w:val="nothing"/>
      <w:lvlText w:val="%1）"/>
      <w:lvlJc w:val="left"/>
    </w:lvl>
  </w:abstractNum>
  <w:abstractNum w:abstractNumId="1">
    <w:nsid w:val="DDAFFBDD"/>
    <w:multiLevelType w:val="singleLevel"/>
    <w:tmpl w:val="DDAFFBDD"/>
    <w:lvl w:ilvl="0" w:tentative="0">
      <w:start w:val="1"/>
      <w:numFmt w:val="decimal"/>
      <w:suff w:val="nothing"/>
      <w:lvlText w:val="%1、"/>
      <w:lvlJc w:val="left"/>
    </w:lvl>
  </w:abstractNum>
  <w:abstractNum w:abstractNumId="2">
    <w:nsid w:val="F8A5B2AC"/>
    <w:multiLevelType w:val="singleLevel"/>
    <w:tmpl w:val="F8A5B2AC"/>
    <w:lvl w:ilvl="0" w:tentative="0">
      <w:start w:val="2"/>
      <w:numFmt w:val="chineseCounting"/>
      <w:suff w:val="nothing"/>
      <w:lvlText w:val="%1、"/>
      <w:lvlJc w:val="left"/>
      <w:rPr>
        <w:rFonts w:hint="eastAsia"/>
      </w:rPr>
    </w:lvl>
  </w:abstractNum>
  <w:abstractNum w:abstractNumId="3">
    <w:nsid w:val="FFA3EE7C"/>
    <w:multiLevelType w:val="singleLevel"/>
    <w:tmpl w:val="FFA3EE7C"/>
    <w:lvl w:ilvl="0" w:tentative="0">
      <w:start w:val="2"/>
      <w:numFmt w:val="chineseCounting"/>
      <w:suff w:val="nothing"/>
      <w:lvlText w:val="%1、"/>
      <w:lvlJc w:val="left"/>
      <w:rPr>
        <w:rFonts w:hint="eastAsia"/>
      </w:rPr>
    </w:lvl>
  </w:abstractNum>
  <w:abstractNum w:abstractNumId="4">
    <w:nsid w:val="00000003"/>
    <w:multiLevelType w:val="multilevel"/>
    <w:tmpl w:val="00000003"/>
    <w:lvl w:ilvl="0" w:tentative="0">
      <w:start w:val="1"/>
      <w:numFmt w:val="bullet"/>
      <w:lvlText w:val=""/>
      <w:lvlJc w:val="left"/>
      <w:pPr>
        <w:tabs>
          <w:tab w:val="left" w:pos="735"/>
        </w:tabs>
        <w:ind w:left="735" w:hanging="420"/>
      </w:pPr>
      <w:rPr>
        <w:rFonts w:hint="default" w:ascii="Wingdings" w:hAnsi="Wingdings"/>
      </w:rPr>
    </w:lvl>
    <w:lvl w:ilvl="1" w:tentative="0">
      <w:start w:val="1"/>
      <w:numFmt w:val="bullet"/>
      <w:pStyle w:val="36"/>
      <w:lvlText w:val=""/>
      <w:lvlJc w:val="left"/>
      <w:pPr>
        <w:tabs>
          <w:tab w:val="left" w:pos="1155"/>
        </w:tabs>
        <w:ind w:left="1155" w:hanging="420"/>
      </w:pPr>
      <w:rPr>
        <w:rFonts w:hint="default" w:ascii="Wingdings" w:hAnsi="Wingdings"/>
      </w:rPr>
    </w:lvl>
    <w:lvl w:ilvl="2" w:tentative="0">
      <w:start w:val="1"/>
      <w:numFmt w:val="bullet"/>
      <w:lvlText w:val=""/>
      <w:lvlJc w:val="left"/>
      <w:pPr>
        <w:tabs>
          <w:tab w:val="left" w:pos="1575"/>
        </w:tabs>
        <w:ind w:left="1575" w:hanging="420"/>
      </w:pPr>
      <w:rPr>
        <w:rFonts w:hint="default" w:ascii="Wingdings" w:hAnsi="Wingdings"/>
      </w:rPr>
    </w:lvl>
    <w:lvl w:ilvl="3" w:tentative="0">
      <w:start w:val="1"/>
      <w:numFmt w:val="bullet"/>
      <w:lvlText w:val=""/>
      <w:lvlJc w:val="left"/>
      <w:pPr>
        <w:tabs>
          <w:tab w:val="left" w:pos="1995"/>
        </w:tabs>
        <w:ind w:left="1995" w:hanging="420"/>
      </w:pPr>
      <w:rPr>
        <w:rFonts w:hint="default" w:ascii="Wingdings" w:hAnsi="Wingdings"/>
      </w:rPr>
    </w:lvl>
    <w:lvl w:ilvl="4" w:tentative="0">
      <w:start w:val="1"/>
      <w:numFmt w:val="bullet"/>
      <w:lvlText w:val=""/>
      <w:lvlJc w:val="left"/>
      <w:pPr>
        <w:tabs>
          <w:tab w:val="left" w:pos="2415"/>
        </w:tabs>
        <w:ind w:left="2415" w:hanging="420"/>
      </w:pPr>
      <w:rPr>
        <w:rFonts w:hint="default" w:ascii="Wingdings" w:hAnsi="Wingdings"/>
      </w:rPr>
    </w:lvl>
    <w:lvl w:ilvl="5" w:tentative="0">
      <w:start w:val="1"/>
      <w:numFmt w:val="bullet"/>
      <w:lvlText w:val=""/>
      <w:lvlJc w:val="left"/>
      <w:pPr>
        <w:tabs>
          <w:tab w:val="left" w:pos="2835"/>
        </w:tabs>
        <w:ind w:left="2835" w:hanging="420"/>
      </w:pPr>
      <w:rPr>
        <w:rFonts w:hint="default" w:ascii="Wingdings" w:hAnsi="Wingdings"/>
      </w:rPr>
    </w:lvl>
    <w:lvl w:ilvl="6" w:tentative="0">
      <w:start w:val="1"/>
      <w:numFmt w:val="bullet"/>
      <w:lvlText w:val=""/>
      <w:lvlJc w:val="left"/>
      <w:pPr>
        <w:tabs>
          <w:tab w:val="left" w:pos="3255"/>
        </w:tabs>
        <w:ind w:left="3255" w:hanging="420"/>
      </w:pPr>
      <w:rPr>
        <w:rFonts w:hint="default" w:ascii="Wingdings" w:hAnsi="Wingdings"/>
      </w:rPr>
    </w:lvl>
    <w:lvl w:ilvl="7" w:tentative="0">
      <w:start w:val="1"/>
      <w:numFmt w:val="bullet"/>
      <w:lvlText w:val=""/>
      <w:lvlJc w:val="left"/>
      <w:pPr>
        <w:tabs>
          <w:tab w:val="left" w:pos="3675"/>
        </w:tabs>
        <w:ind w:left="3675" w:hanging="420"/>
      </w:pPr>
      <w:rPr>
        <w:rFonts w:hint="default" w:ascii="Wingdings" w:hAnsi="Wingdings"/>
      </w:rPr>
    </w:lvl>
    <w:lvl w:ilvl="8" w:tentative="0">
      <w:start w:val="1"/>
      <w:numFmt w:val="bullet"/>
      <w:lvlText w:val=""/>
      <w:lvlJc w:val="left"/>
      <w:pPr>
        <w:tabs>
          <w:tab w:val="left" w:pos="4095"/>
        </w:tabs>
        <w:ind w:left="4095" w:hanging="420"/>
      </w:pPr>
      <w:rPr>
        <w:rFonts w:hint="default" w:ascii="Wingdings" w:hAnsi="Wingdings"/>
      </w:rPr>
    </w:lvl>
  </w:abstractNum>
  <w:abstractNum w:abstractNumId="5">
    <w:nsid w:val="00000004"/>
    <w:multiLevelType w:val="multilevel"/>
    <w:tmpl w:val="00000004"/>
    <w:lvl w:ilvl="0" w:tentative="0">
      <w:start w:val="1"/>
      <w:numFmt w:val="japaneseCounting"/>
      <w:lvlText w:val="%1、"/>
      <w:lvlJc w:val="left"/>
      <w:pPr>
        <w:ind w:left="1361" w:hanging="510"/>
      </w:pPr>
      <w:rPr>
        <w:rFonts w:hint="default"/>
        <w:b/>
        <w:lang w:val="en-US"/>
      </w:rPr>
    </w:lvl>
    <w:lvl w:ilvl="1" w:tentative="0">
      <w:start w:val="1"/>
      <w:numFmt w:val="lowerLetter"/>
      <w:lvlText w:val="%2)"/>
      <w:lvlJc w:val="left"/>
      <w:pPr>
        <w:ind w:left="1310" w:hanging="420"/>
      </w:p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abstractNum w:abstractNumId="6">
    <w:nsid w:val="00000005"/>
    <w:multiLevelType w:val="multilevel"/>
    <w:tmpl w:val="00000005"/>
    <w:lvl w:ilvl="0" w:tentative="0">
      <w:start w:val="1"/>
      <w:numFmt w:val="japaneseCounting"/>
      <w:lvlText w:val="第%1章"/>
      <w:lvlJc w:val="left"/>
      <w:pPr>
        <w:tabs>
          <w:tab w:val="left" w:pos="1215"/>
        </w:tabs>
        <w:ind w:left="1215" w:hanging="121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6"/>
    <w:multiLevelType w:val="multilevel"/>
    <w:tmpl w:val="00000006"/>
    <w:lvl w:ilvl="0" w:tentative="0">
      <w:start w:val="5"/>
      <w:numFmt w:val="decimal"/>
      <w:lvlText w:val="%1、"/>
      <w:lvlJc w:val="left"/>
      <w:pPr>
        <w:ind w:left="390" w:hanging="3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8"/>
    <w:multiLevelType w:val="multilevel"/>
    <w:tmpl w:val="00000008"/>
    <w:lvl w:ilvl="0" w:tentative="0">
      <w:start w:val="1"/>
      <w:numFmt w:val="decimal"/>
      <w:lvlText w:val="%1."/>
      <w:lvlJc w:val="left"/>
      <w:pPr>
        <w:ind w:left="630" w:hanging="420"/>
      </w:pPr>
      <w:rPr>
        <w:b w:val="0"/>
        <w:color w:val="auto"/>
      </w:rPr>
    </w:lvl>
    <w:lvl w:ilvl="1" w:tentative="0">
      <w:start w:val="1"/>
      <w:numFmt w:val="lowerLetter"/>
      <w:lvlText w:val="%2)"/>
      <w:lvlJc w:val="left"/>
      <w:pPr>
        <w:ind w:left="1020" w:hanging="420"/>
      </w:pPr>
    </w:lvl>
    <w:lvl w:ilvl="2" w:tentative="0">
      <w:start w:val="1"/>
      <w:numFmt w:val="lowerRoman"/>
      <w:lvlText w:val="%3."/>
      <w:lvlJc w:val="right"/>
      <w:pPr>
        <w:ind w:left="1440" w:hanging="420"/>
      </w:pPr>
    </w:lvl>
    <w:lvl w:ilvl="3" w:tentative="0">
      <w:start w:val="1"/>
      <w:numFmt w:val="decimal"/>
      <w:lvlText w:val="%4."/>
      <w:lvlJc w:val="left"/>
      <w:pPr>
        <w:ind w:left="1860" w:hanging="420"/>
      </w:pPr>
    </w:lvl>
    <w:lvl w:ilvl="4" w:tentative="0">
      <w:start w:val="1"/>
      <w:numFmt w:val="lowerLetter"/>
      <w:lvlText w:val="%5)"/>
      <w:lvlJc w:val="left"/>
      <w:pPr>
        <w:ind w:left="2280" w:hanging="420"/>
      </w:pPr>
    </w:lvl>
    <w:lvl w:ilvl="5" w:tentative="0">
      <w:start w:val="1"/>
      <w:numFmt w:val="lowerRoman"/>
      <w:lvlText w:val="%6."/>
      <w:lvlJc w:val="right"/>
      <w:pPr>
        <w:ind w:left="2700" w:hanging="420"/>
      </w:pPr>
    </w:lvl>
    <w:lvl w:ilvl="6" w:tentative="0">
      <w:start w:val="1"/>
      <w:numFmt w:val="decimal"/>
      <w:lvlText w:val="%7."/>
      <w:lvlJc w:val="left"/>
      <w:pPr>
        <w:ind w:left="3120" w:hanging="420"/>
      </w:pPr>
    </w:lvl>
    <w:lvl w:ilvl="7" w:tentative="0">
      <w:start w:val="1"/>
      <w:numFmt w:val="lowerLetter"/>
      <w:lvlText w:val="%8)"/>
      <w:lvlJc w:val="left"/>
      <w:pPr>
        <w:ind w:left="3540" w:hanging="420"/>
      </w:pPr>
    </w:lvl>
    <w:lvl w:ilvl="8" w:tentative="0">
      <w:start w:val="1"/>
      <w:numFmt w:val="lowerRoman"/>
      <w:lvlText w:val="%9."/>
      <w:lvlJc w:val="right"/>
      <w:pPr>
        <w:ind w:left="3960" w:hanging="420"/>
      </w:pPr>
    </w:lvl>
  </w:abstractNum>
  <w:abstractNum w:abstractNumId="9">
    <w:nsid w:val="00000009"/>
    <w:multiLevelType w:val="multilevel"/>
    <w:tmpl w:val="00000009"/>
    <w:lvl w:ilvl="0" w:tentative="0">
      <w:start w:val="1"/>
      <w:numFmt w:val="decimal"/>
      <w:lvlText w:val="4.%1"/>
      <w:lvlJc w:val="left"/>
      <w:pPr>
        <w:ind w:left="782" w:hanging="420"/>
      </w:pPr>
      <w:rPr>
        <w:rFonts w:hint="eastAsia"/>
      </w:rPr>
    </w:lvl>
    <w:lvl w:ilvl="1" w:tentative="0">
      <w:start w:val="1"/>
      <w:numFmt w:val="lowerLetter"/>
      <w:lvlText w:val="%2)"/>
      <w:lvlJc w:val="left"/>
      <w:pPr>
        <w:ind w:left="1202" w:hanging="420"/>
      </w:pPr>
    </w:lvl>
    <w:lvl w:ilvl="2" w:tentative="0">
      <w:start w:val="1"/>
      <w:numFmt w:val="lowerRoman"/>
      <w:lvlText w:val="%3."/>
      <w:lvlJc w:val="right"/>
      <w:pPr>
        <w:ind w:left="1622" w:hanging="420"/>
      </w:pPr>
    </w:lvl>
    <w:lvl w:ilvl="3" w:tentative="0">
      <w:start w:val="1"/>
      <w:numFmt w:val="decimal"/>
      <w:lvlText w:val="%4."/>
      <w:lvlJc w:val="left"/>
      <w:pPr>
        <w:ind w:left="2042" w:hanging="420"/>
      </w:pPr>
    </w:lvl>
    <w:lvl w:ilvl="4" w:tentative="0">
      <w:start w:val="1"/>
      <w:numFmt w:val="lowerLetter"/>
      <w:lvlText w:val="%5)"/>
      <w:lvlJc w:val="left"/>
      <w:pPr>
        <w:ind w:left="2462" w:hanging="420"/>
      </w:pPr>
    </w:lvl>
    <w:lvl w:ilvl="5" w:tentative="0">
      <w:start w:val="1"/>
      <w:numFmt w:val="lowerRoman"/>
      <w:lvlText w:val="%6."/>
      <w:lvlJc w:val="right"/>
      <w:pPr>
        <w:ind w:left="2882" w:hanging="420"/>
      </w:pPr>
    </w:lvl>
    <w:lvl w:ilvl="6" w:tentative="0">
      <w:start w:val="1"/>
      <w:numFmt w:val="decimal"/>
      <w:lvlText w:val="%7."/>
      <w:lvlJc w:val="left"/>
      <w:pPr>
        <w:ind w:left="3302" w:hanging="420"/>
      </w:pPr>
    </w:lvl>
    <w:lvl w:ilvl="7" w:tentative="0">
      <w:start w:val="1"/>
      <w:numFmt w:val="lowerLetter"/>
      <w:lvlText w:val="%8)"/>
      <w:lvlJc w:val="left"/>
      <w:pPr>
        <w:ind w:left="3722" w:hanging="420"/>
      </w:pPr>
    </w:lvl>
    <w:lvl w:ilvl="8" w:tentative="0">
      <w:start w:val="1"/>
      <w:numFmt w:val="lowerRoman"/>
      <w:lvlText w:val="%9."/>
      <w:lvlJc w:val="right"/>
      <w:pPr>
        <w:ind w:left="4142" w:hanging="420"/>
      </w:pPr>
    </w:lvl>
  </w:abstractNum>
  <w:abstractNum w:abstractNumId="10">
    <w:nsid w:val="0000000A"/>
    <w:multiLevelType w:val="multilevel"/>
    <w:tmpl w:val="0000000A"/>
    <w:lvl w:ilvl="0" w:tentative="0">
      <w:start w:val="2"/>
      <w:numFmt w:val="decimal"/>
      <w:lvlText w:val="%1、"/>
      <w:lvlJc w:val="left"/>
      <w:pPr>
        <w:ind w:left="390" w:hanging="3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0B"/>
    <w:multiLevelType w:val="singleLevel"/>
    <w:tmpl w:val="0000000B"/>
    <w:lvl w:ilvl="0" w:tentative="0">
      <w:start w:val="1"/>
      <w:numFmt w:val="decimal"/>
      <w:suff w:val="nothing"/>
      <w:lvlText w:val="（%1）"/>
      <w:lvlJc w:val="left"/>
    </w:lvl>
  </w:abstractNum>
  <w:abstractNum w:abstractNumId="12">
    <w:nsid w:val="0000000E"/>
    <w:multiLevelType w:val="singleLevel"/>
    <w:tmpl w:val="0000000E"/>
    <w:lvl w:ilvl="0" w:tentative="0">
      <w:start w:val="1"/>
      <w:numFmt w:val="decimal"/>
      <w:lvlText w:val="%1．"/>
      <w:lvlJc w:val="left"/>
      <w:pPr>
        <w:tabs>
          <w:tab w:val="left" w:pos="360"/>
        </w:tabs>
        <w:ind w:left="360" w:hanging="360"/>
      </w:pPr>
      <w:rPr>
        <w:rFonts w:hint="eastAsia" w:cs="Times New Roman"/>
      </w:rPr>
    </w:lvl>
  </w:abstractNum>
  <w:abstractNum w:abstractNumId="13">
    <w:nsid w:val="109673C7"/>
    <w:multiLevelType w:val="singleLevel"/>
    <w:tmpl w:val="109673C7"/>
    <w:lvl w:ilvl="0" w:tentative="0">
      <w:start w:val="1"/>
      <w:numFmt w:val="decimal"/>
      <w:lvlText w:val="%1."/>
      <w:lvlJc w:val="left"/>
      <w:pPr>
        <w:tabs>
          <w:tab w:val="left" w:pos="312"/>
        </w:tabs>
      </w:pPr>
    </w:lvl>
  </w:abstractNum>
  <w:abstractNum w:abstractNumId="14">
    <w:nsid w:val="6A93D4F9"/>
    <w:multiLevelType w:val="singleLevel"/>
    <w:tmpl w:val="6A93D4F9"/>
    <w:lvl w:ilvl="0" w:tentative="0">
      <w:start w:val="1"/>
      <w:numFmt w:val="decimal"/>
      <w:lvlText w:val="%1."/>
      <w:lvlJc w:val="left"/>
      <w:pPr>
        <w:tabs>
          <w:tab w:val="left" w:pos="312"/>
        </w:tabs>
      </w:pPr>
    </w:lvl>
  </w:abstractNum>
  <w:abstractNum w:abstractNumId="15">
    <w:nsid w:val="7B691F4A"/>
    <w:multiLevelType w:val="singleLevel"/>
    <w:tmpl w:val="7B691F4A"/>
    <w:lvl w:ilvl="0" w:tentative="0">
      <w:start w:val="1"/>
      <w:numFmt w:val="decimal"/>
      <w:suff w:val="nothing"/>
      <w:lvlText w:val="%1）"/>
      <w:lvlJc w:val="left"/>
    </w:lvl>
  </w:abstractNum>
  <w:num w:numId="1">
    <w:abstractNumId w:val="4"/>
  </w:num>
  <w:num w:numId="2">
    <w:abstractNumId w:val="6"/>
  </w:num>
  <w:num w:numId="3">
    <w:abstractNumId w:val="5"/>
  </w:num>
  <w:num w:numId="4">
    <w:abstractNumId w:val="14"/>
  </w:num>
  <w:num w:numId="5">
    <w:abstractNumId w:val="8"/>
  </w:num>
  <w:num w:numId="6">
    <w:abstractNumId w:val="13"/>
  </w:num>
  <w:num w:numId="7">
    <w:abstractNumId w:val="10"/>
  </w:num>
  <w:num w:numId="8">
    <w:abstractNumId w:val="9"/>
  </w:num>
  <w:num w:numId="9">
    <w:abstractNumId w:val="7"/>
  </w:num>
  <w:num w:numId="10">
    <w:abstractNumId w:val="11"/>
  </w:num>
  <w:num w:numId="11">
    <w:abstractNumId w:val="2"/>
  </w:num>
  <w:num w:numId="12">
    <w:abstractNumId w:val="15"/>
  </w:num>
  <w:num w:numId="13">
    <w:abstractNumId w:val="0"/>
  </w:num>
  <w:num w:numId="14">
    <w:abstractNumId w:val="12"/>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g0ODc4ZDA3MDE4NTg3MzBiMTIxNjFiOWE4NDRjMTEifQ=="/>
    <w:docVar w:name="KSO_WPS_MARK_KEY" w:val="8c65dd22-4d82-4d31-b75b-53720aed48d3"/>
  </w:docVars>
  <w:rsids>
    <w:rsidRoot w:val="00526C25"/>
    <w:rsid w:val="001119DC"/>
    <w:rsid w:val="002316EC"/>
    <w:rsid w:val="0039570A"/>
    <w:rsid w:val="004556E4"/>
    <w:rsid w:val="00486AA4"/>
    <w:rsid w:val="00526C25"/>
    <w:rsid w:val="005B5B57"/>
    <w:rsid w:val="00625427"/>
    <w:rsid w:val="006C356C"/>
    <w:rsid w:val="006F6736"/>
    <w:rsid w:val="00700E81"/>
    <w:rsid w:val="00707A5B"/>
    <w:rsid w:val="00751D2F"/>
    <w:rsid w:val="007D2750"/>
    <w:rsid w:val="009B0E81"/>
    <w:rsid w:val="009C7B45"/>
    <w:rsid w:val="00A55524"/>
    <w:rsid w:val="00B36622"/>
    <w:rsid w:val="00B42CFF"/>
    <w:rsid w:val="00D021F9"/>
    <w:rsid w:val="00D50AA6"/>
    <w:rsid w:val="00D71527"/>
    <w:rsid w:val="00D8053F"/>
    <w:rsid w:val="00E2252E"/>
    <w:rsid w:val="00FD6F46"/>
    <w:rsid w:val="018A0C09"/>
    <w:rsid w:val="02182B7A"/>
    <w:rsid w:val="023E381C"/>
    <w:rsid w:val="02DC3A64"/>
    <w:rsid w:val="02EE583E"/>
    <w:rsid w:val="03144974"/>
    <w:rsid w:val="033755DF"/>
    <w:rsid w:val="0374413D"/>
    <w:rsid w:val="0416490C"/>
    <w:rsid w:val="0442443D"/>
    <w:rsid w:val="04952D5C"/>
    <w:rsid w:val="05926AFC"/>
    <w:rsid w:val="06CC4290"/>
    <w:rsid w:val="06FF11EC"/>
    <w:rsid w:val="0700480F"/>
    <w:rsid w:val="07A812AF"/>
    <w:rsid w:val="07E36B32"/>
    <w:rsid w:val="081B102B"/>
    <w:rsid w:val="089F1C5C"/>
    <w:rsid w:val="08B07371"/>
    <w:rsid w:val="0B0103CA"/>
    <w:rsid w:val="0D0D4265"/>
    <w:rsid w:val="0D3606B5"/>
    <w:rsid w:val="0E6F532A"/>
    <w:rsid w:val="0E885A78"/>
    <w:rsid w:val="0F3550C8"/>
    <w:rsid w:val="0F593DA4"/>
    <w:rsid w:val="10340020"/>
    <w:rsid w:val="112D0F7E"/>
    <w:rsid w:val="121D0DB5"/>
    <w:rsid w:val="135D7434"/>
    <w:rsid w:val="152C4AA7"/>
    <w:rsid w:val="156A5103"/>
    <w:rsid w:val="16291416"/>
    <w:rsid w:val="17463BEB"/>
    <w:rsid w:val="17B8171D"/>
    <w:rsid w:val="17C66928"/>
    <w:rsid w:val="1A330456"/>
    <w:rsid w:val="1B2740E4"/>
    <w:rsid w:val="1C477673"/>
    <w:rsid w:val="1D504EEA"/>
    <w:rsid w:val="1DDC5928"/>
    <w:rsid w:val="1E636E30"/>
    <w:rsid w:val="1FCB3953"/>
    <w:rsid w:val="203C3D41"/>
    <w:rsid w:val="204C024A"/>
    <w:rsid w:val="20B10D70"/>
    <w:rsid w:val="20C0309E"/>
    <w:rsid w:val="20D125B9"/>
    <w:rsid w:val="20F4313D"/>
    <w:rsid w:val="214C5518"/>
    <w:rsid w:val="225F185A"/>
    <w:rsid w:val="22C460D9"/>
    <w:rsid w:val="230E441A"/>
    <w:rsid w:val="267152C9"/>
    <w:rsid w:val="26F9046B"/>
    <w:rsid w:val="27EB6814"/>
    <w:rsid w:val="28595472"/>
    <w:rsid w:val="28B718EB"/>
    <w:rsid w:val="2BE444D6"/>
    <w:rsid w:val="2C0F5939"/>
    <w:rsid w:val="2DC41503"/>
    <w:rsid w:val="30514444"/>
    <w:rsid w:val="313A7EC4"/>
    <w:rsid w:val="323E1654"/>
    <w:rsid w:val="32684FBD"/>
    <w:rsid w:val="32946997"/>
    <w:rsid w:val="32FE52B7"/>
    <w:rsid w:val="33665354"/>
    <w:rsid w:val="344572AC"/>
    <w:rsid w:val="346E05B1"/>
    <w:rsid w:val="348373E1"/>
    <w:rsid w:val="36D6068F"/>
    <w:rsid w:val="374A67DA"/>
    <w:rsid w:val="37C116E8"/>
    <w:rsid w:val="391F4B95"/>
    <w:rsid w:val="3B0C4680"/>
    <w:rsid w:val="3B8B7C9A"/>
    <w:rsid w:val="3BCE2C98"/>
    <w:rsid w:val="3C14459A"/>
    <w:rsid w:val="3C3A346E"/>
    <w:rsid w:val="3E9E0FD5"/>
    <w:rsid w:val="3F483DFB"/>
    <w:rsid w:val="40F130F5"/>
    <w:rsid w:val="410F4ECA"/>
    <w:rsid w:val="414E0C31"/>
    <w:rsid w:val="42100EF9"/>
    <w:rsid w:val="42154434"/>
    <w:rsid w:val="42A47A6F"/>
    <w:rsid w:val="42B010D9"/>
    <w:rsid w:val="42C66261"/>
    <w:rsid w:val="4340580E"/>
    <w:rsid w:val="434F77FF"/>
    <w:rsid w:val="44501A81"/>
    <w:rsid w:val="454964D0"/>
    <w:rsid w:val="45535713"/>
    <w:rsid w:val="45EE0F6A"/>
    <w:rsid w:val="463226AB"/>
    <w:rsid w:val="484868C7"/>
    <w:rsid w:val="4968234C"/>
    <w:rsid w:val="4ADB406F"/>
    <w:rsid w:val="4AE97B73"/>
    <w:rsid w:val="4C9D6EF2"/>
    <w:rsid w:val="4F7F1336"/>
    <w:rsid w:val="50FF0ED4"/>
    <w:rsid w:val="51E0522C"/>
    <w:rsid w:val="52315FC4"/>
    <w:rsid w:val="552D182B"/>
    <w:rsid w:val="55CE45EF"/>
    <w:rsid w:val="55E30DFA"/>
    <w:rsid w:val="55F67FAE"/>
    <w:rsid w:val="57646FB3"/>
    <w:rsid w:val="59567B9C"/>
    <w:rsid w:val="595E5986"/>
    <w:rsid w:val="59725B9E"/>
    <w:rsid w:val="5AFC6067"/>
    <w:rsid w:val="5D0D64B9"/>
    <w:rsid w:val="5F427DC1"/>
    <w:rsid w:val="5F856785"/>
    <w:rsid w:val="60F8198A"/>
    <w:rsid w:val="61592E27"/>
    <w:rsid w:val="64B820CB"/>
    <w:rsid w:val="64F07602"/>
    <w:rsid w:val="658E7A69"/>
    <w:rsid w:val="65AA6F5C"/>
    <w:rsid w:val="67B014F5"/>
    <w:rsid w:val="67D21DD7"/>
    <w:rsid w:val="6808195F"/>
    <w:rsid w:val="682C3B53"/>
    <w:rsid w:val="693469CC"/>
    <w:rsid w:val="6A140A4D"/>
    <w:rsid w:val="6A753031"/>
    <w:rsid w:val="6B7E4BFD"/>
    <w:rsid w:val="6C005149"/>
    <w:rsid w:val="6C2E6451"/>
    <w:rsid w:val="6D0F6349"/>
    <w:rsid w:val="6D223A3F"/>
    <w:rsid w:val="6E8F3691"/>
    <w:rsid w:val="70045C19"/>
    <w:rsid w:val="7148395C"/>
    <w:rsid w:val="72721643"/>
    <w:rsid w:val="72E64D9E"/>
    <w:rsid w:val="7581743D"/>
    <w:rsid w:val="75937C8C"/>
    <w:rsid w:val="77BF11BB"/>
    <w:rsid w:val="78904DC1"/>
    <w:rsid w:val="795F5CE7"/>
    <w:rsid w:val="7A1940E8"/>
    <w:rsid w:val="7B9277F2"/>
    <w:rsid w:val="7C4A67DB"/>
    <w:rsid w:val="7D513B99"/>
    <w:rsid w:val="7E3314F0"/>
    <w:rsid w:val="7F126899"/>
    <w:rsid w:val="7FA653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line="576" w:lineRule="auto"/>
      <w:outlineLvl w:val="0"/>
    </w:pPr>
    <w:rPr>
      <w:b/>
      <w:bCs/>
      <w:kern w:val="44"/>
      <w:sz w:val="44"/>
      <w:szCs w:val="44"/>
    </w:rPr>
  </w:style>
  <w:style w:type="paragraph" w:styleId="4">
    <w:name w:val="heading 2"/>
    <w:basedOn w:val="1"/>
    <w:next w:val="1"/>
    <w:qFormat/>
    <w:uiPriority w:val="0"/>
    <w:pPr>
      <w:keepNext/>
      <w:keepLines/>
      <w:spacing w:line="413" w:lineRule="auto"/>
      <w:outlineLvl w:val="1"/>
    </w:pPr>
    <w:rPr>
      <w:rFonts w:ascii="Arial" w:hAnsi="Arial" w:eastAsia="黑体"/>
      <w:b/>
      <w:bCs/>
      <w:sz w:val="32"/>
      <w:szCs w:val="32"/>
    </w:rPr>
  </w:style>
  <w:style w:type="paragraph" w:styleId="5">
    <w:name w:val="heading 3"/>
    <w:basedOn w:val="1"/>
    <w:next w:val="1"/>
    <w:qFormat/>
    <w:uiPriority w:val="0"/>
    <w:pPr>
      <w:keepNext/>
      <w:keepLines/>
      <w:spacing w:line="413" w:lineRule="auto"/>
      <w:outlineLvl w:val="2"/>
    </w:pPr>
    <w:rPr>
      <w:b/>
      <w:bCs/>
      <w:sz w:val="32"/>
      <w:szCs w:val="32"/>
    </w:rPr>
  </w:style>
  <w:style w:type="paragraph" w:styleId="6">
    <w:name w:val="heading 4"/>
    <w:basedOn w:val="1"/>
    <w:next w:val="1"/>
    <w:qFormat/>
    <w:uiPriority w:val="0"/>
    <w:pPr>
      <w:keepNext/>
      <w:keepLines/>
      <w:widowControl/>
      <w:spacing w:line="360" w:lineRule="auto"/>
      <w:jc w:val="center"/>
      <w:outlineLvl w:val="3"/>
    </w:pPr>
    <w:rPr>
      <w:rFonts w:ascii="Arial" w:hAnsi="Arial" w:eastAsia="黑体"/>
      <w:kern w:val="0"/>
      <w:sz w:val="28"/>
    </w:rPr>
  </w:style>
  <w:style w:type="paragraph" w:styleId="7">
    <w:name w:val="heading 5"/>
    <w:basedOn w:val="1"/>
    <w:next w:val="1"/>
    <w:qFormat/>
    <w:uiPriority w:val="0"/>
    <w:pPr>
      <w:keepNext/>
      <w:keepLines/>
      <w:widowControl/>
      <w:spacing w:line="360" w:lineRule="auto"/>
      <w:ind w:firstLine="499"/>
      <w:jc w:val="left"/>
      <w:outlineLvl w:val="4"/>
    </w:pPr>
    <w:rPr>
      <w:rFonts w:ascii="宋体" w:hAnsi="宋体"/>
      <w:b/>
      <w:kern w:val="0"/>
      <w:sz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_Style 3"/>
    <w:next w:val="1"/>
    <w:qFormat/>
    <w:uiPriority w:val="1"/>
    <w:pPr>
      <w:widowControl w:val="0"/>
      <w:jc w:val="both"/>
    </w:pPr>
    <w:rPr>
      <w:rFonts w:ascii="Times New Roman" w:hAnsi="Times New Roman" w:eastAsia="宋体" w:cs="Times New Roman"/>
      <w:kern w:val="2"/>
      <w:sz w:val="21"/>
      <w:szCs w:val="22"/>
      <w:lang w:val="en-US" w:eastAsia="zh-CN" w:bidi="ar-SA"/>
    </w:rPr>
  </w:style>
  <w:style w:type="paragraph" w:styleId="8">
    <w:name w:val="Normal Indent"/>
    <w:basedOn w:val="1"/>
    <w:qFormat/>
    <w:uiPriority w:val="0"/>
    <w:pPr>
      <w:jc w:val="center"/>
    </w:pPr>
    <w:rPr>
      <w:szCs w:val="21"/>
    </w:rPr>
  </w:style>
  <w:style w:type="paragraph" w:styleId="9">
    <w:name w:val="caption"/>
    <w:basedOn w:val="1"/>
    <w:next w:val="1"/>
    <w:qFormat/>
    <w:uiPriority w:val="0"/>
    <w:pPr>
      <w:spacing w:line="480" w:lineRule="auto"/>
    </w:pPr>
    <w:rPr>
      <w:rFonts w:ascii="华文中宋" w:hAnsi="华文中宋" w:eastAsia="华文中宋"/>
      <w:sz w:val="36"/>
    </w:rPr>
  </w:style>
  <w:style w:type="paragraph" w:styleId="10">
    <w:name w:val="toa heading"/>
    <w:basedOn w:val="1"/>
    <w:next w:val="1"/>
    <w:qFormat/>
    <w:uiPriority w:val="99"/>
    <w:pPr>
      <w:adjustRightInd w:val="0"/>
      <w:spacing w:before="200" w:line="360" w:lineRule="atLeast"/>
      <w:jc w:val="center"/>
      <w:textAlignment w:val="baseline"/>
    </w:pPr>
    <w:rPr>
      <w:rFonts w:ascii="Arial" w:hAnsi="Arial" w:eastAsia="黑体"/>
      <w:kern w:val="0"/>
      <w:sz w:val="44"/>
    </w:rPr>
  </w:style>
  <w:style w:type="paragraph" w:styleId="11">
    <w:name w:val="annotation text"/>
    <w:basedOn w:val="1"/>
    <w:link w:val="41"/>
    <w:qFormat/>
    <w:uiPriority w:val="0"/>
    <w:pPr>
      <w:jc w:val="left"/>
    </w:pPr>
  </w:style>
  <w:style w:type="paragraph" w:styleId="12">
    <w:name w:val="Body Text"/>
    <w:basedOn w:val="1"/>
    <w:next w:val="1"/>
    <w:qFormat/>
    <w:uiPriority w:val="0"/>
    <w:pPr>
      <w:spacing w:line="360" w:lineRule="auto"/>
    </w:pPr>
    <w:rPr>
      <w:spacing w:val="10"/>
      <w:sz w:val="28"/>
    </w:rPr>
  </w:style>
  <w:style w:type="paragraph" w:styleId="13">
    <w:name w:val="Body Text Indent"/>
    <w:basedOn w:val="1"/>
    <w:next w:val="14"/>
    <w:qFormat/>
    <w:uiPriority w:val="99"/>
    <w:pPr>
      <w:autoSpaceDE w:val="0"/>
      <w:autoSpaceDN w:val="0"/>
      <w:adjustRightInd w:val="0"/>
      <w:spacing w:line="312" w:lineRule="auto"/>
      <w:ind w:firstLine="680"/>
      <w:textAlignment w:val="bottom"/>
    </w:pPr>
    <w:rPr>
      <w:rFonts w:ascii="宋体"/>
      <w:spacing w:val="6"/>
      <w:kern w:val="0"/>
      <w:sz w:val="28"/>
    </w:rPr>
  </w:style>
  <w:style w:type="paragraph" w:styleId="14">
    <w:name w:val="header"/>
    <w:basedOn w:val="1"/>
    <w:next w:val="15"/>
    <w:qFormat/>
    <w:uiPriority w:val="0"/>
    <w:pPr>
      <w:pBdr>
        <w:bottom w:val="single" w:color="auto" w:sz="6" w:space="1"/>
      </w:pBdr>
      <w:tabs>
        <w:tab w:val="center" w:pos="4153"/>
        <w:tab w:val="right" w:pos="8306"/>
      </w:tabs>
      <w:snapToGrid w:val="0"/>
      <w:jc w:val="center"/>
    </w:pPr>
    <w:rPr>
      <w:sz w:val="18"/>
      <w:szCs w:val="18"/>
    </w:rPr>
  </w:style>
  <w:style w:type="paragraph" w:styleId="15">
    <w:name w:val="Date"/>
    <w:basedOn w:val="1"/>
    <w:next w:val="1"/>
    <w:qFormat/>
    <w:uiPriority w:val="0"/>
  </w:style>
  <w:style w:type="paragraph" w:styleId="16">
    <w:name w:val="toc 3"/>
    <w:basedOn w:val="1"/>
    <w:next w:val="1"/>
    <w:qFormat/>
    <w:uiPriority w:val="39"/>
    <w:pPr>
      <w:tabs>
        <w:tab w:val="right" w:leader="dot" w:pos="9628"/>
      </w:tabs>
      <w:ind w:left="567" w:leftChars="270"/>
    </w:pPr>
  </w:style>
  <w:style w:type="paragraph" w:styleId="17">
    <w:name w:val="Plain Text"/>
    <w:basedOn w:val="1"/>
    <w:qFormat/>
    <w:uiPriority w:val="0"/>
    <w:rPr>
      <w:rFonts w:ascii="宋体" w:hAnsi="Courier New" w:cs="Courier New"/>
      <w:szCs w:val="21"/>
    </w:rPr>
  </w:style>
  <w:style w:type="paragraph" w:styleId="18">
    <w:name w:val="Body Text Indent 2"/>
    <w:basedOn w:val="1"/>
    <w:qFormat/>
    <w:uiPriority w:val="0"/>
    <w:pPr>
      <w:widowControl/>
      <w:overflowPunct w:val="0"/>
      <w:autoSpaceDE w:val="0"/>
      <w:autoSpaceDN w:val="0"/>
      <w:adjustRightInd w:val="0"/>
      <w:spacing w:line="360" w:lineRule="auto"/>
      <w:ind w:firstLine="555"/>
    </w:pPr>
    <w:rPr>
      <w:rFonts w:ascii="宋体" w:hAnsi="MS Sans Serif"/>
      <w:spacing w:val="12"/>
      <w:kern w:val="0"/>
      <w:sz w:val="24"/>
    </w:rPr>
  </w:style>
  <w:style w:type="paragraph" w:styleId="19">
    <w:name w:val="Balloon Text"/>
    <w:basedOn w:val="1"/>
    <w:link w:val="39"/>
    <w:qFormat/>
    <w:uiPriority w:val="0"/>
    <w:rPr>
      <w:sz w:val="18"/>
      <w:szCs w:val="18"/>
    </w:rPr>
  </w:style>
  <w:style w:type="paragraph" w:styleId="20">
    <w:name w:val="footer"/>
    <w:basedOn w:val="1"/>
    <w:link w:val="40"/>
    <w:qFormat/>
    <w:uiPriority w:val="0"/>
    <w:pPr>
      <w:tabs>
        <w:tab w:val="center" w:pos="4153"/>
        <w:tab w:val="right" w:pos="8306"/>
      </w:tabs>
      <w:snapToGrid w:val="0"/>
      <w:jc w:val="left"/>
    </w:pPr>
    <w:rPr>
      <w:sz w:val="18"/>
      <w:szCs w:val="18"/>
    </w:rPr>
  </w:style>
  <w:style w:type="paragraph" w:styleId="21">
    <w:name w:val="toc 1"/>
    <w:basedOn w:val="1"/>
    <w:next w:val="1"/>
    <w:qFormat/>
    <w:uiPriority w:val="39"/>
  </w:style>
  <w:style w:type="paragraph" w:styleId="22">
    <w:name w:val="Body Text Indent 3"/>
    <w:basedOn w:val="1"/>
    <w:qFormat/>
    <w:uiPriority w:val="0"/>
    <w:pPr>
      <w:widowControl/>
      <w:overflowPunct w:val="0"/>
      <w:autoSpaceDE w:val="0"/>
      <w:autoSpaceDN w:val="0"/>
      <w:adjustRightInd w:val="0"/>
      <w:spacing w:line="360" w:lineRule="auto"/>
      <w:ind w:firstLine="540"/>
    </w:pPr>
    <w:rPr>
      <w:rFonts w:ascii="宋体" w:hAnsi="MS Sans Serif"/>
      <w:color w:val="000000"/>
      <w:kern w:val="0"/>
      <w:sz w:val="24"/>
    </w:rPr>
  </w:style>
  <w:style w:type="paragraph" w:styleId="23">
    <w:name w:val="toc 2"/>
    <w:basedOn w:val="24"/>
    <w:next w:val="24"/>
    <w:qFormat/>
    <w:uiPriority w:val="0"/>
    <w:pPr>
      <w:ind w:left="420" w:leftChars="200"/>
    </w:pPr>
  </w:style>
  <w:style w:type="paragraph" w:customStyle="1" w:styleId="24">
    <w:name w:val="Normal_0"/>
    <w:next w:val="23"/>
    <w:qFormat/>
    <w:uiPriority w:val="0"/>
    <w:rPr>
      <w:rFonts w:ascii="Times New Roman" w:hAnsi="Times New Roman" w:eastAsia="宋体" w:cs="Times New Roman"/>
      <w:sz w:val="24"/>
      <w:szCs w:val="24"/>
      <w:lang w:val="en-US" w:eastAsia="zh-CN" w:bidi="ar-SA"/>
    </w:rPr>
  </w:style>
  <w:style w:type="paragraph" w:styleId="25">
    <w:name w:val="Normal (Web)"/>
    <w:basedOn w:val="1"/>
    <w:qFormat/>
    <w:uiPriority w:val="0"/>
    <w:rPr>
      <w:sz w:val="24"/>
      <w:szCs w:val="24"/>
    </w:rPr>
  </w:style>
  <w:style w:type="paragraph" w:styleId="26">
    <w:name w:val="annotation subject"/>
    <w:basedOn w:val="11"/>
    <w:next w:val="11"/>
    <w:link w:val="42"/>
    <w:qFormat/>
    <w:uiPriority w:val="0"/>
    <w:rPr>
      <w:b/>
      <w:bCs/>
    </w:rPr>
  </w:style>
  <w:style w:type="paragraph" w:styleId="27">
    <w:name w:val="Body Text First Indent 2"/>
    <w:basedOn w:val="13"/>
    <w:qFormat/>
    <w:uiPriority w:val="99"/>
    <w:pPr>
      <w:autoSpaceDE/>
      <w:autoSpaceDN/>
      <w:spacing w:after="120" w:line="360" w:lineRule="atLeast"/>
      <w:ind w:left="420" w:firstLine="210"/>
      <w:jc w:val="left"/>
      <w:textAlignment w:val="baseline"/>
    </w:pPr>
    <w:rPr>
      <w:rFonts w:ascii="Times New Roman"/>
      <w:spacing w:val="0"/>
      <w:sz w:val="24"/>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Hyperlink"/>
    <w:qFormat/>
    <w:uiPriority w:val="99"/>
    <w:rPr>
      <w:rFonts w:ascii="Times New Roman" w:hAnsi="Times New Roman" w:eastAsia="宋体" w:cs="Times New Roman"/>
      <w:color w:val="0000FF"/>
      <w:u w:val="single"/>
    </w:rPr>
  </w:style>
  <w:style w:type="character" w:styleId="32">
    <w:name w:val="annotation reference"/>
    <w:basedOn w:val="30"/>
    <w:qFormat/>
    <w:uiPriority w:val="0"/>
    <w:rPr>
      <w:sz w:val="21"/>
      <w:szCs w:val="21"/>
    </w:rPr>
  </w:style>
  <w:style w:type="paragraph" w:customStyle="1" w:styleId="33">
    <w:name w:val="样式 标题 3 + (中文) 黑体 小四 非加粗 段前: 7.8 磅 段后: 0 磅 行距: 固定值 20 磅"/>
    <w:basedOn w:val="5"/>
    <w:next w:val="34"/>
    <w:qFormat/>
    <w:uiPriority w:val="0"/>
    <w:pPr>
      <w:spacing w:line="400" w:lineRule="exact"/>
    </w:pPr>
    <w:rPr>
      <w:rFonts w:eastAsia="黑体" w:cs="宋体"/>
      <w:b w:val="0"/>
      <w:szCs w:val="20"/>
    </w:rPr>
  </w:style>
  <w:style w:type="paragraph" w:customStyle="1" w:styleId="34">
    <w:name w:val="font7"/>
    <w:basedOn w:val="4"/>
    <w:next w:val="16"/>
    <w:qFormat/>
    <w:uiPriority w:val="0"/>
    <w:pPr>
      <w:widowControl/>
      <w:spacing w:before="280" w:after="280" w:line="240" w:lineRule="auto"/>
      <w:ind w:left="3584" w:firstLine="4"/>
      <w:outlineLvl w:val="0"/>
    </w:pPr>
  </w:style>
  <w:style w:type="paragraph" w:customStyle="1" w:styleId="35">
    <w:name w:val="_Style 151"/>
    <w:basedOn w:val="1"/>
    <w:qFormat/>
    <w:uiPriority w:val="0"/>
    <w:pPr>
      <w:ind w:firstLine="420" w:firstLineChars="200"/>
    </w:pPr>
    <w:rPr>
      <w:szCs w:val="24"/>
    </w:rPr>
  </w:style>
  <w:style w:type="paragraph" w:customStyle="1" w:styleId="36">
    <w:name w:val="123"/>
    <w:basedOn w:val="1"/>
    <w:qFormat/>
    <w:uiPriority w:val="0"/>
    <w:pPr>
      <w:numPr>
        <w:ilvl w:val="1"/>
        <w:numId w:val="1"/>
      </w:numPr>
    </w:pPr>
    <w:rPr>
      <w:bCs/>
      <w:szCs w:val="24"/>
    </w:rPr>
  </w:style>
  <w:style w:type="paragraph" w:customStyle="1" w:styleId="37">
    <w:name w:val="_Style 1"/>
    <w:basedOn w:val="1"/>
    <w:qFormat/>
    <w:uiPriority w:val="0"/>
    <w:pPr>
      <w:ind w:firstLine="420" w:firstLineChars="200"/>
    </w:pPr>
    <w:rPr>
      <w:szCs w:val="24"/>
    </w:rPr>
  </w:style>
  <w:style w:type="paragraph" w:customStyle="1" w:styleId="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9">
    <w:name w:val="批注框文本 Char"/>
    <w:basedOn w:val="30"/>
    <w:link w:val="19"/>
    <w:qFormat/>
    <w:uiPriority w:val="0"/>
    <w:rPr>
      <w:kern w:val="2"/>
      <w:sz w:val="18"/>
      <w:szCs w:val="18"/>
    </w:rPr>
  </w:style>
  <w:style w:type="character" w:customStyle="1" w:styleId="40">
    <w:name w:val="页脚 Char"/>
    <w:basedOn w:val="30"/>
    <w:link w:val="20"/>
    <w:qFormat/>
    <w:uiPriority w:val="0"/>
    <w:rPr>
      <w:kern w:val="2"/>
      <w:sz w:val="18"/>
      <w:szCs w:val="18"/>
    </w:rPr>
  </w:style>
  <w:style w:type="character" w:customStyle="1" w:styleId="41">
    <w:name w:val="批注文字 Char"/>
    <w:basedOn w:val="30"/>
    <w:link w:val="11"/>
    <w:qFormat/>
    <w:uiPriority w:val="0"/>
    <w:rPr>
      <w:kern w:val="2"/>
      <w:sz w:val="21"/>
    </w:rPr>
  </w:style>
  <w:style w:type="character" w:customStyle="1" w:styleId="42">
    <w:name w:val="批注主题 Char"/>
    <w:basedOn w:val="41"/>
    <w:link w:val="26"/>
    <w:qFormat/>
    <w:uiPriority w:val="0"/>
    <w:rPr>
      <w:b/>
      <w:bCs/>
    </w:rPr>
  </w:style>
  <w:style w:type="paragraph" w:customStyle="1" w:styleId="43">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表头"/>
    <w:basedOn w:val="1"/>
    <w:qFormat/>
    <w:uiPriority w:val="0"/>
    <w:pPr>
      <w:adjustRightInd w:val="0"/>
      <w:snapToGrid w:val="0"/>
      <w:spacing w:line="312" w:lineRule="auto"/>
      <w:jc w:val="center"/>
      <w:textAlignment w:val="baseline"/>
    </w:pPr>
    <w:rPr>
      <w:rFonts w:ascii="黑体" w:eastAsia="黑体"/>
      <w:b/>
      <w:color w:val="000000"/>
      <w:spacing w:val="6"/>
      <w:kern w:val="0"/>
      <w:sz w:val="32"/>
    </w:rPr>
  </w:style>
  <w:style w:type="paragraph" w:styleId="45">
    <w:name w:val="No Spacing"/>
    <w:qFormat/>
    <w:uiPriority w:val="1"/>
    <w:rPr>
      <w:rFonts w:ascii="Calibri" w:hAnsi="Calibri" w:eastAsia="宋体" w:cs="Times New Roman"/>
      <w:sz w:val="22"/>
      <w:szCs w:val="22"/>
      <w:lang w:val="en-US" w:eastAsia="zh-CN" w:bidi="ar-SA"/>
    </w:rPr>
  </w:style>
  <w:style w:type="paragraph" w:customStyle="1" w:styleId="46">
    <w:name w:val="yzh-正文段落"/>
    <w:basedOn w:val="12"/>
    <w:qFormat/>
    <w:uiPriority w:val="0"/>
    <w:pPr>
      <w:adjustRightInd w:val="0"/>
      <w:snapToGrid w:val="0"/>
      <w:ind w:left="735" w:leftChars="350" w:firstLine="480" w:firstLineChars="200"/>
      <w:textAlignment w:val="center"/>
    </w:pPr>
    <w:rPr>
      <w:rFonts w:ascii="宋体" w:hAnsi="宋体"/>
      <w:snapToGrid w:val="0"/>
      <w:spacing w:val="0"/>
      <w:sz w:val="24"/>
      <w:szCs w:val="24"/>
    </w:rPr>
  </w:style>
  <w:style w:type="paragraph" w:customStyle="1" w:styleId="47">
    <w:name w:val="yzh-款"/>
    <w:basedOn w:val="1"/>
    <w:next w:val="46"/>
    <w:qFormat/>
    <w:uiPriority w:val="0"/>
    <w:pPr>
      <w:adjustRightInd w:val="0"/>
      <w:snapToGrid w:val="0"/>
      <w:spacing w:line="480" w:lineRule="auto"/>
      <w:jc w:val="left"/>
      <w:textAlignment w:val="center"/>
      <w:outlineLvl w:val="3"/>
    </w:pPr>
    <w:rPr>
      <w:rFonts w:ascii="宋体" w:hAnsi="宋体" w:eastAsia="黑体"/>
      <w:b/>
      <w:kern w:val="0"/>
      <w:sz w:val="24"/>
      <w:szCs w:val="24"/>
      <w:shd w:val="clear" w:color="auto" w:fill="FFFFFF"/>
    </w:rPr>
  </w:style>
  <w:style w:type="paragraph" w:customStyle="1" w:styleId="48">
    <w:name w:val="Table Paragraph"/>
    <w:basedOn w:val="24"/>
    <w:qFormat/>
    <w:uiPriority w:val="1"/>
    <w:pPr>
      <w:autoSpaceDE w:val="0"/>
      <w:autoSpaceDN w:val="0"/>
    </w:pPr>
    <w:rPr>
      <w:rFonts w:ascii="宋体" w:hAnsi="宋体" w:cs="宋体"/>
      <w:sz w:val="22"/>
      <w:szCs w:val="22"/>
      <w:lang w:eastAsia="en-US"/>
    </w:rPr>
  </w:style>
  <w:style w:type="paragraph" w:customStyle="1" w:styleId="49">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楷体_GB2312" w:hAnsi="宋体" w:eastAsia="楷体_GB2312"/>
      <w:kern w:val="0"/>
      <w:sz w:val="24"/>
    </w:rPr>
  </w:style>
  <w:style w:type="paragraph" w:customStyle="1" w:styleId="50">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
    <w:name w:val="wmf"/>
    <w:basedOn w:val="1"/>
    <w:qFormat/>
    <w:uiPriority w:val="0"/>
    <w:pPr>
      <w:adjustRightInd w:val="0"/>
      <w:ind w:left="350" w:leftChars="350" w:firstLine="200" w:firstLineChars="200"/>
      <w:textAlignment w:val="baseline"/>
    </w:pPr>
    <w:rPr>
      <w:rFonts w:ascii="宋体" w:hAnsi="Abadi MT Condensed Light"/>
      <w:spacing w:val="6"/>
      <w:kern w:val="0"/>
      <w:sz w:val="24"/>
      <w:szCs w:val="24"/>
    </w:rPr>
  </w:style>
  <w:style w:type="table" w:customStyle="1" w:styleId="52">
    <w:name w:val="Table Normal"/>
    <w:semiHidden/>
    <w:unhideWhenUsed/>
    <w:qFormat/>
    <w:uiPriority w:val="0"/>
    <w:tblPr>
      <w:tblCellMar>
        <w:top w:w="0" w:type="dxa"/>
        <w:left w:w="0" w:type="dxa"/>
        <w:bottom w:w="0" w:type="dxa"/>
        <w:right w:w="0" w:type="dxa"/>
      </w:tblCellMar>
    </w:tblPr>
  </w:style>
  <w:style w:type="paragraph" w:customStyle="1" w:styleId="53">
    <w:name w:val="Table Text"/>
    <w:basedOn w:val="1"/>
    <w:semiHidden/>
    <w:qFormat/>
    <w:uiPriority w:val="0"/>
    <w:rPr>
      <w:rFonts w:ascii="宋体" w:hAnsi="宋体" w:cs="宋体"/>
      <w:sz w:val="19"/>
      <w:szCs w:val="19"/>
      <w:lang w:eastAsia="en-US"/>
    </w:rPr>
  </w:style>
  <w:style w:type="paragraph" w:customStyle="1" w:styleId="54">
    <w:name w:val="方案正文"/>
    <w:basedOn w:val="1"/>
    <w:qFormat/>
    <w:uiPriority w:val="0"/>
    <w:pPr>
      <w:topLinePunct/>
      <w:adjustRightInd w:val="0"/>
      <w:snapToGrid w:val="0"/>
    </w:pPr>
  </w:style>
  <w:style w:type="paragraph" w:customStyle="1" w:styleId="55">
    <w:name w:val="中交理工正文"/>
    <w:basedOn w:val="1"/>
    <w:qFormat/>
    <w:uiPriority w:val="0"/>
    <w:pPr>
      <w:spacing w:beforeLines="50"/>
      <w:ind w:firstLine="200" w:firstLineChars="200"/>
    </w:pPr>
    <w:rPr>
      <w:rFonts w:ascii="华文中宋" w:hAnsi="华文中宋" w:eastAsia="华文中宋"/>
      <w:sz w:val="24"/>
    </w:rPr>
  </w:style>
  <w:style w:type="paragraph" w:customStyle="1" w:styleId="56">
    <w:name w:val="招标正文"/>
    <w:basedOn w:val="1"/>
    <w:qFormat/>
    <w:uiPriority w:val="0"/>
    <w:pPr>
      <w:widowControl/>
      <w:adjustRightInd w:val="0"/>
      <w:snapToGrid w:val="0"/>
      <w:spacing w:line="360" w:lineRule="auto"/>
      <w:ind w:firstLine="200" w:firstLineChars="200"/>
    </w:pPr>
    <w:rPr>
      <w:rFonts w:hAnsi="宋体"/>
      <w:snapToGrid w:val="0"/>
      <w:kern w:val="24"/>
      <w:sz w:val="24"/>
      <w:szCs w:val="21"/>
    </w:rPr>
  </w:style>
  <w:style w:type="paragraph" w:customStyle="1" w:styleId="57">
    <w:name w:val="标书正文"/>
    <w:basedOn w:val="1"/>
    <w:qFormat/>
    <w:uiPriority w:val="0"/>
    <w:pPr>
      <w:spacing w:line="360" w:lineRule="auto"/>
      <w:ind w:firstLine="200" w:firstLineChars="200"/>
    </w:pPr>
    <w:rPr>
      <w:spacing w:val="1"/>
      <w:kern w:val="0"/>
      <w:sz w:val="24"/>
      <w:szCs w:val="24"/>
    </w:rPr>
  </w:style>
  <w:style w:type="character" w:customStyle="1" w:styleId="58">
    <w:name w:val="正文文本 Char"/>
    <w:basedOn w:val="30"/>
    <w:qFormat/>
    <w:uiPriority w:val="0"/>
    <w:rPr>
      <w:rFonts w:ascii="Times New Roman" w:hAnsi="Times New Roman" w:eastAsia="宋体" w:cs="Times New Roman"/>
      <w:szCs w:val="20"/>
    </w:rPr>
  </w:style>
  <w:style w:type="paragraph" w:customStyle="1" w:styleId="59">
    <w:name w:val="首行缩进"/>
    <w:basedOn w:val="1"/>
    <w:qFormat/>
    <w:uiPriority w:val="99"/>
    <w:pPr>
      <w:ind w:firstLine="480" w:firstLineChars="200"/>
    </w:pPr>
    <w:rPr>
      <w:rFonts w:ascii="Calibri" w:hAnsi="Calibri"/>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9"/>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0B16B9-F48B-4156-BEB9-98ED92727D9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105</Pages>
  <Words>11302</Words>
  <Characters>12738</Characters>
  <Lines>111</Lines>
  <Paragraphs>122</Paragraphs>
  <TotalTime>100</TotalTime>
  <ScaleCrop>false</ScaleCrop>
  <LinksUpToDate>false</LinksUpToDate>
  <CharactersWithSpaces>12954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2022-11-01T09:02:00Z</dcterms:created>
  <dc:creator>Administrator</dc:creator>
  <cp:lastModifiedBy>小艳儿</cp:lastModifiedBy>
  <cp:lastPrinted>2025-05-21T05:41:19Z</cp:lastPrinted>
  <dcterms:modified xsi:type="dcterms:W3CDTF">2025-05-21T06:57:14Z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22674E27666E490DA1A6DC685745B0DF_13</vt:lpwstr>
  </property>
  <property fmtid="{D5CDD505-2E9C-101B-9397-08002B2CF9AE}" pid="4" name="KSOTemplateDocerSaveRecord">
    <vt:lpwstr>eyJoZGlkIjoiNDRiNmYzMTM0YjgwYTY4YmJjMzcyNGE3Y2U1OTMwZTUiLCJ1c2VySWQiOiI0NjUxODUyNDgifQ==</vt:lpwstr>
  </property>
</Properties>
</file>