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64D40">
      <w:pPr>
        <w:spacing w:line="540" w:lineRule="exact"/>
        <w:ind w:firstLine="1600" w:firstLineChars="500"/>
        <w:rPr>
          <w:rFonts w:hint="eastAsia" w:ascii="宋体" w:hAnsi="宋体" w:eastAsia="宋体"/>
          <w:color w:val="auto"/>
          <w:sz w:val="32"/>
          <w:szCs w:val="32"/>
          <w:highlight w:val="none"/>
          <w:u w:val="none"/>
          <w:lang w:eastAsia="zh-CN"/>
        </w:rPr>
      </w:pPr>
    </w:p>
    <w:p w14:paraId="18CA0278">
      <w:pPr>
        <w:spacing w:line="540" w:lineRule="exact"/>
        <w:ind w:firstLine="1600" w:firstLineChars="500"/>
        <w:rPr>
          <w:rFonts w:ascii="宋体" w:hAnsi="宋体"/>
          <w:color w:val="auto"/>
          <w:sz w:val="32"/>
          <w:szCs w:val="32"/>
          <w:highlight w:val="none"/>
          <w:u w:val="none"/>
        </w:rPr>
      </w:pPr>
    </w:p>
    <w:p w14:paraId="4B2ED331">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ascii="宋体" w:hAnsi="宋体"/>
          <w:color w:val="auto"/>
          <w:szCs w:val="21"/>
          <w:highlight w:val="none"/>
          <w:u w:val="none"/>
        </w:rPr>
      </w:pPr>
      <w:r>
        <w:rPr>
          <w:rFonts w:hint="eastAsia" w:ascii="Arial" w:hAnsi="Arial" w:cs="Arial"/>
          <w:b/>
          <w:bCs/>
          <w:color w:val="auto"/>
          <w:sz w:val="32"/>
          <w:szCs w:val="32"/>
          <w:highlight w:val="none"/>
          <w:u w:val="none"/>
          <w:lang w:eastAsia="zh-CN"/>
        </w:rPr>
        <w:t>营口国盛轩宇产业开发建设有限公司清洁能源高端装备制造产业基地基础设施配套项目（一标段）EPC工程总承包</w:t>
      </w:r>
    </w:p>
    <w:p w14:paraId="581F0512">
      <w:pPr>
        <w:spacing w:line="460" w:lineRule="exact"/>
        <w:ind w:firstLine="437"/>
        <w:rPr>
          <w:rFonts w:ascii="宋体" w:hAnsi="宋体"/>
          <w:color w:val="auto"/>
          <w:szCs w:val="21"/>
          <w:highlight w:val="none"/>
          <w:u w:val="none"/>
        </w:rPr>
      </w:pPr>
    </w:p>
    <w:p w14:paraId="5E3CA01C">
      <w:pPr>
        <w:spacing w:line="540" w:lineRule="exact"/>
        <w:rPr>
          <w:rFonts w:ascii="宋体" w:hAnsi="宋体"/>
          <w:color w:val="auto"/>
          <w:szCs w:val="21"/>
          <w:highlight w:val="none"/>
          <w:u w:val="none"/>
        </w:rPr>
      </w:pPr>
    </w:p>
    <w:p w14:paraId="22AD3D02">
      <w:pPr>
        <w:spacing w:line="540" w:lineRule="exact"/>
        <w:rPr>
          <w:rFonts w:ascii="宋体" w:hAnsi="宋体"/>
          <w:color w:val="auto"/>
          <w:szCs w:val="21"/>
          <w:highlight w:val="none"/>
          <w:u w:val="none"/>
        </w:rPr>
      </w:pPr>
    </w:p>
    <w:p w14:paraId="46526E52">
      <w:pPr>
        <w:jc w:val="center"/>
        <w:rPr>
          <w:rFonts w:ascii="黑体" w:hAnsi="宋体" w:eastAsia="黑体"/>
          <w:color w:val="auto"/>
          <w:sz w:val="72"/>
          <w:szCs w:val="72"/>
          <w:highlight w:val="none"/>
          <w:u w:val="none"/>
        </w:rPr>
      </w:pPr>
      <w:r>
        <w:rPr>
          <w:rFonts w:hint="eastAsia" w:ascii="黑体" w:hAnsi="宋体" w:eastAsia="黑体"/>
          <w:color w:val="auto"/>
          <w:sz w:val="72"/>
          <w:szCs w:val="72"/>
          <w:highlight w:val="none"/>
          <w:u w:val="none"/>
        </w:rPr>
        <w:t>招 标 文 件</w:t>
      </w:r>
    </w:p>
    <w:p w14:paraId="2199D74D">
      <w:pPr>
        <w:spacing w:line="540" w:lineRule="exact"/>
        <w:rPr>
          <w:rFonts w:ascii="黑体" w:eastAsia="黑体"/>
          <w:color w:val="auto"/>
          <w:sz w:val="28"/>
          <w:szCs w:val="28"/>
          <w:highlight w:val="none"/>
          <w:u w:val="none"/>
        </w:rPr>
      </w:pPr>
    </w:p>
    <w:p w14:paraId="48142AEE">
      <w:pPr>
        <w:spacing w:line="540" w:lineRule="exact"/>
        <w:ind w:left="0" w:leftChars="0"/>
        <w:jc w:val="center"/>
        <w:rPr>
          <w:rFonts w:ascii="宋体" w:hAnsi="宋体"/>
          <w:color w:val="auto"/>
          <w:szCs w:val="21"/>
          <w:highlight w:val="none"/>
          <w:u w:val="none"/>
        </w:rPr>
      </w:pPr>
      <w:r>
        <w:rPr>
          <w:rFonts w:hint="eastAsia" w:ascii="黑体" w:eastAsia="黑体"/>
          <w:color w:val="auto"/>
          <w:sz w:val="28"/>
          <w:szCs w:val="28"/>
          <w:highlight w:val="none"/>
          <w:u w:val="none"/>
        </w:rPr>
        <w:t>（标段唯一标识码：</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08A99BF7">
      <w:pPr>
        <w:spacing w:line="540" w:lineRule="exact"/>
        <w:ind w:left="0" w:leftChars="0"/>
        <w:jc w:val="center"/>
        <w:rPr>
          <w:rFonts w:hint="eastAsia" w:ascii="黑体" w:eastAsia="黑体"/>
          <w:color w:val="auto"/>
          <w:sz w:val="28"/>
          <w:szCs w:val="28"/>
          <w:highlight w:val="none"/>
          <w:u w:val="none"/>
        </w:rPr>
      </w:pPr>
      <w:r>
        <w:rPr>
          <w:rFonts w:hint="eastAsia" w:ascii="黑体" w:eastAsia="黑体"/>
          <w:color w:val="auto"/>
          <w:sz w:val="28"/>
          <w:szCs w:val="28"/>
          <w:highlight w:val="none"/>
          <w:u w:val="none"/>
        </w:rPr>
        <w:t>（标段编号：</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34BA32C1">
      <w:pPr>
        <w:spacing w:line="540" w:lineRule="exact"/>
        <w:ind w:firstLine="437"/>
        <w:rPr>
          <w:rFonts w:ascii="宋体" w:hAnsi="宋体"/>
          <w:color w:val="auto"/>
          <w:szCs w:val="21"/>
          <w:highlight w:val="none"/>
          <w:u w:val="none"/>
        </w:rPr>
      </w:pPr>
    </w:p>
    <w:p w14:paraId="32F8289B">
      <w:pPr>
        <w:spacing w:line="540" w:lineRule="exact"/>
        <w:ind w:firstLine="437"/>
        <w:rPr>
          <w:rFonts w:ascii="宋体" w:hAnsi="宋体"/>
          <w:color w:val="auto"/>
          <w:szCs w:val="21"/>
          <w:highlight w:val="none"/>
          <w:u w:val="none"/>
        </w:rPr>
      </w:pPr>
    </w:p>
    <w:p w14:paraId="40F2F385">
      <w:pPr>
        <w:spacing w:line="540" w:lineRule="exact"/>
        <w:ind w:firstLine="437"/>
        <w:rPr>
          <w:rFonts w:ascii="宋体" w:hAnsi="宋体"/>
          <w:color w:val="auto"/>
          <w:szCs w:val="21"/>
          <w:highlight w:val="none"/>
          <w:u w:val="none"/>
        </w:rPr>
      </w:pPr>
    </w:p>
    <w:p w14:paraId="2EDCCC46">
      <w:pPr>
        <w:spacing w:line="540" w:lineRule="exact"/>
        <w:ind w:firstLine="437"/>
        <w:rPr>
          <w:rFonts w:ascii="宋体" w:hAnsi="宋体"/>
          <w:color w:val="auto"/>
          <w:szCs w:val="21"/>
          <w:highlight w:val="none"/>
          <w:u w:val="none"/>
        </w:rPr>
      </w:pPr>
    </w:p>
    <w:p w14:paraId="147AD36D">
      <w:pPr>
        <w:spacing w:line="540" w:lineRule="exact"/>
        <w:ind w:firstLine="437"/>
        <w:rPr>
          <w:rFonts w:ascii="宋体" w:hAnsi="宋体"/>
          <w:color w:val="auto"/>
          <w:szCs w:val="21"/>
          <w:highlight w:val="none"/>
          <w:u w:val="none"/>
        </w:rPr>
      </w:pPr>
    </w:p>
    <w:p w14:paraId="6D05D671">
      <w:pPr>
        <w:spacing w:line="540" w:lineRule="exact"/>
        <w:ind w:firstLine="437"/>
        <w:rPr>
          <w:rFonts w:ascii="宋体" w:hAnsi="宋体"/>
          <w:color w:val="auto"/>
          <w:szCs w:val="21"/>
          <w:highlight w:val="none"/>
          <w:u w:val="none"/>
        </w:rPr>
      </w:pPr>
    </w:p>
    <w:p w14:paraId="5E3E0E0A">
      <w:pPr>
        <w:spacing w:line="540" w:lineRule="exact"/>
        <w:ind w:firstLine="437"/>
        <w:rPr>
          <w:rFonts w:ascii="宋体" w:hAnsi="宋体"/>
          <w:color w:val="auto"/>
          <w:szCs w:val="21"/>
          <w:highlight w:val="none"/>
          <w:u w:val="none"/>
        </w:rPr>
      </w:pPr>
    </w:p>
    <w:p w14:paraId="568CADC2">
      <w:pPr>
        <w:spacing w:line="360" w:lineRule="auto"/>
        <w:jc w:val="center"/>
        <w:rPr>
          <w:rFonts w:hint="eastAsia" w:ascii="黑体" w:hAnsi="黑体" w:eastAsia="黑体"/>
          <w:color w:val="auto"/>
          <w:sz w:val="28"/>
          <w:szCs w:val="28"/>
          <w:highlight w:val="none"/>
          <w:u w:val="none"/>
          <w:lang w:eastAsia="zh-CN"/>
        </w:rPr>
      </w:pPr>
      <w:r>
        <w:rPr>
          <w:rFonts w:hint="eastAsia" w:ascii="黑体" w:hAnsi="黑体" w:eastAsia="黑体"/>
          <w:color w:val="auto"/>
          <w:sz w:val="28"/>
          <w:szCs w:val="28"/>
          <w:highlight w:val="none"/>
          <w:u w:val="none"/>
        </w:rPr>
        <w:t>招标人</w:t>
      </w:r>
      <w:r>
        <w:rPr>
          <w:rFonts w:hint="eastAsia" w:ascii="黑体" w:hAnsi="黑体" w:eastAsia="黑体"/>
          <w:color w:val="auto"/>
          <w:sz w:val="28"/>
          <w:szCs w:val="28"/>
          <w:highlight w:val="none"/>
          <w:u w:val="none"/>
          <w:lang w:eastAsia="zh-CN"/>
        </w:rPr>
        <w:t>：</w:t>
      </w:r>
      <w:r>
        <w:rPr>
          <w:rFonts w:hint="eastAsia" w:ascii="黑体" w:hAnsi="黑体" w:eastAsia="黑体"/>
          <w:color w:val="auto"/>
          <w:sz w:val="28"/>
          <w:szCs w:val="28"/>
          <w:highlight w:val="none"/>
          <w:u w:val="none"/>
        </w:rPr>
        <w:t>营口国盛</w:t>
      </w:r>
      <w:r>
        <w:rPr>
          <w:rFonts w:hint="eastAsia" w:ascii="黑体" w:hAnsi="黑体" w:eastAsia="黑体"/>
          <w:color w:val="auto"/>
          <w:sz w:val="28"/>
          <w:szCs w:val="28"/>
          <w:highlight w:val="none"/>
          <w:u w:val="none"/>
          <w:lang w:val="en-US" w:eastAsia="zh-CN"/>
        </w:rPr>
        <w:t>轩宇</w:t>
      </w:r>
      <w:r>
        <w:rPr>
          <w:rFonts w:hint="eastAsia" w:ascii="黑体" w:hAnsi="黑体" w:eastAsia="黑体"/>
          <w:color w:val="auto"/>
          <w:sz w:val="28"/>
          <w:szCs w:val="28"/>
          <w:highlight w:val="none"/>
          <w:u w:val="none"/>
        </w:rPr>
        <w:t>产业开发建设有限公司（盖章）</w:t>
      </w:r>
    </w:p>
    <w:p w14:paraId="4950082A">
      <w:pPr>
        <w:spacing w:line="360" w:lineRule="auto"/>
        <w:jc w:val="center"/>
        <w:rPr>
          <w:rFonts w:ascii="黑体" w:hAnsi="黑体" w:eastAsia="黑体"/>
          <w:color w:val="auto"/>
          <w:sz w:val="28"/>
          <w:szCs w:val="28"/>
          <w:highlight w:val="none"/>
          <w:u w:val="none"/>
        </w:rPr>
      </w:pPr>
      <w:r>
        <w:rPr>
          <w:rFonts w:hint="eastAsia" w:ascii="黑体" w:hAnsi="黑体" w:eastAsia="黑体"/>
          <w:color w:val="auto"/>
          <w:sz w:val="28"/>
          <w:szCs w:val="28"/>
          <w:highlight w:val="none"/>
          <w:u w:val="none"/>
        </w:rPr>
        <w:t>招标代理机构：辽宁咨发工程招标咨询服务有限公司（盖章）</w:t>
      </w:r>
    </w:p>
    <w:p w14:paraId="75642610">
      <w:pPr>
        <w:spacing w:line="360" w:lineRule="auto"/>
        <w:jc w:val="center"/>
        <w:rPr>
          <w:rFonts w:ascii="黑体" w:hAnsi="黑体" w:eastAsia="黑体"/>
          <w:color w:val="auto"/>
          <w:sz w:val="28"/>
          <w:szCs w:val="28"/>
          <w:highlight w:val="none"/>
          <w:u w:val="none"/>
        </w:rPr>
      </w:pPr>
    </w:p>
    <w:p w14:paraId="297724CE">
      <w:pPr>
        <w:jc w:val="center"/>
        <w:rPr>
          <w:color w:val="auto"/>
          <w:highlight w:val="none"/>
          <w:u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olor w:val="auto"/>
          <w:sz w:val="28"/>
          <w:szCs w:val="28"/>
          <w:highlight w:val="none"/>
          <w:u w:val="none"/>
        </w:rPr>
        <w:t>日    期：2025年0</w:t>
      </w:r>
      <w:r>
        <w:rPr>
          <w:rFonts w:hint="eastAsia" w:ascii="黑体" w:hAnsi="黑体" w:eastAsia="黑体"/>
          <w:color w:val="auto"/>
          <w:sz w:val="28"/>
          <w:szCs w:val="28"/>
          <w:highlight w:val="none"/>
          <w:u w:val="none"/>
          <w:lang w:val="en-US" w:eastAsia="zh-CN"/>
        </w:rPr>
        <w:t>5</w:t>
      </w:r>
      <w:r>
        <w:rPr>
          <w:rFonts w:hint="eastAsia" w:ascii="黑体" w:hAnsi="黑体" w:eastAsia="黑体"/>
          <w:color w:val="auto"/>
          <w:sz w:val="28"/>
          <w:szCs w:val="28"/>
          <w:highlight w:val="none"/>
          <w:u w:val="none"/>
        </w:rPr>
        <w:t>月</w:t>
      </w:r>
      <w:r>
        <w:rPr>
          <w:rFonts w:hint="eastAsia" w:ascii="黑体" w:hAnsi="黑体" w:eastAsia="黑体"/>
          <w:color w:val="auto"/>
          <w:sz w:val="28"/>
          <w:szCs w:val="28"/>
          <w:highlight w:val="none"/>
          <w:u w:val="none"/>
          <w:lang w:val="en-US" w:eastAsia="zh-CN"/>
        </w:rPr>
        <w:t xml:space="preserve">  </w:t>
      </w:r>
      <w:r>
        <w:rPr>
          <w:rFonts w:hint="eastAsia" w:ascii="黑体" w:hAnsi="黑体" w:eastAsia="黑体"/>
          <w:color w:val="auto"/>
          <w:sz w:val="28"/>
          <w:szCs w:val="28"/>
          <w:highlight w:val="none"/>
          <w:u w:val="none"/>
        </w:rPr>
        <w:t>日</w:t>
      </w:r>
    </w:p>
    <w:p w14:paraId="07543A28">
      <w:pPr>
        <w:jc w:val="center"/>
        <w:rPr>
          <w:rFonts w:eastAsia="宋体"/>
          <w:b/>
          <w:color w:val="auto"/>
          <w:sz w:val="44"/>
          <w:highlight w:val="none"/>
        </w:rPr>
      </w:pPr>
      <w:bookmarkStart w:id="0" w:name="tableContents"/>
      <w:r>
        <w:rPr>
          <w:rFonts w:eastAsia="宋体"/>
          <w:b/>
          <w:color w:val="auto"/>
          <w:sz w:val="44"/>
          <w:highlight w:val="none"/>
        </w:rPr>
        <w:t>目录</w:t>
      </w:r>
    </w:p>
    <w:p w14:paraId="5099B30D">
      <w:pPr>
        <w:pStyle w:val="17"/>
        <w:tabs>
          <w:tab w:val="right" w:leader="dot" w:pos="8296"/>
        </w:tabs>
        <w:rPr>
          <w:rFonts w:asciiTheme="minorHAnsi" w:hAnsiTheme="minorHAnsi"/>
          <w:b w:val="0"/>
          <w:bCs w:val="0"/>
          <w:color w:val="auto"/>
          <w:sz w:val="22"/>
          <w:highlight w:val="none"/>
        </w:rPr>
      </w:pPr>
      <w:r>
        <w:rPr>
          <w:rFonts w:eastAsia="宋体"/>
          <w:b w:val="0"/>
          <w:bCs w:val="0"/>
          <w:color w:val="auto"/>
          <w:sz w:val="44"/>
          <w:highlight w:val="none"/>
        </w:rPr>
        <w:fldChar w:fldCharType="begin"/>
      </w:r>
      <w:r>
        <w:rPr>
          <w:rFonts w:eastAsia="宋体"/>
          <w:b w:val="0"/>
          <w:bCs w:val="0"/>
          <w:color w:val="auto"/>
          <w:sz w:val="44"/>
          <w:highlight w:val="none"/>
        </w:rPr>
        <w:instrText xml:space="preserve">TOC \o "1-3" \h \z \u</w:instrText>
      </w:r>
      <w:r>
        <w:rPr>
          <w:rFonts w:eastAsia="宋体"/>
          <w:b w:val="0"/>
          <w:bCs w:val="0"/>
          <w:color w:val="auto"/>
          <w:sz w:val="44"/>
          <w:highlight w:val="none"/>
        </w:rPr>
        <w:fldChar w:fldCharType="separate"/>
      </w:r>
      <w:r>
        <w:rPr>
          <w:b w:val="0"/>
          <w:bCs w:val="0"/>
          <w:color w:val="auto"/>
          <w:highlight w:val="none"/>
        </w:rPr>
        <w:fldChar w:fldCharType="begin"/>
      </w:r>
      <w:r>
        <w:rPr>
          <w:b w:val="0"/>
          <w:bCs w:val="0"/>
          <w:color w:val="auto"/>
          <w:highlight w:val="none"/>
        </w:rPr>
        <w:instrText xml:space="preserve"> HYPERLINK \l "_Toc256000000" </w:instrText>
      </w:r>
      <w:r>
        <w:rPr>
          <w:b w:val="0"/>
          <w:bCs w:val="0"/>
          <w:color w:val="auto"/>
          <w:highlight w:val="none"/>
        </w:rPr>
        <w:fldChar w:fldCharType="separate"/>
      </w:r>
      <w:r>
        <w:rPr>
          <w:rStyle w:val="28"/>
          <w:rFonts w:hint="eastAsia" w:ascii="黑体" w:hAnsi="黑体" w:eastAsia="黑体"/>
          <w:b w:val="0"/>
          <w:bCs w:val="0"/>
          <w:color w:val="auto"/>
          <w:highlight w:val="none"/>
        </w:rPr>
        <w:t>第一卷</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_Toc256000000 \h </w:instrText>
      </w:r>
      <w:r>
        <w:rPr>
          <w:b w:val="0"/>
          <w:bCs w:val="0"/>
          <w:color w:val="auto"/>
          <w:highlight w:val="none"/>
        </w:rPr>
        <w:fldChar w:fldCharType="separate"/>
      </w:r>
      <w:r>
        <w:rPr>
          <w:b w:val="0"/>
          <w:bCs w:val="0"/>
          <w:color w:val="auto"/>
          <w:highlight w:val="none"/>
        </w:rPr>
        <w:t>1</w:t>
      </w:r>
      <w:r>
        <w:rPr>
          <w:b w:val="0"/>
          <w:bCs w:val="0"/>
          <w:color w:val="auto"/>
          <w:highlight w:val="none"/>
        </w:rPr>
        <w:fldChar w:fldCharType="end"/>
      </w:r>
      <w:r>
        <w:rPr>
          <w:b w:val="0"/>
          <w:bCs w:val="0"/>
          <w:color w:val="auto"/>
          <w:highlight w:val="none"/>
        </w:rPr>
        <w:fldChar w:fldCharType="end"/>
      </w:r>
    </w:p>
    <w:p w14:paraId="3B227095">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"_Toc256000001" </w:instrText>
      </w:r>
      <w:r>
        <w:rPr>
          <w:b w:val="0"/>
          <w:bCs w:val="0"/>
          <w:color w:val="auto"/>
          <w:highlight w:val="none"/>
        </w:rPr>
        <w:fldChar w:fldCharType="separate"/>
      </w:r>
      <w:r>
        <w:rPr>
          <w:rStyle w:val="28"/>
          <w:rFonts w:hint="eastAsia" w:ascii="黑体" w:hAnsi="黑体" w:eastAsia="黑体"/>
          <w:b w:val="0"/>
          <w:bCs w:val="0"/>
          <w:color w:val="auto"/>
          <w:highlight w:val="none"/>
        </w:rPr>
        <w:t>第一章  招标公告</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_Toc256000001 \h </w:instrText>
      </w:r>
      <w:r>
        <w:rPr>
          <w:b w:val="0"/>
          <w:bCs w:val="0"/>
          <w:color w:val="auto"/>
          <w:highlight w:val="none"/>
        </w:rPr>
        <w:fldChar w:fldCharType="separate"/>
      </w:r>
      <w:r>
        <w:rPr>
          <w:b w:val="0"/>
          <w:bCs w:val="0"/>
          <w:color w:val="auto"/>
          <w:highlight w:val="none"/>
        </w:rPr>
        <w:t>2</w:t>
      </w:r>
      <w:r>
        <w:rPr>
          <w:b w:val="0"/>
          <w:bCs w:val="0"/>
          <w:color w:val="auto"/>
          <w:highlight w:val="none"/>
        </w:rPr>
        <w:fldChar w:fldCharType="end"/>
      </w:r>
      <w:r>
        <w:rPr>
          <w:b w:val="0"/>
          <w:bCs w:val="0"/>
          <w:color w:val="auto"/>
          <w:highlight w:val="none"/>
        </w:rPr>
        <w:fldChar w:fldCharType="end"/>
      </w:r>
    </w:p>
    <w:p w14:paraId="5986BFC0">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"_Toc256000002" </w:instrText>
      </w:r>
      <w:r>
        <w:rPr>
          <w:b w:val="0"/>
          <w:bCs w:val="0"/>
          <w:color w:val="auto"/>
          <w:highlight w:val="none"/>
        </w:rPr>
        <w:fldChar w:fldCharType="separate"/>
      </w:r>
      <w:r>
        <w:rPr>
          <w:rStyle w:val="28"/>
          <w:rFonts w:ascii="黑体" w:hAnsi="黑体" w:eastAsia="黑体"/>
          <w:b w:val="0"/>
          <w:bCs w:val="0"/>
          <w:color w:val="auto"/>
          <w:highlight w:val="none"/>
        </w:rPr>
        <w:t>第</w:t>
      </w:r>
      <w:r>
        <w:rPr>
          <w:rStyle w:val="28"/>
          <w:rFonts w:hint="eastAsia" w:ascii="黑体" w:hAnsi="黑体" w:eastAsia="黑体"/>
          <w:b w:val="0"/>
          <w:bCs w:val="0"/>
          <w:color w:val="auto"/>
          <w:highlight w:val="none"/>
        </w:rPr>
        <w:t>二</w:t>
      </w:r>
      <w:r>
        <w:rPr>
          <w:rStyle w:val="28"/>
          <w:rFonts w:ascii="黑体" w:hAnsi="黑体" w:eastAsia="黑体"/>
          <w:b w:val="0"/>
          <w:bCs w:val="0"/>
          <w:color w:val="auto"/>
          <w:highlight w:val="none"/>
        </w:rPr>
        <w:t>章</w:t>
      </w:r>
      <w:r>
        <w:rPr>
          <w:rStyle w:val="28"/>
          <w:rFonts w:hint="eastAsia" w:ascii="黑体" w:hAnsi="黑体" w:eastAsia="黑体"/>
          <w:b w:val="0"/>
          <w:bCs w:val="0"/>
          <w:color w:val="auto"/>
          <w:highlight w:val="none"/>
        </w:rPr>
        <w:t xml:space="preserve">  投标人须知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_Toc256000002 \h </w:instrText>
      </w:r>
      <w:r>
        <w:rPr>
          <w:b w:val="0"/>
          <w:bCs w:val="0"/>
          <w:color w:val="auto"/>
          <w:highlight w:val="none"/>
        </w:rPr>
        <w:fldChar w:fldCharType="separate"/>
      </w:r>
      <w:r>
        <w:rPr>
          <w:b w:val="0"/>
          <w:bCs w:val="0"/>
          <w:color w:val="auto"/>
          <w:highlight w:val="none"/>
        </w:rPr>
        <w:t>6</w:t>
      </w:r>
      <w:r>
        <w:rPr>
          <w:b w:val="0"/>
          <w:bCs w:val="0"/>
          <w:color w:val="auto"/>
          <w:highlight w:val="none"/>
        </w:rPr>
        <w:fldChar w:fldCharType="end"/>
      </w:r>
      <w:r>
        <w:rPr>
          <w:b w:val="0"/>
          <w:bCs w:val="0"/>
          <w:color w:val="auto"/>
          <w:highlight w:val="none"/>
        </w:rPr>
        <w:fldChar w:fldCharType="end"/>
      </w:r>
    </w:p>
    <w:p w14:paraId="361983F9">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"_Toc256000003" </w:instrText>
      </w:r>
      <w:r>
        <w:rPr>
          <w:b w:val="0"/>
          <w:bCs w:val="0"/>
          <w:color w:val="auto"/>
          <w:highlight w:val="none"/>
        </w:rPr>
        <w:fldChar w:fldCharType="separate"/>
      </w:r>
      <w:r>
        <w:rPr>
          <w:rStyle w:val="28"/>
          <w:rFonts w:hint="eastAsia"/>
          <w:b w:val="0"/>
          <w:bCs w:val="0"/>
          <w:color w:val="auto"/>
          <w:highlight w:val="none"/>
        </w:rPr>
        <w:t>投标人须知前附表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_Toc256000003 \h </w:instrText>
      </w:r>
      <w:r>
        <w:rPr>
          <w:b w:val="0"/>
          <w:bCs w:val="0"/>
          <w:color w:val="auto"/>
          <w:highlight w:val="none"/>
        </w:rPr>
        <w:fldChar w:fldCharType="separate"/>
      </w:r>
      <w:r>
        <w:rPr>
          <w:b w:val="0"/>
          <w:bCs w:val="0"/>
          <w:color w:val="auto"/>
          <w:highlight w:val="none"/>
        </w:rPr>
        <w:t>7</w:t>
      </w:r>
      <w:r>
        <w:rPr>
          <w:b w:val="0"/>
          <w:bCs w:val="0"/>
          <w:color w:val="auto"/>
          <w:highlight w:val="none"/>
        </w:rPr>
        <w:fldChar w:fldCharType="end"/>
      </w:r>
      <w:r>
        <w:rPr>
          <w:b w:val="0"/>
          <w:bCs w:val="0"/>
          <w:color w:val="auto"/>
          <w:highlight w:val="none"/>
        </w:rPr>
        <w:fldChar w:fldCharType="end"/>
      </w:r>
    </w:p>
    <w:p w14:paraId="5E4DE093">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"_Toc256000004" </w:instrText>
      </w:r>
      <w:r>
        <w:rPr>
          <w:b w:val="0"/>
          <w:bCs w:val="0"/>
          <w:color w:val="auto"/>
          <w:highlight w:val="none"/>
        </w:rPr>
        <w:fldChar w:fldCharType="separate"/>
      </w:r>
      <w:r>
        <w:rPr>
          <w:rStyle w:val="28"/>
          <w:rFonts w:cs="Times New Roman"/>
          <w:b w:val="0"/>
          <w:bCs w:val="0"/>
          <w:color w:val="auto"/>
          <w:highlight w:val="none"/>
        </w:rPr>
        <w:t>投标人须知正文部分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_Toc256000004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2159DC0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"_Toc256000005" </w:instrText>
      </w:r>
      <w:r>
        <w:rPr>
          <w:b w:val="0"/>
          <w:bCs w:val="0"/>
          <w:color w:val="auto"/>
          <w:highlight w:val="none"/>
        </w:rPr>
        <w:fldChar w:fldCharType="separate"/>
      </w:r>
      <w:r>
        <w:rPr>
          <w:rStyle w:val="28"/>
          <w:rFonts w:cs="Times New Roman"/>
          <w:b w:val="0"/>
          <w:bCs w:val="0"/>
          <w:color w:val="auto"/>
          <w:highlight w:val="none"/>
        </w:rPr>
        <w:t>1.总则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_Toc256000005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2179F73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"_Toc256000006" </w:instrText>
      </w:r>
      <w:r>
        <w:rPr>
          <w:b w:val="0"/>
          <w:bCs w:val="0"/>
          <w:color w:val="auto"/>
          <w:highlight w:val="none"/>
        </w:rPr>
        <w:fldChar w:fldCharType="separate"/>
      </w:r>
      <w:r>
        <w:rPr>
          <w:rStyle w:val="28"/>
          <w:rFonts w:cs="Times New Roman"/>
          <w:b w:val="0"/>
          <w:bCs w:val="0"/>
          <w:color w:val="auto"/>
          <w:highlight w:val="none"/>
        </w:rPr>
        <w:t>1.1项目概况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_Toc256000006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045BE82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"_Toc256000007" </w:instrText>
      </w:r>
      <w:r>
        <w:rPr>
          <w:b w:val="0"/>
          <w:bCs w:val="0"/>
          <w:color w:val="auto"/>
          <w:highlight w:val="none"/>
        </w:rPr>
        <w:fldChar w:fldCharType="separate"/>
      </w:r>
      <w:r>
        <w:rPr>
          <w:rStyle w:val="28"/>
          <w:rFonts w:cs="Times New Roman"/>
          <w:b w:val="0"/>
          <w:bCs w:val="0"/>
          <w:color w:val="auto"/>
          <w:highlight w:val="none"/>
        </w:rPr>
        <w:t>1.2 项目的资金来源和落实情况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_Toc256000007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5ECA53B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"_Toc256000008" </w:instrText>
      </w:r>
      <w:r>
        <w:rPr>
          <w:b w:val="0"/>
          <w:bCs w:val="0"/>
          <w:color w:val="auto"/>
          <w:highlight w:val="none"/>
        </w:rPr>
        <w:fldChar w:fldCharType="separate"/>
      </w:r>
      <w:r>
        <w:rPr>
          <w:rStyle w:val="28"/>
          <w:rFonts w:cs="Times New Roman"/>
          <w:b w:val="0"/>
          <w:bCs w:val="0"/>
          <w:color w:val="auto"/>
          <w:highlight w:val="none"/>
        </w:rPr>
        <w:t>1.3 招标范围、计划工期和质量标准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_Toc256000008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7F784A34">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"_Toc256000009" </w:instrText>
      </w:r>
      <w:r>
        <w:rPr>
          <w:b w:val="0"/>
          <w:bCs w:val="0"/>
          <w:color w:val="auto"/>
          <w:highlight w:val="none"/>
        </w:rPr>
        <w:fldChar w:fldCharType="separate"/>
      </w:r>
      <w:r>
        <w:rPr>
          <w:rStyle w:val="28"/>
          <w:rFonts w:cs="Times New Roman"/>
          <w:b w:val="0"/>
          <w:bCs w:val="0"/>
          <w:color w:val="auto"/>
          <w:highlight w:val="none"/>
        </w:rPr>
        <w:t>1.4 投标人资格要求（适用于已进行资格预审的）</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_Toc256000009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5E74373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"_Toc256000010" </w:instrText>
      </w:r>
      <w:r>
        <w:rPr>
          <w:b w:val="0"/>
          <w:bCs w:val="0"/>
          <w:color w:val="auto"/>
          <w:highlight w:val="none"/>
        </w:rPr>
        <w:fldChar w:fldCharType="separate"/>
      </w:r>
      <w:r>
        <w:rPr>
          <w:rStyle w:val="28"/>
          <w:rFonts w:cs="Times New Roman"/>
          <w:b w:val="0"/>
          <w:bCs w:val="0"/>
          <w:color w:val="auto"/>
          <w:highlight w:val="none"/>
        </w:rPr>
        <w:t>1.4 投标人资格要求（适用于未进行资格预审的）</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_Toc256000010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b w:val="0"/>
          <w:bCs w:val="0"/>
          <w:color w:val="auto"/>
          <w:highlight w:val="none"/>
        </w:rPr>
        <w:fldChar w:fldCharType="end"/>
      </w:r>
    </w:p>
    <w:p w14:paraId="21571DC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"_Toc256000011" </w:instrText>
      </w:r>
      <w:r>
        <w:rPr>
          <w:b w:val="0"/>
          <w:bCs w:val="0"/>
          <w:color w:val="auto"/>
          <w:highlight w:val="none"/>
        </w:rPr>
        <w:fldChar w:fldCharType="separate"/>
      </w:r>
      <w:r>
        <w:rPr>
          <w:rStyle w:val="28"/>
          <w:rFonts w:cs="Times New Roman"/>
          <w:b w:val="0"/>
          <w:bCs w:val="0"/>
          <w:color w:val="auto"/>
          <w:highlight w:val="none"/>
        </w:rPr>
        <w:t>1.5 费用承担和设计成果补偿</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_Toc256000011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0DFF23F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"_Toc256000012" </w:instrText>
      </w:r>
      <w:r>
        <w:rPr>
          <w:b w:val="0"/>
          <w:bCs w:val="0"/>
          <w:color w:val="auto"/>
          <w:highlight w:val="none"/>
        </w:rPr>
        <w:fldChar w:fldCharType="separate"/>
      </w:r>
      <w:r>
        <w:rPr>
          <w:rStyle w:val="28"/>
          <w:rFonts w:cs="Times New Roman"/>
          <w:b w:val="0"/>
          <w:bCs w:val="0"/>
          <w:color w:val="auto"/>
          <w:highlight w:val="none"/>
        </w:rPr>
        <w:t>1.6 保密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_Toc256000012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3A6D6EB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"_Toc256000013" </w:instrText>
      </w:r>
      <w:r>
        <w:rPr>
          <w:b w:val="0"/>
          <w:bCs w:val="0"/>
          <w:color w:val="auto"/>
          <w:highlight w:val="none"/>
        </w:rPr>
        <w:fldChar w:fldCharType="separate"/>
      </w:r>
      <w:r>
        <w:rPr>
          <w:rStyle w:val="28"/>
          <w:rFonts w:cs="Times New Roman"/>
          <w:b w:val="0"/>
          <w:bCs w:val="0"/>
          <w:color w:val="auto"/>
          <w:highlight w:val="none"/>
        </w:rPr>
        <w:t>1.7 语言文字</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_Toc256000013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7387A41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"_Toc256000014" </w:instrText>
      </w:r>
      <w:r>
        <w:rPr>
          <w:b w:val="0"/>
          <w:bCs w:val="0"/>
          <w:color w:val="auto"/>
          <w:highlight w:val="none"/>
        </w:rPr>
        <w:fldChar w:fldCharType="separate"/>
      </w:r>
      <w:r>
        <w:rPr>
          <w:rStyle w:val="28"/>
          <w:rFonts w:cs="Times New Roman"/>
          <w:b w:val="0"/>
          <w:bCs w:val="0"/>
          <w:color w:val="auto"/>
          <w:highlight w:val="none"/>
        </w:rPr>
        <w:t>1.8 计量单位</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_Toc256000014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0850929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"_Toc256000015" </w:instrText>
      </w:r>
      <w:r>
        <w:rPr>
          <w:b w:val="0"/>
          <w:bCs w:val="0"/>
          <w:color w:val="auto"/>
          <w:highlight w:val="none"/>
        </w:rPr>
        <w:fldChar w:fldCharType="separate"/>
      </w:r>
      <w:r>
        <w:rPr>
          <w:rStyle w:val="28"/>
          <w:rFonts w:cs="Times New Roman"/>
          <w:b w:val="0"/>
          <w:bCs w:val="0"/>
          <w:color w:val="auto"/>
          <w:highlight w:val="none"/>
        </w:rPr>
        <w:t>1.9 踏勘现场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_Toc256000015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49065E6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"_Toc256000016" </w:instrText>
      </w:r>
      <w:r>
        <w:rPr>
          <w:b w:val="0"/>
          <w:bCs w:val="0"/>
          <w:color w:val="auto"/>
          <w:highlight w:val="none"/>
        </w:rPr>
        <w:fldChar w:fldCharType="separate"/>
      </w:r>
      <w:r>
        <w:rPr>
          <w:rStyle w:val="28"/>
          <w:rFonts w:cs="Times New Roman"/>
          <w:b w:val="0"/>
          <w:bCs w:val="0"/>
          <w:color w:val="auto"/>
          <w:highlight w:val="none"/>
        </w:rPr>
        <w:t>1.10 投标预备会</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_Toc256000016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1E37F59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"_Toc256000017" </w:instrText>
      </w:r>
      <w:r>
        <w:rPr>
          <w:b w:val="0"/>
          <w:bCs w:val="0"/>
          <w:color w:val="auto"/>
          <w:highlight w:val="none"/>
        </w:rPr>
        <w:fldChar w:fldCharType="separate"/>
      </w:r>
      <w:r>
        <w:rPr>
          <w:rStyle w:val="28"/>
          <w:rFonts w:cs="Times New Roman"/>
          <w:b w:val="0"/>
          <w:bCs w:val="0"/>
          <w:color w:val="auto"/>
          <w:highlight w:val="none"/>
        </w:rPr>
        <w:t>1.11 分包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_Toc256000017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762639C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"_Toc256000018" </w:instrText>
      </w:r>
      <w:r>
        <w:rPr>
          <w:b w:val="0"/>
          <w:bCs w:val="0"/>
          <w:color w:val="auto"/>
          <w:highlight w:val="none"/>
        </w:rPr>
        <w:fldChar w:fldCharType="separate"/>
      </w:r>
      <w:r>
        <w:rPr>
          <w:rStyle w:val="28"/>
          <w:rFonts w:cs="Times New Roman"/>
          <w:b w:val="0"/>
          <w:bCs w:val="0"/>
          <w:color w:val="auto"/>
          <w:highlight w:val="none"/>
        </w:rPr>
        <w:t>1.12 偏离</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_Toc256000018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b w:val="0"/>
          <w:bCs w:val="0"/>
          <w:color w:val="auto"/>
          <w:highlight w:val="none"/>
        </w:rPr>
        <w:fldChar w:fldCharType="end"/>
      </w:r>
    </w:p>
    <w:p w14:paraId="311AB052">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"_Toc256000019" </w:instrText>
      </w:r>
      <w:r>
        <w:rPr>
          <w:b w:val="0"/>
          <w:bCs w:val="0"/>
          <w:color w:val="auto"/>
          <w:highlight w:val="none"/>
        </w:rPr>
        <w:fldChar w:fldCharType="separate"/>
      </w:r>
      <w:r>
        <w:rPr>
          <w:rStyle w:val="28"/>
          <w:rFonts w:cs="Times New Roman"/>
          <w:b w:val="0"/>
          <w:bCs w:val="0"/>
          <w:color w:val="auto"/>
          <w:highlight w:val="none"/>
        </w:rPr>
        <w:t>2. 招标文件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_Toc256000019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14:paraId="026A256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"_Toc256000020" </w:instrText>
      </w:r>
      <w:r>
        <w:rPr>
          <w:b w:val="0"/>
          <w:bCs w:val="0"/>
          <w:color w:val="auto"/>
          <w:highlight w:val="none"/>
        </w:rPr>
        <w:fldChar w:fldCharType="separate"/>
      </w:r>
      <w:r>
        <w:rPr>
          <w:rStyle w:val="28"/>
          <w:rFonts w:cs="Times New Roman"/>
          <w:b w:val="0"/>
          <w:bCs w:val="0"/>
          <w:color w:val="auto"/>
          <w:highlight w:val="none"/>
        </w:rPr>
        <w:t>2.1 招标文件的组成</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_Toc256000020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14:paraId="396EE4F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"_Toc256000021" </w:instrText>
      </w:r>
      <w:r>
        <w:rPr>
          <w:b w:val="0"/>
          <w:bCs w:val="0"/>
          <w:color w:val="auto"/>
          <w:highlight w:val="none"/>
        </w:rPr>
        <w:fldChar w:fldCharType="separate"/>
      </w:r>
      <w:r>
        <w:rPr>
          <w:rStyle w:val="28"/>
          <w:rFonts w:cs="Times New Roman"/>
          <w:b w:val="0"/>
          <w:bCs w:val="0"/>
          <w:color w:val="auto"/>
          <w:highlight w:val="none"/>
        </w:rPr>
        <w:t>2.2 招标文件的澄清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_Toc256000021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14:paraId="0FE5C0B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"_Toc256000022" </w:instrText>
      </w:r>
      <w:r>
        <w:rPr>
          <w:b w:val="0"/>
          <w:bCs w:val="0"/>
          <w:color w:val="auto"/>
          <w:highlight w:val="none"/>
        </w:rPr>
        <w:fldChar w:fldCharType="separate"/>
      </w:r>
      <w:r>
        <w:rPr>
          <w:rStyle w:val="28"/>
          <w:rFonts w:cs="Times New Roman"/>
          <w:b w:val="0"/>
          <w:bCs w:val="0"/>
          <w:color w:val="auto"/>
          <w:highlight w:val="none"/>
        </w:rPr>
        <w:t>2.3 招标文件的修改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_Toc256000022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14:paraId="4CC225C4">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"_Toc256000023" </w:instrText>
      </w:r>
      <w:r>
        <w:rPr>
          <w:b w:val="0"/>
          <w:bCs w:val="0"/>
          <w:color w:val="auto"/>
          <w:highlight w:val="none"/>
        </w:rPr>
        <w:fldChar w:fldCharType="separate"/>
      </w:r>
      <w:r>
        <w:rPr>
          <w:rStyle w:val="28"/>
          <w:rFonts w:cs="Times New Roman"/>
          <w:b w:val="0"/>
          <w:bCs w:val="0"/>
          <w:color w:val="auto"/>
          <w:highlight w:val="none"/>
        </w:rPr>
        <w:t>2.4 招标文件的异议</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_Toc256000023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14:paraId="1C22F104">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"_Toc256000024" </w:instrText>
      </w:r>
      <w:r>
        <w:rPr>
          <w:b w:val="0"/>
          <w:bCs w:val="0"/>
          <w:color w:val="auto"/>
          <w:highlight w:val="none"/>
        </w:rPr>
        <w:fldChar w:fldCharType="separate"/>
      </w:r>
      <w:r>
        <w:rPr>
          <w:rStyle w:val="28"/>
          <w:rFonts w:cs="Times New Roman"/>
          <w:b w:val="0"/>
          <w:bCs w:val="0"/>
          <w:color w:val="auto"/>
          <w:highlight w:val="none"/>
        </w:rPr>
        <w:t>3. 投标文件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_Toc256000024 \h </w:instrText>
      </w:r>
      <w:r>
        <w:rPr>
          <w:b w:val="0"/>
          <w:bCs w:val="0"/>
          <w:color w:val="auto"/>
          <w:highlight w:val="none"/>
        </w:rPr>
        <w:fldChar w:fldCharType="separate"/>
      </w:r>
      <w:r>
        <w:rPr>
          <w:b w:val="0"/>
          <w:bCs w:val="0"/>
          <w:color w:val="auto"/>
          <w:highlight w:val="none"/>
        </w:rPr>
        <w:t>27</w:t>
      </w:r>
      <w:r>
        <w:rPr>
          <w:b w:val="0"/>
          <w:bCs w:val="0"/>
          <w:color w:val="auto"/>
          <w:highlight w:val="none"/>
        </w:rPr>
        <w:fldChar w:fldCharType="end"/>
      </w:r>
      <w:r>
        <w:rPr>
          <w:b w:val="0"/>
          <w:bCs w:val="0"/>
          <w:color w:val="auto"/>
          <w:highlight w:val="none"/>
        </w:rPr>
        <w:fldChar w:fldCharType="end"/>
      </w:r>
    </w:p>
    <w:p w14:paraId="21A2296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"_Toc256000025" </w:instrText>
      </w:r>
      <w:r>
        <w:rPr>
          <w:b w:val="0"/>
          <w:bCs w:val="0"/>
          <w:color w:val="auto"/>
          <w:highlight w:val="none"/>
        </w:rPr>
        <w:fldChar w:fldCharType="separate"/>
      </w:r>
      <w:r>
        <w:rPr>
          <w:rStyle w:val="28"/>
          <w:rFonts w:cs="Times New Roman"/>
          <w:b w:val="0"/>
          <w:bCs w:val="0"/>
          <w:color w:val="auto"/>
          <w:highlight w:val="none"/>
        </w:rPr>
        <w:t>3.1 投标文件的组成</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_Toc256000025 \h </w:instrText>
      </w:r>
      <w:r>
        <w:rPr>
          <w:b w:val="0"/>
          <w:bCs w:val="0"/>
          <w:color w:val="auto"/>
          <w:highlight w:val="none"/>
        </w:rPr>
        <w:fldChar w:fldCharType="separate"/>
      </w:r>
      <w:r>
        <w:rPr>
          <w:b w:val="0"/>
          <w:bCs w:val="0"/>
          <w:color w:val="auto"/>
          <w:highlight w:val="none"/>
        </w:rPr>
        <w:t>27</w:t>
      </w:r>
      <w:r>
        <w:rPr>
          <w:b w:val="0"/>
          <w:bCs w:val="0"/>
          <w:color w:val="auto"/>
          <w:highlight w:val="none"/>
        </w:rPr>
        <w:fldChar w:fldCharType="end"/>
      </w:r>
      <w:r>
        <w:rPr>
          <w:b w:val="0"/>
          <w:bCs w:val="0"/>
          <w:color w:val="auto"/>
          <w:highlight w:val="none"/>
        </w:rPr>
        <w:fldChar w:fldCharType="end"/>
      </w:r>
    </w:p>
    <w:p w14:paraId="5603195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"_Toc256000026" </w:instrText>
      </w:r>
      <w:r>
        <w:rPr>
          <w:b w:val="0"/>
          <w:bCs w:val="0"/>
          <w:color w:val="auto"/>
          <w:highlight w:val="none"/>
        </w:rPr>
        <w:fldChar w:fldCharType="separate"/>
      </w:r>
      <w:r>
        <w:rPr>
          <w:rStyle w:val="28"/>
          <w:rFonts w:cs="Times New Roman"/>
          <w:b w:val="0"/>
          <w:bCs w:val="0"/>
          <w:color w:val="auto"/>
          <w:highlight w:val="none"/>
        </w:rPr>
        <w:t>3.2 投标报价</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_Toc256000026 \h </w:instrText>
      </w:r>
      <w:r>
        <w:rPr>
          <w:b w:val="0"/>
          <w:bCs w:val="0"/>
          <w:color w:val="auto"/>
          <w:highlight w:val="none"/>
        </w:rPr>
        <w:fldChar w:fldCharType="separate"/>
      </w:r>
      <w:r>
        <w:rPr>
          <w:b w:val="0"/>
          <w:bCs w:val="0"/>
          <w:color w:val="auto"/>
          <w:highlight w:val="none"/>
        </w:rPr>
        <w:t>27</w:t>
      </w:r>
      <w:r>
        <w:rPr>
          <w:b w:val="0"/>
          <w:bCs w:val="0"/>
          <w:color w:val="auto"/>
          <w:highlight w:val="none"/>
        </w:rPr>
        <w:fldChar w:fldCharType="end"/>
      </w:r>
      <w:r>
        <w:rPr>
          <w:b w:val="0"/>
          <w:bCs w:val="0"/>
          <w:color w:val="auto"/>
          <w:highlight w:val="none"/>
        </w:rPr>
        <w:fldChar w:fldCharType="end"/>
      </w:r>
    </w:p>
    <w:p w14:paraId="69E2783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"_Toc256000027" </w:instrText>
      </w:r>
      <w:r>
        <w:rPr>
          <w:b w:val="0"/>
          <w:bCs w:val="0"/>
          <w:color w:val="auto"/>
          <w:highlight w:val="none"/>
        </w:rPr>
        <w:fldChar w:fldCharType="separate"/>
      </w:r>
      <w:r>
        <w:rPr>
          <w:rStyle w:val="28"/>
          <w:rFonts w:cs="Times New Roman"/>
          <w:b w:val="0"/>
          <w:bCs w:val="0"/>
          <w:color w:val="auto"/>
          <w:highlight w:val="none"/>
        </w:rPr>
        <w:t>3.3 投标有效期</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_Toc256000027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14:paraId="3EAD441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"_Toc256000028" </w:instrText>
      </w:r>
      <w:r>
        <w:rPr>
          <w:b w:val="0"/>
          <w:bCs w:val="0"/>
          <w:color w:val="auto"/>
          <w:highlight w:val="none"/>
        </w:rPr>
        <w:fldChar w:fldCharType="separate"/>
      </w:r>
      <w:r>
        <w:rPr>
          <w:rStyle w:val="28"/>
          <w:rFonts w:cs="Times New Roman"/>
          <w:b w:val="0"/>
          <w:bCs w:val="0"/>
          <w:color w:val="auto"/>
          <w:highlight w:val="none"/>
        </w:rPr>
        <w:t>3.4 投标保证金</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_Toc256000028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14:paraId="369BBEC5">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"_Toc256000029" </w:instrText>
      </w:r>
      <w:r>
        <w:rPr>
          <w:b w:val="0"/>
          <w:bCs w:val="0"/>
          <w:color w:val="auto"/>
          <w:highlight w:val="none"/>
        </w:rPr>
        <w:fldChar w:fldCharType="separate"/>
      </w:r>
      <w:r>
        <w:rPr>
          <w:rStyle w:val="28"/>
          <w:rFonts w:cs="Times New Roman"/>
          <w:b w:val="0"/>
          <w:bCs w:val="0"/>
          <w:color w:val="auto"/>
          <w:highlight w:val="none"/>
        </w:rPr>
        <w:t>3.5 资格审查资料（适用于已进行资格预审的）</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_Toc256000029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14:paraId="6F28FF1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"_Toc256000030" </w:instrText>
      </w:r>
      <w:r>
        <w:rPr>
          <w:b w:val="0"/>
          <w:bCs w:val="0"/>
          <w:color w:val="auto"/>
          <w:highlight w:val="none"/>
        </w:rPr>
        <w:fldChar w:fldCharType="separate"/>
      </w:r>
      <w:r>
        <w:rPr>
          <w:rStyle w:val="28"/>
          <w:rFonts w:cs="Times New Roman"/>
          <w:b w:val="0"/>
          <w:bCs w:val="0"/>
          <w:color w:val="auto"/>
          <w:highlight w:val="none"/>
        </w:rPr>
        <w:t>3.5 资格审查资料</w:t>
      </w:r>
      <w:r>
        <w:rPr>
          <w:rStyle w:val="28"/>
          <w:rFonts w:hint="eastAsia" w:cs="Times New Roman"/>
          <w:b w:val="0"/>
          <w:bCs w:val="0"/>
          <w:color w:val="auto"/>
          <w:highlight w:val="none"/>
        </w:rPr>
        <w:t>（适用于未进行资格预审的）</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_Toc256000030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14:paraId="4E20714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"_Toc256000031" </w:instrText>
      </w:r>
      <w:r>
        <w:rPr>
          <w:b w:val="0"/>
          <w:bCs w:val="0"/>
          <w:color w:val="auto"/>
          <w:highlight w:val="none"/>
        </w:rPr>
        <w:fldChar w:fldCharType="separate"/>
      </w:r>
      <w:r>
        <w:rPr>
          <w:rStyle w:val="28"/>
          <w:rFonts w:cs="Times New Roman"/>
          <w:b w:val="0"/>
          <w:bCs w:val="0"/>
          <w:color w:val="auto"/>
          <w:highlight w:val="none"/>
        </w:rPr>
        <w:t>3.6 备选投标方案</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_Toc256000031 \h </w:instrText>
      </w:r>
      <w:r>
        <w:rPr>
          <w:b w:val="0"/>
          <w:bCs w:val="0"/>
          <w:color w:val="auto"/>
          <w:highlight w:val="none"/>
        </w:rPr>
        <w:fldChar w:fldCharType="separate"/>
      </w:r>
      <w:r>
        <w:rPr>
          <w:b w:val="0"/>
          <w:bCs w:val="0"/>
          <w:color w:val="auto"/>
          <w:highlight w:val="none"/>
        </w:rPr>
        <w:t>29</w:t>
      </w:r>
      <w:r>
        <w:rPr>
          <w:b w:val="0"/>
          <w:bCs w:val="0"/>
          <w:color w:val="auto"/>
          <w:highlight w:val="none"/>
        </w:rPr>
        <w:fldChar w:fldCharType="end"/>
      </w:r>
      <w:r>
        <w:rPr>
          <w:b w:val="0"/>
          <w:bCs w:val="0"/>
          <w:color w:val="auto"/>
          <w:highlight w:val="none"/>
        </w:rPr>
        <w:fldChar w:fldCharType="end"/>
      </w:r>
    </w:p>
    <w:p w14:paraId="1FDCDE3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"_Toc256000032" </w:instrText>
      </w:r>
      <w:r>
        <w:rPr>
          <w:b w:val="0"/>
          <w:bCs w:val="0"/>
          <w:color w:val="auto"/>
          <w:highlight w:val="none"/>
        </w:rPr>
        <w:fldChar w:fldCharType="separate"/>
      </w:r>
      <w:r>
        <w:rPr>
          <w:rStyle w:val="28"/>
          <w:rFonts w:cs="Times New Roman"/>
          <w:b w:val="0"/>
          <w:bCs w:val="0"/>
          <w:color w:val="auto"/>
          <w:highlight w:val="none"/>
        </w:rPr>
        <w:t>3.7 投标文件的编制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_Toc256000032 \h </w:instrText>
      </w:r>
      <w:r>
        <w:rPr>
          <w:b w:val="0"/>
          <w:bCs w:val="0"/>
          <w:color w:val="auto"/>
          <w:highlight w:val="none"/>
        </w:rPr>
        <w:fldChar w:fldCharType="separate"/>
      </w:r>
      <w:r>
        <w:rPr>
          <w:b w:val="0"/>
          <w:bCs w:val="0"/>
          <w:color w:val="auto"/>
          <w:highlight w:val="none"/>
        </w:rPr>
        <w:t>29</w:t>
      </w:r>
      <w:r>
        <w:rPr>
          <w:b w:val="0"/>
          <w:bCs w:val="0"/>
          <w:color w:val="auto"/>
          <w:highlight w:val="none"/>
        </w:rPr>
        <w:fldChar w:fldCharType="end"/>
      </w:r>
      <w:r>
        <w:rPr>
          <w:b w:val="0"/>
          <w:bCs w:val="0"/>
          <w:color w:val="auto"/>
          <w:highlight w:val="none"/>
        </w:rPr>
        <w:fldChar w:fldCharType="end"/>
      </w:r>
    </w:p>
    <w:p w14:paraId="74BAD327">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"_Toc256000033" </w:instrText>
      </w:r>
      <w:r>
        <w:rPr>
          <w:b w:val="0"/>
          <w:bCs w:val="0"/>
          <w:color w:val="auto"/>
          <w:highlight w:val="none"/>
        </w:rPr>
        <w:fldChar w:fldCharType="separate"/>
      </w:r>
      <w:r>
        <w:rPr>
          <w:rStyle w:val="28"/>
          <w:rFonts w:cs="Times New Roman"/>
          <w:b w:val="0"/>
          <w:bCs w:val="0"/>
          <w:color w:val="auto"/>
          <w:highlight w:val="none"/>
        </w:rPr>
        <w:t>4. 投标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_Toc256000033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14:paraId="488685E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"_Toc256000034" </w:instrText>
      </w:r>
      <w:r>
        <w:rPr>
          <w:b w:val="0"/>
          <w:bCs w:val="0"/>
          <w:color w:val="auto"/>
          <w:highlight w:val="none"/>
        </w:rPr>
        <w:fldChar w:fldCharType="separate"/>
      </w:r>
      <w:r>
        <w:rPr>
          <w:rStyle w:val="28"/>
          <w:rFonts w:cs="Times New Roman"/>
          <w:b w:val="0"/>
          <w:bCs w:val="0"/>
          <w:color w:val="auto"/>
          <w:highlight w:val="none"/>
        </w:rPr>
        <w:t>4.1 投标文件的加密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_Toc256000034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14:paraId="5D0B5E4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"_Toc256000035" </w:instrText>
      </w:r>
      <w:r>
        <w:rPr>
          <w:b w:val="0"/>
          <w:bCs w:val="0"/>
          <w:color w:val="auto"/>
          <w:highlight w:val="none"/>
        </w:rPr>
        <w:fldChar w:fldCharType="separate"/>
      </w:r>
      <w:r>
        <w:rPr>
          <w:rStyle w:val="28"/>
          <w:rFonts w:cs="Times New Roman"/>
          <w:b w:val="0"/>
          <w:bCs w:val="0"/>
          <w:color w:val="auto"/>
          <w:highlight w:val="none"/>
        </w:rPr>
        <w:t>4.2 投标文件的递交</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_Toc256000035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14:paraId="75F3736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"_Toc256000036" </w:instrText>
      </w:r>
      <w:r>
        <w:rPr>
          <w:b w:val="0"/>
          <w:bCs w:val="0"/>
          <w:color w:val="auto"/>
          <w:highlight w:val="none"/>
        </w:rPr>
        <w:fldChar w:fldCharType="separate"/>
      </w:r>
      <w:r>
        <w:rPr>
          <w:rStyle w:val="28"/>
          <w:rFonts w:cs="Times New Roman"/>
          <w:b w:val="0"/>
          <w:bCs w:val="0"/>
          <w:color w:val="auto"/>
          <w:highlight w:val="none"/>
        </w:rPr>
        <w:t>4.3 投标文件的修改与撤回</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_Toc256000036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14:paraId="2251D138">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"_Toc256000037" </w:instrText>
      </w:r>
      <w:r>
        <w:rPr>
          <w:b w:val="0"/>
          <w:bCs w:val="0"/>
          <w:color w:val="auto"/>
          <w:highlight w:val="none"/>
        </w:rPr>
        <w:fldChar w:fldCharType="separate"/>
      </w:r>
      <w:r>
        <w:rPr>
          <w:rStyle w:val="28"/>
          <w:rFonts w:cs="Times New Roman"/>
          <w:b w:val="0"/>
          <w:bCs w:val="0"/>
          <w:color w:val="auto"/>
          <w:highlight w:val="none"/>
        </w:rPr>
        <w:t>5. 开标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_Toc256000037 \h </w:instrText>
      </w:r>
      <w:r>
        <w:rPr>
          <w:b w:val="0"/>
          <w:bCs w:val="0"/>
          <w:color w:val="auto"/>
          <w:highlight w:val="none"/>
        </w:rPr>
        <w:fldChar w:fldCharType="separate"/>
      </w:r>
      <w:r>
        <w:rPr>
          <w:b w:val="0"/>
          <w:bCs w:val="0"/>
          <w:color w:val="auto"/>
          <w:highlight w:val="none"/>
        </w:rPr>
        <w:t>31</w:t>
      </w:r>
      <w:r>
        <w:rPr>
          <w:b w:val="0"/>
          <w:bCs w:val="0"/>
          <w:color w:val="auto"/>
          <w:highlight w:val="none"/>
        </w:rPr>
        <w:fldChar w:fldCharType="end"/>
      </w:r>
      <w:r>
        <w:rPr>
          <w:b w:val="0"/>
          <w:bCs w:val="0"/>
          <w:color w:val="auto"/>
          <w:highlight w:val="none"/>
        </w:rPr>
        <w:fldChar w:fldCharType="end"/>
      </w:r>
    </w:p>
    <w:p w14:paraId="539C0D5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"_Toc256000038" </w:instrText>
      </w:r>
      <w:r>
        <w:rPr>
          <w:b w:val="0"/>
          <w:bCs w:val="0"/>
          <w:color w:val="auto"/>
          <w:highlight w:val="none"/>
        </w:rPr>
        <w:fldChar w:fldCharType="separate"/>
      </w:r>
      <w:r>
        <w:rPr>
          <w:rStyle w:val="28"/>
          <w:rFonts w:cs="Times New Roman"/>
          <w:b w:val="0"/>
          <w:bCs w:val="0"/>
          <w:color w:val="auto"/>
          <w:highlight w:val="none"/>
        </w:rPr>
        <w:t>5.1 开标时间和地点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_Toc256000038 \h </w:instrText>
      </w:r>
      <w:r>
        <w:rPr>
          <w:b w:val="0"/>
          <w:bCs w:val="0"/>
          <w:color w:val="auto"/>
          <w:highlight w:val="none"/>
        </w:rPr>
        <w:fldChar w:fldCharType="separate"/>
      </w:r>
      <w:r>
        <w:rPr>
          <w:b w:val="0"/>
          <w:bCs w:val="0"/>
          <w:color w:val="auto"/>
          <w:highlight w:val="none"/>
        </w:rPr>
        <w:t>31</w:t>
      </w:r>
      <w:r>
        <w:rPr>
          <w:b w:val="0"/>
          <w:bCs w:val="0"/>
          <w:color w:val="auto"/>
          <w:highlight w:val="none"/>
        </w:rPr>
        <w:fldChar w:fldCharType="end"/>
      </w:r>
      <w:r>
        <w:rPr>
          <w:b w:val="0"/>
          <w:bCs w:val="0"/>
          <w:color w:val="auto"/>
          <w:highlight w:val="none"/>
        </w:rPr>
        <w:fldChar w:fldCharType="end"/>
      </w:r>
    </w:p>
    <w:p w14:paraId="185B19C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"_Toc256000039" </w:instrText>
      </w:r>
      <w:r>
        <w:rPr>
          <w:b w:val="0"/>
          <w:bCs w:val="0"/>
          <w:color w:val="auto"/>
          <w:highlight w:val="none"/>
        </w:rPr>
        <w:fldChar w:fldCharType="separate"/>
      </w:r>
      <w:r>
        <w:rPr>
          <w:rStyle w:val="28"/>
          <w:rFonts w:cs="Times New Roman"/>
          <w:b w:val="0"/>
          <w:bCs w:val="0"/>
          <w:color w:val="auto"/>
          <w:highlight w:val="none"/>
        </w:rPr>
        <w:t>5.2 开标程序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_Toc256000039 \h </w:instrText>
      </w:r>
      <w:r>
        <w:rPr>
          <w:b w:val="0"/>
          <w:bCs w:val="0"/>
          <w:color w:val="auto"/>
          <w:highlight w:val="none"/>
        </w:rPr>
        <w:fldChar w:fldCharType="separate"/>
      </w:r>
      <w:r>
        <w:rPr>
          <w:b w:val="0"/>
          <w:bCs w:val="0"/>
          <w:color w:val="auto"/>
          <w:highlight w:val="none"/>
        </w:rPr>
        <w:t>31</w:t>
      </w:r>
      <w:r>
        <w:rPr>
          <w:b w:val="0"/>
          <w:bCs w:val="0"/>
          <w:color w:val="auto"/>
          <w:highlight w:val="none"/>
        </w:rPr>
        <w:fldChar w:fldCharType="end"/>
      </w:r>
      <w:r>
        <w:rPr>
          <w:b w:val="0"/>
          <w:bCs w:val="0"/>
          <w:color w:val="auto"/>
          <w:highlight w:val="none"/>
        </w:rPr>
        <w:fldChar w:fldCharType="end"/>
      </w:r>
    </w:p>
    <w:p w14:paraId="76D24DD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"_Toc256000040" </w:instrText>
      </w:r>
      <w:r>
        <w:rPr>
          <w:b w:val="0"/>
          <w:bCs w:val="0"/>
          <w:color w:val="auto"/>
          <w:highlight w:val="none"/>
        </w:rPr>
        <w:fldChar w:fldCharType="separate"/>
      </w:r>
      <w:r>
        <w:rPr>
          <w:rStyle w:val="28"/>
          <w:rFonts w:cs="Times New Roman"/>
          <w:b w:val="0"/>
          <w:bCs w:val="0"/>
          <w:color w:val="auto"/>
          <w:highlight w:val="none"/>
        </w:rPr>
        <w:t>5.3 开标异议</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_Toc256000040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14:paraId="56B4EE7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"_Toc256000041" </w:instrText>
      </w:r>
      <w:r>
        <w:rPr>
          <w:b w:val="0"/>
          <w:bCs w:val="0"/>
          <w:color w:val="auto"/>
          <w:highlight w:val="none"/>
        </w:rPr>
        <w:fldChar w:fldCharType="separate"/>
      </w:r>
      <w:r>
        <w:rPr>
          <w:rStyle w:val="28"/>
          <w:rFonts w:cs="Times New Roman"/>
          <w:b w:val="0"/>
          <w:bCs w:val="0"/>
          <w:color w:val="auto"/>
          <w:highlight w:val="none"/>
        </w:rPr>
        <w:t>5.4 特殊情况的处置</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_Toc256000041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14:paraId="7EDF7617">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"_Toc256000042" </w:instrText>
      </w:r>
      <w:r>
        <w:rPr>
          <w:b w:val="0"/>
          <w:bCs w:val="0"/>
          <w:color w:val="auto"/>
          <w:highlight w:val="none"/>
        </w:rPr>
        <w:fldChar w:fldCharType="separate"/>
      </w:r>
      <w:r>
        <w:rPr>
          <w:rStyle w:val="28"/>
          <w:rFonts w:cs="Times New Roman"/>
          <w:b w:val="0"/>
          <w:bCs w:val="0"/>
          <w:color w:val="auto"/>
          <w:highlight w:val="none"/>
        </w:rPr>
        <w:t>6. 评标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_Toc256000042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14:paraId="6068D54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"_Toc256000043" </w:instrText>
      </w:r>
      <w:r>
        <w:rPr>
          <w:b w:val="0"/>
          <w:bCs w:val="0"/>
          <w:color w:val="auto"/>
          <w:highlight w:val="none"/>
        </w:rPr>
        <w:fldChar w:fldCharType="separate"/>
      </w:r>
      <w:r>
        <w:rPr>
          <w:rStyle w:val="28"/>
          <w:rFonts w:cs="Times New Roman"/>
          <w:b w:val="0"/>
          <w:bCs w:val="0"/>
          <w:color w:val="auto"/>
          <w:highlight w:val="none"/>
        </w:rPr>
        <w:t>6.1 评标委员会</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_Toc256000043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14:paraId="1D12BEE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"_Toc256000044" </w:instrText>
      </w:r>
      <w:r>
        <w:rPr>
          <w:b w:val="0"/>
          <w:bCs w:val="0"/>
          <w:color w:val="auto"/>
          <w:highlight w:val="none"/>
        </w:rPr>
        <w:fldChar w:fldCharType="separate"/>
      </w:r>
      <w:r>
        <w:rPr>
          <w:rStyle w:val="28"/>
          <w:rFonts w:cs="Times New Roman"/>
          <w:b w:val="0"/>
          <w:bCs w:val="0"/>
          <w:color w:val="auto"/>
          <w:highlight w:val="none"/>
        </w:rPr>
        <w:t>6.2 评标原则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_Toc256000044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0E6BFBE5">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"_Toc256000045" </w:instrText>
      </w:r>
      <w:r>
        <w:rPr>
          <w:b w:val="0"/>
          <w:bCs w:val="0"/>
          <w:color w:val="auto"/>
          <w:highlight w:val="none"/>
        </w:rPr>
        <w:fldChar w:fldCharType="separate"/>
      </w:r>
      <w:r>
        <w:rPr>
          <w:rStyle w:val="28"/>
          <w:rFonts w:cs="Times New Roman"/>
          <w:b w:val="0"/>
          <w:bCs w:val="0"/>
          <w:color w:val="auto"/>
          <w:highlight w:val="none"/>
        </w:rPr>
        <w:t>6.3 评标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_Toc256000045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78EA6A3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"_Toc256000046" </w:instrText>
      </w:r>
      <w:r>
        <w:rPr>
          <w:b w:val="0"/>
          <w:bCs w:val="0"/>
          <w:color w:val="auto"/>
          <w:highlight w:val="none"/>
        </w:rPr>
        <w:fldChar w:fldCharType="separate"/>
      </w:r>
      <w:r>
        <w:rPr>
          <w:rStyle w:val="28"/>
          <w:rFonts w:cs="Times New Roman"/>
          <w:b w:val="0"/>
          <w:bCs w:val="0"/>
          <w:color w:val="auto"/>
          <w:highlight w:val="none"/>
        </w:rPr>
        <w:t>6.4 评标结果公示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_Toc256000046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30C612A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"_Toc256000047" </w:instrText>
      </w:r>
      <w:r>
        <w:rPr>
          <w:b w:val="0"/>
          <w:bCs w:val="0"/>
          <w:color w:val="auto"/>
          <w:highlight w:val="none"/>
        </w:rPr>
        <w:fldChar w:fldCharType="separate"/>
      </w:r>
      <w:r>
        <w:rPr>
          <w:rStyle w:val="28"/>
          <w:rFonts w:cs="Times New Roman"/>
          <w:b w:val="0"/>
          <w:bCs w:val="0"/>
          <w:color w:val="auto"/>
          <w:highlight w:val="none"/>
        </w:rPr>
        <w:t>6.5 履约能力的核查（如有）</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_Toc256000047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11820532">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"_Toc256000048" </w:instrText>
      </w:r>
      <w:r>
        <w:rPr>
          <w:b w:val="0"/>
          <w:bCs w:val="0"/>
          <w:color w:val="auto"/>
          <w:highlight w:val="none"/>
        </w:rPr>
        <w:fldChar w:fldCharType="separate"/>
      </w:r>
      <w:r>
        <w:rPr>
          <w:rStyle w:val="28"/>
          <w:rFonts w:cs="Times New Roman"/>
          <w:b w:val="0"/>
          <w:bCs w:val="0"/>
          <w:color w:val="auto"/>
          <w:highlight w:val="none"/>
        </w:rPr>
        <w:t>7. 合同授予</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_Toc256000048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4EE1995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"_Toc256000049" </w:instrText>
      </w:r>
      <w:r>
        <w:rPr>
          <w:b w:val="0"/>
          <w:bCs w:val="0"/>
          <w:color w:val="auto"/>
          <w:highlight w:val="none"/>
        </w:rPr>
        <w:fldChar w:fldCharType="separate"/>
      </w:r>
      <w:r>
        <w:rPr>
          <w:rStyle w:val="28"/>
          <w:rFonts w:cs="Times New Roman"/>
          <w:b w:val="0"/>
          <w:bCs w:val="0"/>
          <w:color w:val="auto"/>
          <w:highlight w:val="none"/>
        </w:rPr>
        <w:t>7.1 定标方式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_Toc256000049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757007F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"_Toc256000050" </w:instrText>
      </w:r>
      <w:r>
        <w:rPr>
          <w:b w:val="0"/>
          <w:bCs w:val="0"/>
          <w:color w:val="auto"/>
          <w:highlight w:val="none"/>
        </w:rPr>
        <w:fldChar w:fldCharType="separate"/>
      </w:r>
      <w:r>
        <w:rPr>
          <w:rStyle w:val="28"/>
          <w:rFonts w:cs="Times New Roman"/>
          <w:b w:val="0"/>
          <w:bCs w:val="0"/>
          <w:color w:val="auto"/>
          <w:highlight w:val="none"/>
        </w:rPr>
        <w:t>7.2 中标通知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_Toc256000050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b w:val="0"/>
          <w:bCs w:val="0"/>
          <w:color w:val="auto"/>
          <w:highlight w:val="none"/>
        </w:rPr>
        <w:fldChar w:fldCharType="end"/>
      </w:r>
    </w:p>
    <w:p w14:paraId="669C237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"_Toc256000051" </w:instrText>
      </w:r>
      <w:r>
        <w:rPr>
          <w:b w:val="0"/>
          <w:bCs w:val="0"/>
          <w:color w:val="auto"/>
          <w:highlight w:val="none"/>
        </w:rPr>
        <w:fldChar w:fldCharType="separate"/>
      </w:r>
      <w:r>
        <w:rPr>
          <w:rStyle w:val="28"/>
          <w:rFonts w:cs="Times New Roman"/>
          <w:b w:val="0"/>
          <w:bCs w:val="0"/>
          <w:color w:val="auto"/>
          <w:highlight w:val="none"/>
        </w:rPr>
        <w:t>7.3 履约担保</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_Toc256000051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23110C7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"_Toc256000052" </w:instrText>
      </w:r>
      <w:r>
        <w:rPr>
          <w:b w:val="0"/>
          <w:bCs w:val="0"/>
          <w:color w:val="auto"/>
          <w:highlight w:val="none"/>
        </w:rPr>
        <w:fldChar w:fldCharType="separate"/>
      </w:r>
      <w:r>
        <w:rPr>
          <w:rStyle w:val="28"/>
          <w:rFonts w:cs="Times New Roman"/>
          <w:b w:val="0"/>
          <w:bCs w:val="0"/>
          <w:color w:val="auto"/>
          <w:highlight w:val="none"/>
        </w:rPr>
        <w:t>7.4 签订合同</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_Toc256000052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335287EE">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"_Toc256000053" </w:instrText>
      </w:r>
      <w:r>
        <w:rPr>
          <w:b w:val="0"/>
          <w:bCs w:val="0"/>
          <w:color w:val="auto"/>
          <w:highlight w:val="none"/>
        </w:rPr>
        <w:fldChar w:fldCharType="separate"/>
      </w:r>
      <w:r>
        <w:rPr>
          <w:rStyle w:val="28"/>
          <w:rFonts w:cs="Times New Roman"/>
          <w:b w:val="0"/>
          <w:bCs w:val="0"/>
          <w:color w:val="auto"/>
          <w:highlight w:val="none"/>
        </w:rPr>
        <w:t>8. 重新招标、不再招标和终止招标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_Toc256000053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3D77B23B">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"_Toc256000054" </w:instrText>
      </w:r>
      <w:r>
        <w:rPr>
          <w:b w:val="0"/>
          <w:bCs w:val="0"/>
          <w:color w:val="auto"/>
          <w:highlight w:val="none"/>
        </w:rPr>
        <w:fldChar w:fldCharType="separate"/>
      </w:r>
      <w:r>
        <w:rPr>
          <w:rStyle w:val="28"/>
          <w:rFonts w:cs="Times New Roman"/>
          <w:b w:val="0"/>
          <w:bCs w:val="0"/>
          <w:color w:val="auto"/>
          <w:highlight w:val="none"/>
        </w:rPr>
        <w:t>8.1 重新招标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_Toc256000054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66C1BFA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"_Toc256000055" </w:instrText>
      </w:r>
      <w:r>
        <w:rPr>
          <w:b w:val="0"/>
          <w:bCs w:val="0"/>
          <w:color w:val="auto"/>
          <w:highlight w:val="none"/>
        </w:rPr>
        <w:fldChar w:fldCharType="separate"/>
      </w:r>
      <w:r>
        <w:rPr>
          <w:rStyle w:val="28"/>
          <w:rFonts w:cs="Times New Roman"/>
          <w:b w:val="0"/>
          <w:bCs w:val="0"/>
          <w:color w:val="auto"/>
          <w:highlight w:val="none"/>
        </w:rPr>
        <w:t>8.2 不再招标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_Toc256000055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0AAEE0C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"_Toc256000056" </w:instrText>
      </w:r>
      <w:r>
        <w:rPr>
          <w:b w:val="0"/>
          <w:bCs w:val="0"/>
          <w:color w:val="auto"/>
          <w:highlight w:val="none"/>
        </w:rPr>
        <w:fldChar w:fldCharType="separate"/>
      </w:r>
      <w:r>
        <w:rPr>
          <w:rStyle w:val="28"/>
          <w:rFonts w:cs="Times New Roman"/>
          <w:b w:val="0"/>
          <w:bCs w:val="0"/>
          <w:color w:val="auto"/>
          <w:highlight w:val="none"/>
        </w:rPr>
        <w:t>8.3 终止招标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_Toc256000056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14:paraId="7FD91F2D">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"_Toc256000057" </w:instrText>
      </w:r>
      <w:r>
        <w:rPr>
          <w:b w:val="0"/>
          <w:bCs w:val="0"/>
          <w:color w:val="auto"/>
          <w:highlight w:val="none"/>
        </w:rPr>
        <w:fldChar w:fldCharType="separate"/>
      </w:r>
      <w:r>
        <w:rPr>
          <w:rStyle w:val="28"/>
          <w:rFonts w:cs="Times New Roman"/>
          <w:b w:val="0"/>
          <w:bCs w:val="0"/>
          <w:color w:val="auto"/>
          <w:highlight w:val="none"/>
        </w:rPr>
        <w:t>9. 纪律和监督</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_Toc256000057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31A84BF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"_Toc256000058" </w:instrText>
      </w:r>
      <w:r>
        <w:rPr>
          <w:b w:val="0"/>
          <w:bCs w:val="0"/>
          <w:color w:val="auto"/>
          <w:highlight w:val="none"/>
        </w:rPr>
        <w:fldChar w:fldCharType="separate"/>
      </w:r>
      <w:r>
        <w:rPr>
          <w:rStyle w:val="28"/>
          <w:rFonts w:cs="Times New Roman"/>
          <w:b w:val="0"/>
          <w:bCs w:val="0"/>
          <w:color w:val="auto"/>
          <w:highlight w:val="none"/>
        </w:rPr>
        <w:t>9.1 对招标人的纪律要求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_Toc256000058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6E58F09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"_Toc256000059" </w:instrText>
      </w:r>
      <w:r>
        <w:rPr>
          <w:b w:val="0"/>
          <w:bCs w:val="0"/>
          <w:color w:val="auto"/>
          <w:highlight w:val="none"/>
        </w:rPr>
        <w:fldChar w:fldCharType="separate"/>
      </w:r>
      <w:r>
        <w:rPr>
          <w:rStyle w:val="28"/>
          <w:rFonts w:cs="Times New Roman"/>
          <w:b w:val="0"/>
          <w:bCs w:val="0"/>
          <w:color w:val="auto"/>
          <w:highlight w:val="none"/>
        </w:rPr>
        <w:t>9.2 对投标人的纪律要求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_Toc256000059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64401C0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"_Toc256000060" </w:instrText>
      </w:r>
      <w:r>
        <w:rPr>
          <w:b w:val="0"/>
          <w:bCs w:val="0"/>
          <w:color w:val="auto"/>
          <w:highlight w:val="none"/>
        </w:rPr>
        <w:fldChar w:fldCharType="separate"/>
      </w:r>
      <w:r>
        <w:rPr>
          <w:rStyle w:val="28"/>
          <w:rFonts w:cs="Times New Roman"/>
          <w:b w:val="0"/>
          <w:bCs w:val="0"/>
          <w:color w:val="auto"/>
          <w:highlight w:val="none"/>
        </w:rPr>
        <w:t>9.3 对评标委员会成员的纪律要求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_Toc256000060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40F47C9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"_Toc256000061" </w:instrText>
      </w:r>
      <w:r>
        <w:rPr>
          <w:b w:val="0"/>
          <w:bCs w:val="0"/>
          <w:color w:val="auto"/>
          <w:highlight w:val="none"/>
        </w:rPr>
        <w:fldChar w:fldCharType="separate"/>
      </w:r>
      <w:r>
        <w:rPr>
          <w:rStyle w:val="28"/>
          <w:rFonts w:cs="Times New Roman"/>
          <w:b w:val="0"/>
          <w:bCs w:val="0"/>
          <w:color w:val="auto"/>
          <w:highlight w:val="none"/>
        </w:rPr>
        <w:t>9.4 对与评标活动有关的工作人员的纪律要求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_Toc256000061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112FEB5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"_Toc256000062" </w:instrText>
      </w:r>
      <w:r>
        <w:rPr>
          <w:b w:val="0"/>
          <w:bCs w:val="0"/>
          <w:color w:val="auto"/>
          <w:highlight w:val="none"/>
        </w:rPr>
        <w:fldChar w:fldCharType="separate"/>
      </w:r>
      <w:r>
        <w:rPr>
          <w:rStyle w:val="28"/>
          <w:rFonts w:cs="Times New Roman"/>
          <w:b w:val="0"/>
          <w:bCs w:val="0"/>
          <w:color w:val="auto"/>
          <w:highlight w:val="none"/>
        </w:rPr>
        <w:t>9.5 投诉</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_Toc256000062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14:paraId="2047EF8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"_Toc256000063" </w:instrText>
      </w:r>
      <w:r>
        <w:rPr>
          <w:b w:val="0"/>
          <w:bCs w:val="0"/>
          <w:color w:val="auto"/>
          <w:highlight w:val="none"/>
        </w:rPr>
        <w:fldChar w:fldCharType="separate"/>
      </w:r>
      <w:r>
        <w:rPr>
          <w:rStyle w:val="28"/>
          <w:rFonts w:cs="Times New Roman"/>
          <w:b w:val="0"/>
          <w:bCs w:val="0"/>
          <w:color w:val="auto"/>
          <w:highlight w:val="none"/>
        </w:rPr>
        <w:t>10. 需要补充的其他内容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_Toc256000063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0A625F5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"_Toc256000064" </w:instrText>
      </w:r>
      <w:r>
        <w:rPr>
          <w:b w:val="0"/>
          <w:bCs w:val="0"/>
          <w:color w:val="auto"/>
          <w:highlight w:val="none"/>
        </w:rPr>
        <w:fldChar w:fldCharType="separate"/>
      </w:r>
      <w:r>
        <w:rPr>
          <w:rStyle w:val="28"/>
          <w:rFonts w:cs="Times New Roman"/>
          <w:b w:val="0"/>
          <w:bCs w:val="0"/>
          <w:color w:val="auto"/>
          <w:highlight w:val="none"/>
        </w:rPr>
        <w:t>10.1 词语定义</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_Toc256000064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3AAEBC4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"_Toc256000065" </w:instrText>
      </w:r>
      <w:r>
        <w:rPr>
          <w:b w:val="0"/>
          <w:bCs w:val="0"/>
          <w:color w:val="auto"/>
          <w:highlight w:val="none"/>
        </w:rPr>
        <w:fldChar w:fldCharType="separate"/>
      </w:r>
      <w:r>
        <w:rPr>
          <w:rStyle w:val="28"/>
          <w:rFonts w:cs="Times New Roman"/>
          <w:b w:val="0"/>
          <w:bCs w:val="0"/>
          <w:color w:val="auto"/>
          <w:highlight w:val="none"/>
        </w:rPr>
        <w:t>10.2 中标人的投标文件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_Toc256000065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1D1FD38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"_Toc256000066" </w:instrText>
      </w:r>
      <w:r>
        <w:rPr>
          <w:b w:val="0"/>
          <w:bCs w:val="0"/>
          <w:color w:val="auto"/>
          <w:highlight w:val="none"/>
        </w:rPr>
        <w:fldChar w:fldCharType="separate"/>
      </w:r>
      <w:r>
        <w:rPr>
          <w:rStyle w:val="28"/>
          <w:rFonts w:cs="Times New Roman"/>
          <w:b w:val="0"/>
          <w:bCs w:val="0"/>
          <w:color w:val="auto"/>
          <w:highlight w:val="none"/>
        </w:rPr>
        <w:t>10.3 知识产权</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_Toc256000066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0556F63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"_Toc256000067" </w:instrText>
      </w:r>
      <w:r>
        <w:rPr>
          <w:b w:val="0"/>
          <w:bCs w:val="0"/>
          <w:color w:val="auto"/>
          <w:highlight w:val="none"/>
        </w:rPr>
        <w:fldChar w:fldCharType="separate"/>
      </w:r>
      <w:r>
        <w:rPr>
          <w:rStyle w:val="28"/>
          <w:rFonts w:cs="Times New Roman"/>
          <w:b w:val="0"/>
          <w:bCs w:val="0"/>
          <w:color w:val="auto"/>
          <w:highlight w:val="none"/>
        </w:rPr>
        <w:t>10.4 同义词语</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_Toc256000067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258316D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"_Toc256000068" </w:instrText>
      </w:r>
      <w:r>
        <w:rPr>
          <w:b w:val="0"/>
          <w:bCs w:val="0"/>
          <w:color w:val="auto"/>
          <w:highlight w:val="none"/>
        </w:rPr>
        <w:fldChar w:fldCharType="separate"/>
      </w:r>
      <w:r>
        <w:rPr>
          <w:rStyle w:val="28"/>
          <w:rFonts w:cs="Times New Roman"/>
          <w:b w:val="0"/>
          <w:bCs w:val="0"/>
          <w:color w:val="auto"/>
          <w:highlight w:val="none"/>
        </w:rPr>
        <w:t>10.5 解释权</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_Toc256000068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158EFB8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"_Toc256000069" </w:instrText>
      </w:r>
      <w:r>
        <w:rPr>
          <w:b w:val="0"/>
          <w:bCs w:val="0"/>
          <w:color w:val="auto"/>
          <w:highlight w:val="none"/>
        </w:rPr>
        <w:fldChar w:fldCharType="separate"/>
      </w:r>
      <w:r>
        <w:rPr>
          <w:rStyle w:val="28"/>
          <w:rFonts w:cs="Times New Roman"/>
          <w:b w:val="0"/>
          <w:bCs w:val="0"/>
          <w:color w:val="auto"/>
          <w:highlight w:val="none"/>
        </w:rPr>
        <w:t>10.6 招标人补充的其他内容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_Toc256000069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14:paraId="79BD6875">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"_Toc256000070" </w:instrText>
      </w:r>
      <w:r>
        <w:rPr>
          <w:b w:val="0"/>
          <w:bCs w:val="0"/>
          <w:color w:val="auto"/>
          <w:highlight w:val="none"/>
        </w:rPr>
        <w:fldChar w:fldCharType="separate"/>
      </w:r>
      <w:r>
        <w:rPr>
          <w:rStyle w:val="28"/>
          <w:rFonts w:hint="eastAsia"/>
          <w:b w:val="0"/>
          <w:bCs w:val="0"/>
          <w:color w:val="auto"/>
          <w:highlight w:val="none"/>
        </w:rPr>
        <w:t>附表一：招标文件澄清申请函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_Toc256000070 \h </w:instrText>
      </w:r>
      <w:r>
        <w:rPr>
          <w:b w:val="0"/>
          <w:bCs w:val="0"/>
          <w:color w:val="auto"/>
          <w:highlight w:val="none"/>
        </w:rPr>
        <w:fldChar w:fldCharType="separate"/>
      </w:r>
      <w:r>
        <w:rPr>
          <w:b w:val="0"/>
          <w:bCs w:val="0"/>
          <w:color w:val="auto"/>
          <w:highlight w:val="none"/>
        </w:rPr>
        <w:t>37</w:t>
      </w:r>
      <w:r>
        <w:rPr>
          <w:b w:val="0"/>
          <w:bCs w:val="0"/>
          <w:color w:val="auto"/>
          <w:highlight w:val="none"/>
        </w:rPr>
        <w:fldChar w:fldCharType="end"/>
      </w:r>
      <w:r>
        <w:rPr>
          <w:b w:val="0"/>
          <w:bCs w:val="0"/>
          <w:color w:val="auto"/>
          <w:highlight w:val="none"/>
        </w:rPr>
        <w:fldChar w:fldCharType="end"/>
      </w:r>
    </w:p>
    <w:p w14:paraId="53C49DA2">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"_Toc256000071" </w:instrText>
      </w:r>
      <w:r>
        <w:rPr>
          <w:b w:val="0"/>
          <w:bCs w:val="0"/>
          <w:color w:val="auto"/>
          <w:highlight w:val="none"/>
        </w:rPr>
        <w:fldChar w:fldCharType="separate"/>
      </w:r>
      <w:r>
        <w:rPr>
          <w:rStyle w:val="28"/>
          <w:rFonts w:hint="eastAsia"/>
          <w:b w:val="0"/>
          <w:bCs w:val="0"/>
          <w:color w:val="auto"/>
          <w:highlight w:val="none"/>
        </w:rPr>
        <w:t>附表二：招标文件澄清通知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_Toc256000071 \h </w:instrText>
      </w:r>
      <w:r>
        <w:rPr>
          <w:b w:val="0"/>
          <w:bCs w:val="0"/>
          <w:color w:val="auto"/>
          <w:highlight w:val="none"/>
        </w:rPr>
        <w:fldChar w:fldCharType="separate"/>
      </w:r>
      <w:r>
        <w:rPr>
          <w:b w:val="0"/>
          <w:bCs w:val="0"/>
          <w:color w:val="auto"/>
          <w:highlight w:val="none"/>
        </w:rPr>
        <w:t>38</w:t>
      </w:r>
      <w:r>
        <w:rPr>
          <w:b w:val="0"/>
          <w:bCs w:val="0"/>
          <w:color w:val="auto"/>
          <w:highlight w:val="none"/>
        </w:rPr>
        <w:fldChar w:fldCharType="end"/>
      </w:r>
      <w:r>
        <w:rPr>
          <w:b w:val="0"/>
          <w:bCs w:val="0"/>
          <w:color w:val="auto"/>
          <w:highlight w:val="none"/>
        </w:rPr>
        <w:fldChar w:fldCharType="end"/>
      </w:r>
    </w:p>
    <w:p w14:paraId="1190E7DC">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"_Toc256000072" </w:instrText>
      </w:r>
      <w:r>
        <w:rPr>
          <w:b w:val="0"/>
          <w:bCs w:val="0"/>
          <w:color w:val="auto"/>
          <w:highlight w:val="none"/>
        </w:rPr>
        <w:fldChar w:fldCharType="separate"/>
      </w:r>
      <w:r>
        <w:rPr>
          <w:rStyle w:val="28"/>
          <w:rFonts w:hint="eastAsia"/>
          <w:b w:val="0"/>
          <w:bCs w:val="0"/>
          <w:color w:val="auto"/>
          <w:highlight w:val="none"/>
        </w:rPr>
        <w:t>附表三：招标文件修改通知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_Toc256000072 \h </w:instrText>
      </w:r>
      <w:r>
        <w:rPr>
          <w:b w:val="0"/>
          <w:bCs w:val="0"/>
          <w:color w:val="auto"/>
          <w:highlight w:val="none"/>
        </w:rPr>
        <w:fldChar w:fldCharType="separate"/>
      </w:r>
      <w:r>
        <w:rPr>
          <w:b w:val="0"/>
          <w:bCs w:val="0"/>
          <w:color w:val="auto"/>
          <w:highlight w:val="none"/>
        </w:rPr>
        <w:t>39</w:t>
      </w:r>
      <w:r>
        <w:rPr>
          <w:b w:val="0"/>
          <w:bCs w:val="0"/>
          <w:color w:val="auto"/>
          <w:highlight w:val="none"/>
        </w:rPr>
        <w:fldChar w:fldCharType="end"/>
      </w:r>
      <w:r>
        <w:rPr>
          <w:b w:val="0"/>
          <w:bCs w:val="0"/>
          <w:color w:val="auto"/>
          <w:highlight w:val="none"/>
        </w:rPr>
        <w:fldChar w:fldCharType="end"/>
      </w:r>
    </w:p>
    <w:p w14:paraId="2DEB2721">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"_Toc256000073" </w:instrText>
      </w:r>
      <w:r>
        <w:rPr>
          <w:b w:val="0"/>
          <w:bCs w:val="0"/>
          <w:color w:val="auto"/>
          <w:highlight w:val="none"/>
        </w:rPr>
        <w:fldChar w:fldCharType="separate"/>
      </w:r>
      <w:r>
        <w:rPr>
          <w:rStyle w:val="28"/>
          <w:rFonts w:hint="eastAsia"/>
          <w:b w:val="0"/>
          <w:bCs w:val="0"/>
          <w:color w:val="auto"/>
          <w:highlight w:val="none"/>
        </w:rPr>
        <w:t>附表四：投标文件递交电子签收凭证</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_Toc256000073 \h </w:instrText>
      </w:r>
      <w:r>
        <w:rPr>
          <w:b w:val="0"/>
          <w:bCs w:val="0"/>
          <w:color w:val="auto"/>
          <w:highlight w:val="none"/>
        </w:rPr>
        <w:fldChar w:fldCharType="separate"/>
      </w:r>
      <w:r>
        <w:rPr>
          <w:b w:val="0"/>
          <w:bCs w:val="0"/>
          <w:color w:val="auto"/>
          <w:highlight w:val="none"/>
        </w:rPr>
        <w:t>40</w:t>
      </w:r>
      <w:r>
        <w:rPr>
          <w:b w:val="0"/>
          <w:bCs w:val="0"/>
          <w:color w:val="auto"/>
          <w:highlight w:val="none"/>
        </w:rPr>
        <w:fldChar w:fldCharType="end"/>
      </w:r>
      <w:r>
        <w:rPr>
          <w:b w:val="0"/>
          <w:bCs w:val="0"/>
          <w:color w:val="auto"/>
          <w:highlight w:val="none"/>
        </w:rPr>
        <w:fldChar w:fldCharType="end"/>
      </w:r>
    </w:p>
    <w:p w14:paraId="5EA4FA0A">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"_Toc256000074" </w:instrText>
      </w:r>
      <w:r>
        <w:rPr>
          <w:b w:val="0"/>
          <w:bCs w:val="0"/>
          <w:color w:val="auto"/>
          <w:highlight w:val="none"/>
        </w:rPr>
        <w:fldChar w:fldCharType="separate"/>
      </w:r>
      <w:r>
        <w:rPr>
          <w:rStyle w:val="28"/>
          <w:rFonts w:hint="eastAsia"/>
          <w:b w:val="0"/>
          <w:bCs w:val="0"/>
          <w:color w:val="auto"/>
          <w:highlight w:val="none"/>
        </w:rPr>
        <w:t>附表五：开标记录表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_Toc256000074 \h </w:instrText>
      </w:r>
      <w:r>
        <w:rPr>
          <w:b w:val="0"/>
          <w:bCs w:val="0"/>
          <w:color w:val="auto"/>
          <w:highlight w:val="none"/>
        </w:rPr>
        <w:fldChar w:fldCharType="separate"/>
      </w:r>
      <w:r>
        <w:rPr>
          <w:b w:val="0"/>
          <w:bCs w:val="0"/>
          <w:color w:val="auto"/>
          <w:highlight w:val="none"/>
        </w:rPr>
        <w:t>41</w:t>
      </w:r>
      <w:r>
        <w:rPr>
          <w:b w:val="0"/>
          <w:bCs w:val="0"/>
          <w:color w:val="auto"/>
          <w:highlight w:val="none"/>
        </w:rPr>
        <w:fldChar w:fldCharType="end"/>
      </w:r>
      <w:r>
        <w:rPr>
          <w:b w:val="0"/>
          <w:bCs w:val="0"/>
          <w:color w:val="auto"/>
          <w:highlight w:val="none"/>
        </w:rPr>
        <w:fldChar w:fldCharType="end"/>
      </w:r>
    </w:p>
    <w:p w14:paraId="011DB16A">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"_Toc256000075" </w:instrText>
      </w:r>
      <w:r>
        <w:rPr>
          <w:b w:val="0"/>
          <w:bCs w:val="0"/>
          <w:color w:val="auto"/>
          <w:highlight w:val="none"/>
        </w:rPr>
        <w:fldChar w:fldCharType="separate"/>
      </w:r>
      <w:r>
        <w:rPr>
          <w:rStyle w:val="28"/>
          <w:rFonts w:hint="eastAsia"/>
          <w:b w:val="0"/>
          <w:bCs w:val="0"/>
          <w:color w:val="auto"/>
          <w:highlight w:val="none"/>
        </w:rPr>
        <w:t>附表六：投标文件问题澄清通知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_Toc256000075 \h </w:instrText>
      </w:r>
      <w:r>
        <w:rPr>
          <w:b w:val="0"/>
          <w:bCs w:val="0"/>
          <w:color w:val="auto"/>
          <w:highlight w:val="none"/>
        </w:rPr>
        <w:fldChar w:fldCharType="separate"/>
      </w:r>
      <w:r>
        <w:rPr>
          <w:b w:val="0"/>
          <w:bCs w:val="0"/>
          <w:color w:val="auto"/>
          <w:highlight w:val="none"/>
        </w:rPr>
        <w:t>42</w:t>
      </w:r>
      <w:r>
        <w:rPr>
          <w:b w:val="0"/>
          <w:bCs w:val="0"/>
          <w:color w:val="auto"/>
          <w:highlight w:val="none"/>
        </w:rPr>
        <w:fldChar w:fldCharType="end"/>
      </w:r>
      <w:r>
        <w:rPr>
          <w:b w:val="0"/>
          <w:bCs w:val="0"/>
          <w:color w:val="auto"/>
          <w:highlight w:val="none"/>
        </w:rPr>
        <w:fldChar w:fldCharType="end"/>
      </w:r>
    </w:p>
    <w:p w14:paraId="5DA7E7AA">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"_Toc256000076" </w:instrText>
      </w:r>
      <w:r>
        <w:rPr>
          <w:b w:val="0"/>
          <w:bCs w:val="0"/>
          <w:color w:val="auto"/>
          <w:highlight w:val="none"/>
        </w:rPr>
        <w:fldChar w:fldCharType="separate"/>
      </w:r>
      <w:r>
        <w:rPr>
          <w:rStyle w:val="28"/>
          <w:rFonts w:hint="eastAsia"/>
          <w:b w:val="0"/>
          <w:bCs w:val="0"/>
          <w:color w:val="auto"/>
          <w:highlight w:val="none"/>
        </w:rPr>
        <w:t>附表七：投标文件问题的澄清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_Toc256000076 \h </w:instrText>
      </w:r>
      <w:r>
        <w:rPr>
          <w:b w:val="0"/>
          <w:bCs w:val="0"/>
          <w:color w:val="auto"/>
          <w:highlight w:val="none"/>
        </w:rPr>
        <w:fldChar w:fldCharType="separate"/>
      </w:r>
      <w:r>
        <w:rPr>
          <w:b w:val="0"/>
          <w:bCs w:val="0"/>
          <w:color w:val="auto"/>
          <w:highlight w:val="none"/>
        </w:rPr>
        <w:t>43</w:t>
      </w:r>
      <w:r>
        <w:rPr>
          <w:b w:val="0"/>
          <w:bCs w:val="0"/>
          <w:color w:val="auto"/>
          <w:highlight w:val="none"/>
        </w:rPr>
        <w:fldChar w:fldCharType="end"/>
      </w:r>
      <w:r>
        <w:rPr>
          <w:b w:val="0"/>
          <w:bCs w:val="0"/>
          <w:color w:val="auto"/>
          <w:highlight w:val="none"/>
        </w:rPr>
        <w:fldChar w:fldCharType="end"/>
      </w:r>
    </w:p>
    <w:p w14:paraId="071E4E0B">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"_Toc256000077" </w:instrText>
      </w:r>
      <w:r>
        <w:rPr>
          <w:b w:val="0"/>
          <w:bCs w:val="0"/>
          <w:color w:val="auto"/>
          <w:highlight w:val="none"/>
        </w:rPr>
        <w:fldChar w:fldCharType="separate"/>
      </w:r>
      <w:r>
        <w:rPr>
          <w:rStyle w:val="28"/>
          <w:rFonts w:hint="eastAsia"/>
          <w:b w:val="0"/>
          <w:bCs w:val="0"/>
          <w:color w:val="auto"/>
          <w:highlight w:val="none"/>
        </w:rPr>
        <w:t>附表八：中标通知书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_Toc256000077 \h </w:instrText>
      </w:r>
      <w:r>
        <w:rPr>
          <w:b w:val="0"/>
          <w:bCs w:val="0"/>
          <w:color w:val="auto"/>
          <w:highlight w:val="none"/>
        </w:rPr>
        <w:fldChar w:fldCharType="separate"/>
      </w:r>
      <w:r>
        <w:rPr>
          <w:b w:val="0"/>
          <w:bCs w:val="0"/>
          <w:color w:val="auto"/>
          <w:highlight w:val="none"/>
        </w:rPr>
        <w:t>44</w:t>
      </w:r>
      <w:r>
        <w:rPr>
          <w:b w:val="0"/>
          <w:bCs w:val="0"/>
          <w:color w:val="auto"/>
          <w:highlight w:val="none"/>
        </w:rPr>
        <w:fldChar w:fldCharType="end"/>
      </w:r>
      <w:r>
        <w:rPr>
          <w:b w:val="0"/>
          <w:bCs w:val="0"/>
          <w:color w:val="auto"/>
          <w:highlight w:val="none"/>
        </w:rPr>
        <w:fldChar w:fldCharType="end"/>
      </w:r>
    </w:p>
    <w:p w14:paraId="2818668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"_Toc256000078" </w:instrText>
      </w:r>
      <w:r>
        <w:rPr>
          <w:b w:val="0"/>
          <w:bCs w:val="0"/>
          <w:color w:val="auto"/>
          <w:highlight w:val="none"/>
        </w:rPr>
        <w:fldChar w:fldCharType="separate"/>
      </w:r>
      <w:r>
        <w:rPr>
          <w:rStyle w:val="28"/>
          <w:rFonts w:hint="eastAsia"/>
          <w:b w:val="0"/>
          <w:bCs w:val="0"/>
          <w:color w:val="auto"/>
          <w:highlight w:val="none"/>
        </w:rPr>
        <w:t>附表九：中标结果通知书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_Toc256000078 \h </w:instrText>
      </w:r>
      <w:r>
        <w:rPr>
          <w:b w:val="0"/>
          <w:bCs w:val="0"/>
          <w:color w:val="auto"/>
          <w:highlight w:val="none"/>
        </w:rPr>
        <w:fldChar w:fldCharType="separate"/>
      </w:r>
      <w:r>
        <w:rPr>
          <w:b w:val="0"/>
          <w:bCs w:val="0"/>
          <w:color w:val="auto"/>
          <w:highlight w:val="none"/>
        </w:rPr>
        <w:t>45</w:t>
      </w:r>
      <w:r>
        <w:rPr>
          <w:b w:val="0"/>
          <w:bCs w:val="0"/>
          <w:color w:val="auto"/>
          <w:highlight w:val="none"/>
        </w:rPr>
        <w:fldChar w:fldCharType="end"/>
      </w:r>
      <w:r>
        <w:rPr>
          <w:b w:val="0"/>
          <w:bCs w:val="0"/>
          <w:color w:val="auto"/>
          <w:highlight w:val="none"/>
        </w:rPr>
        <w:fldChar w:fldCharType="end"/>
      </w:r>
    </w:p>
    <w:p w14:paraId="4025612A">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"_Toc256000079" </w:instrText>
      </w:r>
      <w:r>
        <w:rPr>
          <w:b w:val="0"/>
          <w:bCs w:val="0"/>
          <w:color w:val="auto"/>
          <w:highlight w:val="none"/>
        </w:rPr>
        <w:fldChar w:fldCharType="separate"/>
      </w:r>
      <w:r>
        <w:rPr>
          <w:rStyle w:val="28"/>
          <w:rFonts w:hint="eastAsia"/>
          <w:b w:val="0"/>
          <w:bCs w:val="0"/>
          <w:color w:val="auto"/>
          <w:highlight w:val="none"/>
        </w:rPr>
        <w:t>附表十：异议书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_Toc256000079 \h </w:instrText>
      </w:r>
      <w:r>
        <w:rPr>
          <w:b w:val="0"/>
          <w:bCs w:val="0"/>
          <w:color w:val="auto"/>
          <w:highlight w:val="none"/>
        </w:rPr>
        <w:fldChar w:fldCharType="separate"/>
      </w:r>
      <w:r>
        <w:rPr>
          <w:b w:val="0"/>
          <w:bCs w:val="0"/>
          <w:color w:val="auto"/>
          <w:highlight w:val="none"/>
        </w:rPr>
        <w:t>46</w:t>
      </w:r>
      <w:r>
        <w:rPr>
          <w:b w:val="0"/>
          <w:bCs w:val="0"/>
          <w:color w:val="auto"/>
          <w:highlight w:val="none"/>
        </w:rPr>
        <w:fldChar w:fldCharType="end"/>
      </w:r>
      <w:r>
        <w:rPr>
          <w:b w:val="0"/>
          <w:bCs w:val="0"/>
          <w:color w:val="auto"/>
          <w:highlight w:val="none"/>
        </w:rPr>
        <w:fldChar w:fldCharType="end"/>
      </w:r>
    </w:p>
    <w:p w14:paraId="51BD17DC">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"_Toc256000080" </w:instrText>
      </w:r>
      <w:r>
        <w:rPr>
          <w:b w:val="0"/>
          <w:bCs w:val="0"/>
          <w:color w:val="auto"/>
          <w:highlight w:val="none"/>
        </w:rPr>
        <w:fldChar w:fldCharType="separate"/>
      </w:r>
      <w:r>
        <w:rPr>
          <w:rStyle w:val="28"/>
          <w:rFonts w:hint="eastAsia"/>
          <w:b w:val="0"/>
          <w:bCs w:val="0"/>
          <w:color w:val="auto"/>
          <w:highlight w:val="none"/>
        </w:rPr>
        <w:t>附表十一：异议答复函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_Toc256000080 \h </w:instrText>
      </w:r>
      <w:r>
        <w:rPr>
          <w:b w:val="0"/>
          <w:bCs w:val="0"/>
          <w:color w:val="auto"/>
          <w:highlight w:val="none"/>
        </w:rPr>
        <w:fldChar w:fldCharType="separate"/>
      </w:r>
      <w:r>
        <w:rPr>
          <w:b w:val="0"/>
          <w:bCs w:val="0"/>
          <w:color w:val="auto"/>
          <w:highlight w:val="none"/>
        </w:rPr>
        <w:t>47</w:t>
      </w:r>
      <w:r>
        <w:rPr>
          <w:b w:val="0"/>
          <w:bCs w:val="0"/>
          <w:color w:val="auto"/>
          <w:highlight w:val="none"/>
        </w:rPr>
        <w:fldChar w:fldCharType="end"/>
      </w:r>
      <w:r>
        <w:rPr>
          <w:b w:val="0"/>
          <w:bCs w:val="0"/>
          <w:color w:val="auto"/>
          <w:highlight w:val="none"/>
        </w:rPr>
        <w:fldChar w:fldCharType="end"/>
      </w:r>
    </w:p>
    <w:p w14:paraId="7464F23C">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"_Toc256000081" </w:instrText>
      </w:r>
      <w:r>
        <w:rPr>
          <w:b w:val="0"/>
          <w:bCs w:val="0"/>
          <w:color w:val="auto"/>
          <w:highlight w:val="none"/>
        </w:rPr>
        <w:fldChar w:fldCharType="separate"/>
      </w:r>
      <w:r>
        <w:rPr>
          <w:rStyle w:val="28"/>
          <w:rFonts w:ascii="黑体" w:hAnsi="黑体" w:eastAsia="黑体"/>
          <w:b w:val="0"/>
          <w:bCs w:val="0"/>
          <w:color w:val="auto"/>
          <w:highlight w:val="none"/>
        </w:rPr>
        <w:t>第三章</w:t>
      </w:r>
      <w:r>
        <w:rPr>
          <w:rStyle w:val="28"/>
          <w:rFonts w:hint="eastAsia" w:ascii="黑体" w:hAnsi="黑体" w:eastAsia="黑体"/>
          <w:b w:val="0"/>
          <w:bCs w:val="0"/>
          <w:color w:val="auto"/>
          <w:highlight w:val="none"/>
        </w:rPr>
        <w:t xml:space="preserve">  </w:t>
      </w:r>
      <w:r>
        <w:rPr>
          <w:rStyle w:val="28"/>
          <w:rFonts w:ascii="黑体" w:hAnsi="黑体" w:eastAsia="黑体"/>
          <w:b w:val="0"/>
          <w:bCs w:val="0"/>
          <w:color w:val="auto"/>
          <w:highlight w:val="none"/>
        </w:rPr>
        <w:t>评标办法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_Toc256000081 \h </w:instrText>
      </w:r>
      <w:r>
        <w:rPr>
          <w:b w:val="0"/>
          <w:bCs w:val="0"/>
          <w:color w:val="auto"/>
          <w:highlight w:val="none"/>
        </w:rPr>
        <w:fldChar w:fldCharType="separate"/>
      </w:r>
      <w:r>
        <w:rPr>
          <w:b w:val="0"/>
          <w:bCs w:val="0"/>
          <w:color w:val="auto"/>
          <w:highlight w:val="none"/>
        </w:rPr>
        <w:t>48</w:t>
      </w:r>
      <w:r>
        <w:rPr>
          <w:b w:val="0"/>
          <w:bCs w:val="0"/>
          <w:color w:val="auto"/>
          <w:highlight w:val="none"/>
        </w:rPr>
        <w:fldChar w:fldCharType="end"/>
      </w:r>
      <w:r>
        <w:rPr>
          <w:b w:val="0"/>
          <w:bCs w:val="0"/>
          <w:color w:val="auto"/>
          <w:highlight w:val="none"/>
        </w:rPr>
        <w:fldChar w:fldCharType="end"/>
      </w:r>
    </w:p>
    <w:p w14:paraId="063E4A8E">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"_Toc256000082" </w:instrText>
      </w:r>
      <w:r>
        <w:rPr>
          <w:b w:val="0"/>
          <w:bCs w:val="0"/>
          <w:color w:val="auto"/>
          <w:highlight w:val="none"/>
        </w:rPr>
        <w:fldChar w:fldCharType="separate"/>
      </w:r>
      <w:r>
        <w:rPr>
          <w:rStyle w:val="28"/>
          <w:rFonts w:hint="eastAsia"/>
          <w:b w:val="0"/>
          <w:bCs w:val="0"/>
          <w:color w:val="auto"/>
          <w:highlight w:val="none"/>
        </w:rPr>
        <w:t>评标办法前附表（综合评估法）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_Toc256000082 \h </w:instrText>
      </w:r>
      <w:r>
        <w:rPr>
          <w:b w:val="0"/>
          <w:bCs w:val="0"/>
          <w:color w:val="auto"/>
          <w:highlight w:val="none"/>
        </w:rPr>
        <w:fldChar w:fldCharType="separate"/>
      </w:r>
      <w:r>
        <w:rPr>
          <w:b w:val="0"/>
          <w:bCs w:val="0"/>
          <w:color w:val="auto"/>
          <w:highlight w:val="none"/>
        </w:rPr>
        <w:t>49</w:t>
      </w:r>
      <w:r>
        <w:rPr>
          <w:b w:val="0"/>
          <w:bCs w:val="0"/>
          <w:color w:val="auto"/>
          <w:highlight w:val="none"/>
        </w:rPr>
        <w:fldChar w:fldCharType="end"/>
      </w:r>
      <w:r>
        <w:rPr>
          <w:b w:val="0"/>
          <w:bCs w:val="0"/>
          <w:color w:val="auto"/>
          <w:highlight w:val="none"/>
        </w:rPr>
        <w:fldChar w:fldCharType="end"/>
      </w:r>
    </w:p>
    <w:p w14:paraId="604421E7">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"_Toc256000083" </w:instrText>
      </w:r>
      <w:r>
        <w:rPr>
          <w:b w:val="0"/>
          <w:bCs w:val="0"/>
          <w:color w:val="auto"/>
          <w:highlight w:val="none"/>
        </w:rPr>
        <w:fldChar w:fldCharType="separate"/>
      </w:r>
      <w:r>
        <w:rPr>
          <w:rStyle w:val="28"/>
          <w:rFonts w:hint="eastAsia"/>
          <w:b w:val="0"/>
          <w:bCs w:val="0"/>
          <w:color w:val="auto"/>
          <w:highlight w:val="none"/>
        </w:rPr>
        <w:t>评标办法正文部分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_Toc256000083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69099A82">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"_Toc256000084"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1.评标方法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_Toc256000084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5CBDA10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"_Toc256000085"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2.评审标准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_Toc256000085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329D21B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"_Toc256000086"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2.1初步评审标准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_Toc256000086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6546F33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"_Toc256000087"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2.2分值构成与评分标准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_Toc256000087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49130C1B">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"_Toc256000088" </w:instrText>
      </w:r>
      <w:r>
        <w:rPr>
          <w:b w:val="0"/>
          <w:bCs w:val="0"/>
          <w:color w:val="auto"/>
          <w:highlight w:val="none"/>
        </w:rPr>
        <w:fldChar w:fldCharType="separate"/>
      </w:r>
      <w:r>
        <w:rPr>
          <w:rStyle w:val="28"/>
          <w:rFonts w:hint="eastAsia"/>
          <w:b w:val="0"/>
          <w:bCs w:val="0"/>
          <w:color w:val="auto"/>
          <w:highlight w:val="none"/>
        </w:rPr>
        <w:t>3.评标程序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_Toc256000088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0698B58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"_Toc256000090"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3.1初步评审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_Toc256000090 \h </w:instrText>
      </w:r>
      <w:r>
        <w:rPr>
          <w:b w:val="0"/>
          <w:bCs w:val="0"/>
          <w:color w:val="auto"/>
          <w:highlight w:val="none"/>
        </w:rPr>
        <w:fldChar w:fldCharType="separate"/>
      </w:r>
      <w:r>
        <w:rPr>
          <w:b w:val="0"/>
          <w:bCs w:val="0"/>
          <w:color w:val="auto"/>
          <w:highlight w:val="none"/>
        </w:rPr>
        <w:t>55</w:t>
      </w:r>
      <w:r>
        <w:rPr>
          <w:b w:val="0"/>
          <w:bCs w:val="0"/>
          <w:color w:val="auto"/>
          <w:highlight w:val="none"/>
        </w:rPr>
        <w:fldChar w:fldCharType="end"/>
      </w:r>
      <w:r>
        <w:rPr>
          <w:b w:val="0"/>
          <w:bCs w:val="0"/>
          <w:color w:val="auto"/>
          <w:highlight w:val="none"/>
        </w:rPr>
        <w:fldChar w:fldCharType="end"/>
      </w:r>
    </w:p>
    <w:p w14:paraId="7680CCC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"_Toc256000091"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3.2详细评审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_Toc256000091 \h </w:instrText>
      </w:r>
      <w:r>
        <w:rPr>
          <w:b w:val="0"/>
          <w:bCs w:val="0"/>
          <w:color w:val="auto"/>
          <w:highlight w:val="none"/>
        </w:rPr>
        <w:fldChar w:fldCharType="separate"/>
      </w:r>
      <w:r>
        <w:rPr>
          <w:b w:val="0"/>
          <w:bCs w:val="0"/>
          <w:color w:val="auto"/>
          <w:highlight w:val="none"/>
        </w:rPr>
        <w:t>56</w:t>
      </w:r>
      <w:r>
        <w:rPr>
          <w:b w:val="0"/>
          <w:bCs w:val="0"/>
          <w:color w:val="auto"/>
          <w:highlight w:val="none"/>
        </w:rPr>
        <w:fldChar w:fldCharType="end"/>
      </w:r>
      <w:r>
        <w:rPr>
          <w:b w:val="0"/>
          <w:bCs w:val="0"/>
          <w:color w:val="auto"/>
          <w:highlight w:val="none"/>
        </w:rPr>
        <w:fldChar w:fldCharType="end"/>
      </w:r>
    </w:p>
    <w:p w14:paraId="29E863D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"_Toc256000092"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3.3投标文件的澄清和补正</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_Toc256000092 \h </w:instrText>
      </w:r>
      <w:r>
        <w:rPr>
          <w:b w:val="0"/>
          <w:bCs w:val="0"/>
          <w:color w:val="auto"/>
          <w:highlight w:val="none"/>
        </w:rPr>
        <w:fldChar w:fldCharType="separate"/>
      </w:r>
      <w:r>
        <w:rPr>
          <w:b w:val="0"/>
          <w:bCs w:val="0"/>
          <w:color w:val="auto"/>
          <w:highlight w:val="none"/>
        </w:rPr>
        <w:t>57</w:t>
      </w:r>
      <w:r>
        <w:rPr>
          <w:b w:val="0"/>
          <w:bCs w:val="0"/>
          <w:color w:val="auto"/>
          <w:highlight w:val="none"/>
        </w:rPr>
        <w:fldChar w:fldCharType="end"/>
      </w:r>
      <w:r>
        <w:rPr>
          <w:b w:val="0"/>
          <w:bCs w:val="0"/>
          <w:color w:val="auto"/>
          <w:highlight w:val="none"/>
        </w:rPr>
        <w:fldChar w:fldCharType="end"/>
      </w:r>
    </w:p>
    <w:p w14:paraId="2FB1819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"_Toc256000093" </w:instrText>
      </w:r>
      <w:r>
        <w:rPr>
          <w:b w:val="0"/>
          <w:bCs w:val="0"/>
          <w:color w:val="auto"/>
          <w:highlight w:val="none"/>
        </w:rPr>
        <w:fldChar w:fldCharType="separate"/>
      </w:r>
      <w:r>
        <w:rPr>
          <w:rStyle w:val="28"/>
          <w:rFonts w:hint="eastAsia" w:ascii="Times New Roman" w:hAnsi="Times New Roman" w:eastAsia="黑体"/>
          <w:b w:val="0"/>
          <w:bCs w:val="0"/>
          <w:color w:val="auto"/>
          <w:kern w:val="2"/>
          <w:highlight w:val="none"/>
          <w:lang w:bidi="ar"/>
        </w:rPr>
        <w:t>3.4评标结果</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_Toc256000093 \h </w:instrText>
      </w:r>
      <w:r>
        <w:rPr>
          <w:b w:val="0"/>
          <w:bCs w:val="0"/>
          <w:color w:val="auto"/>
          <w:highlight w:val="none"/>
        </w:rPr>
        <w:fldChar w:fldCharType="separate"/>
      </w:r>
      <w:r>
        <w:rPr>
          <w:b w:val="0"/>
          <w:bCs w:val="0"/>
          <w:color w:val="auto"/>
          <w:highlight w:val="none"/>
        </w:rPr>
        <w:t>57</w:t>
      </w:r>
      <w:r>
        <w:rPr>
          <w:b w:val="0"/>
          <w:bCs w:val="0"/>
          <w:color w:val="auto"/>
          <w:highlight w:val="none"/>
        </w:rPr>
        <w:fldChar w:fldCharType="end"/>
      </w:r>
      <w:r>
        <w:rPr>
          <w:b w:val="0"/>
          <w:bCs w:val="0"/>
          <w:color w:val="auto"/>
          <w:highlight w:val="none"/>
        </w:rPr>
        <w:fldChar w:fldCharType="end"/>
      </w:r>
    </w:p>
    <w:p w14:paraId="06FC9110">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"_Toc256000094" </w:instrText>
      </w:r>
      <w:r>
        <w:rPr>
          <w:b w:val="0"/>
          <w:bCs w:val="0"/>
          <w:color w:val="auto"/>
          <w:highlight w:val="none"/>
        </w:rPr>
        <w:fldChar w:fldCharType="separate"/>
      </w:r>
      <w:r>
        <w:rPr>
          <w:rStyle w:val="28"/>
          <w:rFonts w:hint="eastAsia"/>
          <w:b w:val="0"/>
          <w:bCs w:val="0"/>
          <w:color w:val="auto"/>
          <w:highlight w:val="none"/>
        </w:rPr>
        <w:t>附件A：评标详细程序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_Toc256000094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1AA82B0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"_Toc256000095" </w:instrText>
      </w:r>
      <w:r>
        <w:rPr>
          <w:b w:val="0"/>
          <w:bCs w:val="0"/>
          <w:color w:val="auto"/>
          <w:highlight w:val="none"/>
        </w:rPr>
        <w:fldChar w:fldCharType="separate"/>
      </w:r>
      <w:r>
        <w:rPr>
          <w:rStyle w:val="28"/>
          <w:rFonts w:hint="eastAsia"/>
          <w:b w:val="0"/>
          <w:bCs w:val="0"/>
          <w:color w:val="auto"/>
          <w:highlight w:val="none"/>
        </w:rPr>
        <w:t>A0.总  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_Toc256000095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4AB3D53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"_Toc256000096" </w:instrText>
      </w:r>
      <w:r>
        <w:rPr>
          <w:b w:val="0"/>
          <w:bCs w:val="0"/>
          <w:color w:val="auto"/>
          <w:highlight w:val="none"/>
        </w:rPr>
        <w:fldChar w:fldCharType="separate"/>
      </w:r>
      <w:r>
        <w:rPr>
          <w:rStyle w:val="28"/>
          <w:rFonts w:hint="eastAsia"/>
          <w:b w:val="0"/>
          <w:bCs w:val="0"/>
          <w:color w:val="auto"/>
          <w:highlight w:val="none"/>
        </w:rPr>
        <w:t>A1.基本程序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_Toc256000096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00939D5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"_Toc256000097" </w:instrText>
      </w:r>
      <w:r>
        <w:rPr>
          <w:b w:val="0"/>
          <w:bCs w:val="0"/>
          <w:color w:val="auto"/>
          <w:highlight w:val="none"/>
        </w:rPr>
        <w:fldChar w:fldCharType="separate"/>
      </w:r>
      <w:r>
        <w:rPr>
          <w:rStyle w:val="28"/>
          <w:rFonts w:hint="eastAsia"/>
          <w:b w:val="0"/>
          <w:bCs w:val="0"/>
          <w:color w:val="auto"/>
          <w:highlight w:val="none"/>
        </w:rPr>
        <w:t>A2.评标准备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_Toc256000097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0343260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"_Toc256000098" </w:instrText>
      </w:r>
      <w:r>
        <w:rPr>
          <w:b w:val="0"/>
          <w:bCs w:val="0"/>
          <w:color w:val="auto"/>
          <w:highlight w:val="none"/>
        </w:rPr>
        <w:fldChar w:fldCharType="separate"/>
      </w:r>
      <w:r>
        <w:rPr>
          <w:rStyle w:val="28"/>
          <w:rFonts w:hint="eastAsia"/>
          <w:b w:val="0"/>
          <w:bCs w:val="0"/>
          <w:color w:val="auto"/>
          <w:highlight w:val="none"/>
        </w:rPr>
        <w:t>A2.1评标委员会成员签到</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_Toc256000098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1CDB0C2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"_Toc256000099" </w:instrText>
      </w:r>
      <w:r>
        <w:rPr>
          <w:b w:val="0"/>
          <w:bCs w:val="0"/>
          <w:color w:val="auto"/>
          <w:highlight w:val="none"/>
        </w:rPr>
        <w:fldChar w:fldCharType="separate"/>
      </w:r>
      <w:r>
        <w:rPr>
          <w:rStyle w:val="28"/>
          <w:rFonts w:hint="eastAsia"/>
          <w:b w:val="0"/>
          <w:bCs w:val="0"/>
          <w:color w:val="auto"/>
          <w:highlight w:val="none"/>
        </w:rPr>
        <w:t>A2.2评标委员会的分工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_Toc256000099 \h </w:instrText>
      </w:r>
      <w:r>
        <w:rPr>
          <w:b w:val="0"/>
          <w:bCs w:val="0"/>
          <w:color w:val="auto"/>
          <w:highlight w:val="none"/>
        </w:rPr>
        <w:fldChar w:fldCharType="separate"/>
      </w:r>
      <w:r>
        <w:rPr>
          <w:b w:val="0"/>
          <w:bCs w:val="0"/>
          <w:color w:val="auto"/>
          <w:highlight w:val="none"/>
        </w:rPr>
        <w:t>58</w:t>
      </w:r>
      <w:r>
        <w:rPr>
          <w:b w:val="0"/>
          <w:bCs w:val="0"/>
          <w:color w:val="auto"/>
          <w:highlight w:val="none"/>
        </w:rPr>
        <w:fldChar w:fldCharType="end"/>
      </w:r>
      <w:r>
        <w:rPr>
          <w:b w:val="0"/>
          <w:bCs w:val="0"/>
          <w:color w:val="auto"/>
          <w:highlight w:val="none"/>
        </w:rPr>
        <w:fldChar w:fldCharType="end"/>
      </w:r>
    </w:p>
    <w:p w14:paraId="100FB15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"_Toc256000100" </w:instrText>
      </w:r>
      <w:r>
        <w:rPr>
          <w:b w:val="0"/>
          <w:bCs w:val="0"/>
          <w:color w:val="auto"/>
          <w:highlight w:val="none"/>
        </w:rPr>
        <w:fldChar w:fldCharType="separate"/>
      </w:r>
      <w:r>
        <w:rPr>
          <w:rStyle w:val="28"/>
          <w:rFonts w:hint="eastAsia"/>
          <w:b w:val="0"/>
          <w:bCs w:val="0"/>
          <w:color w:val="auto"/>
          <w:highlight w:val="none"/>
        </w:rPr>
        <w:t>A2.3熟悉文件资料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_Toc256000100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279F46AB">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"_Toc256000101" </w:instrText>
      </w:r>
      <w:r>
        <w:rPr>
          <w:b w:val="0"/>
          <w:bCs w:val="0"/>
          <w:color w:val="auto"/>
          <w:highlight w:val="none"/>
        </w:rPr>
        <w:fldChar w:fldCharType="separate"/>
      </w:r>
      <w:r>
        <w:rPr>
          <w:rStyle w:val="28"/>
          <w:rFonts w:hint="eastAsia"/>
          <w:b w:val="0"/>
          <w:bCs w:val="0"/>
          <w:color w:val="auto"/>
          <w:highlight w:val="none"/>
        </w:rPr>
        <w:t>A2.4暗标编号</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_Toc256000101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1FB86CE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"_Toc256000102" </w:instrText>
      </w:r>
      <w:r>
        <w:rPr>
          <w:b w:val="0"/>
          <w:bCs w:val="0"/>
          <w:color w:val="auto"/>
          <w:highlight w:val="none"/>
        </w:rPr>
        <w:fldChar w:fldCharType="separate"/>
      </w:r>
      <w:r>
        <w:rPr>
          <w:rStyle w:val="28"/>
          <w:rFonts w:hint="eastAsia"/>
          <w:b w:val="0"/>
          <w:bCs w:val="0"/>
          <w:color w:val="auto"/>
          <w:highlight w:val="none"/>
        </w:rPr>
        <w:t>A2.5对投标文件进行基础性数据分析和整理工作</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_Toc256000102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1D4D6BA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"_Toc256000103" </w:instrText>
      </w:r>
      <w:r>
        <w:rPr>
          <w:b w:val="0"/>
          <w:bCs w:val="0"/>
          <w:color w:val="auto"/>
          <w:highlight w:val="none"/>
        </w:rPr>
        <w:fldChar w:fldCharType="separate"/>
      </w:r>
      <w:r>
        <w:rPr>
          <w:rStyle w:val="28"/>
          <w:rFonts w:hint="eastAsia"/>
          <w:b w:val="0"/>
          <w:bCs w:val="0"/>
          <w:color w:val="auto"/>
          <w:highlight w:val="none"/>
        </w:rPr>
        <w:t>A3</w:t>
      </w:r>
      <w:r>
        <w:rPr>
          <w:rStyle w:val="28"/>
          <w:b w:val="0"/>
          <w:bCs w:val="0"/>
          <w:color w:val="auto"/>
          <w:highlight w:val="none"/>
        </w:rPr>
        <w:t>.</w:t>
      </w:r>
      <w:r>
        <w:rPr>
          <w:rStyle w:val="28"/>
          <w:rFonts w:hint="eastAsia"/>
          <w:b w:val="0"/>
          <w:bCs w:val="0"/>
          <w:color w:val="auto"/>
          <w:highlight w:val="none"/>
        </w:rPr>
        <w:t>初步评审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_Toc256000103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53C5AD8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"_Toc256000104" </w:instrText>
      </w:r>
      <w:r>
        <w:rPr>
          <w:b w:val="0"/>
          <w:bCs w:val="0"/>
          <w:color w:val="auto"/>
          <w:highlight w:val="none"/>
        </w:rPr>
        <w:fldChar w:fldCharType="separate"/>
      </w:r>
      <w:r>
        <w:rPr>
          <w:rStyle w:val="28"/>
          <w:rFonts w:hint="eastAsia"/>
          <w:b w:val="0"/>
          <w:bCs w:val="0"/>
          <w:color w:val="auto"/>
          <w:highlight w:val="none"/>
        </w:rPr>
        <w:t>A3.1形式评审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_Toc256000104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19B92D4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"_Toc256000105" </w:instrText>
      </w:r>
      <w:r>
        <w:rPr>
          <w:b w:val="0"/>
          <w:bCs w:val="0"/>
          <w:color w:val="auto"/>
          <w:highlight w:val="none"/>
        </w:rPr>
        <w:fldChar w:fldCharType="separate"/>
      </w:r>
      <w:r>
        <w:rPr>
          <w:rStyle w:val="28"/>
          <w:rFonts w:hint="eastAsia"/>
          <w:b w:val="0"/>
          <w:bCs w:val="0"/>
          <w:color w:val="auto"/>
          <w:highlight w:val="none"/>
        </w:rPr>
        <w:t>A3.2资格评审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_Toc256000105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31227C5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"_Toc256000106" </w:instrText>
      </w:r>
      <w:r>
        <w:rPr>
          <w:b w:val="0"/>
          <w:bCs w:val="0"/>
          <w:color w:val="auto"/>
          <w:highlight w:val="none"/>
        </w:rPr>
        <w:fldChar w:fldCharType="separate"/>
      </w:r>
      <w:r>
        <w:rPr>
          <w:rStyle w:val="28"/>
          <w:rFonts w:hint="eastAsia"/>
          <w:b w:val="0"/>
          <w:bCs w:val="0"/>
          <w:color w:val="auto"/>
          <w:highlight w:val="none"/>
        </w:rPr>
        <w:t>A3.3响应性评审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_Toc256000106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58918D6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"_Toc256000107" </w:instrText>
      </w:r>
      <w:r>
        <w:rPr>
          <w:b w:val="0"/>
          <w:bCs w:val="0"/>
          <w:color w:val="auto"/>
          <w:highlight w:val="none"/>
        </w:rPr>
        <w:fldChar w:fldCharType="separate"/>
      </w:r>
      <w:r>
        <w:rPr>
          <w:rStyle w:val="28"/>
          <w:rFonts w:hint="eastAsia"/>
          <w:b w:val="0"/>
          <w:bCs w:val="0"/>
          <w:color w:val="auto"/>
          <w:highlight w:val="none"/>
        </w:rPr>
        <w:t>A3.</w:t>
      </w:r>
      <w:r>
        <w:rPr>
          <w:rStyle w:val="28"/>
          <w:b w:val="0"/>
          <w:bCs w:val="0"/>
          <w:color w:val="auto"/>
          <w:highlight w:val="none"/>
        </w:rPr>
        <w:t>4</w:t>
      </w:r>
      <w:r>
        <w:rPr>
          <w:rStyle w:val="28"/>
          <w:rFonts w:hint="eastAsia"/>
          <w:b w:val="0"/>
          <w:bCs w:val="0"/>
          <w:color w:val="auto"/>
          <w:highlight w:val="none"/>
        </w:rPr>
        <w:t>算术错误修正</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_Toc256000107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51D81B3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"_Toc256000108" </w:instrText>
      </w:r>
      <w:r>
        <w:rPr>
          <w:b w:val="0"/>
          <w:bCs w:val="0"/>
          <w:color w:val="auto"/>
          <w:highlight w:val="none"/>
        </w:rPr>
        <w:fldChar w:fldCharType="separate"/>
      </w:r>
      <w:r>
        <w:rPr>
          <w:rStyle w:val="28"/>
          <w:rFonts w:hint="eastAsia"/>
          <w:b w:val="0"/>
          <w:bCs w:val="0"/>
          <w:color w:val="auto"/>
          <w:highlight w:val="none"/>
        </w:rPr>
        <w:t>A3.</w:t>
      </w:r>
      <w:r>
        <w:rPr>
          <w:rStyle w:val="28"/>
          <w:b w:val="0"/>
          <w:bCs w:val="0"/>
          <w:color w:val="auto"/>
          <w:highlight w:val="none"/>
        </w:rPr>
        <w:t>5</w:t>
      </w:r>
      <w:r>
        <w:rPr>
          <w:rStyle w:val="28"/>
          <w:rFonts w:hint="eastAsia"/>
          <w:b w:val="0"/>
          <w:bCs w:val="0"/>
          <w:color w:val="auto"/>
          <w:highlight w:val="none"/>
        </w:rPr>
        <w:t>判断投标报价是否低于成本</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_Toc256000108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7EA9FD6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"_Toc256000109" </w:instrText>
      </w:r>
      <w:r>
        <w:rPr>
          <w:b w:val="0"/>
          <w:bCs w:val="0"/>
          <w:color w:val="auto"/>
          <w:highlight w:val="none"/>
        </w:rPr>
        <w:fldChar w:fldCharType="separate"/>
      </w:r>
      <w:r>
        <w:rPr>
          <w:rStyle w:val="28"/>
          <w:rFonts w:hint="eastAsia"/>
          <w:b w:val="0"/>
          <w:bCs w:val="0"/>
          <w:color w:val="auto"/>
          <w:highlight w:val="none"/>
        </w:rPr>
        <w:t>A3.</w:t>
      </w:r>
      <w:r>
        <w:rPr>
          <w:rStyle w:val="28"/>
          <w:b w:val="0"/>
          <w:bCs w:val="0"/>
          <w:color w:val="auto"/>
          <w:highlight w:val="none"/>
        </w:rPr>
        <w:t>6</w:t>
      </w:r>
      <w:r>
        <w:rPr>
          <w:rStyle w:val="28"/>
          <w:rFonts w:hint="eastAsia"/>
          <w:b w:val="0"/>
          <w:bCs w:val="0"/>
          <w:color w:val="auto"/>
          <w:highlight w:val="none"/>
        </w:rPr>
        <w:t xml:space="preserve"> 判断投标是否为应当被否决</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_Toc256000109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230DC59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"_Toc256000110" </w:instrText>
      </w:r>
      <w:r>
        <w:rPr>
          <w:b w:val="0"/>
          <w:bCs w:val="0"/>
          <w:color w:val="auto"/>
          <w:highlight w:val="none"/>
        </w:rPr>
        <w:fldChar w:fldCharType="separate"/>
      </w:r>
      <w:r>
        <w:rPr>
          <w:rStyle w:val="28"/>
          <w:rFonts w:hint="eastAsia"/>
          <w:b w:val="0"/>
          <w:bCs w:val="0"/>
          <w:color w:val="auto"/>
          <w:highlight w:val="none"/>
        </w:rPr>
        <w:t>A3.</w:t>
      </w:r>
      <w:r>
        <w:rPr>
          <w:rStyle w:val="28"/>
          <w:b w:val="0"/>
          <w:bCs w:val="0"/>
          <w:color w:val="auto"/>
          <w:highlight w:val="none"/>
        </w:rPr>
        <w:t>7</w:t>
      </w:r>
      <w:r>
        <w:rPr>
          <w:rStyle w:val="28"/>
          <w:rFonts w:hint="eastAsia"/>
          <w:b w:val="0"/>
          <w:bCs w:val="0"/>
          <w:color w:val="auto"/>
          <w:highlight w:val="none"/>
        </w:rPr>
        <w:t xml:space="preserve"> 澄清、说明或补正</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_Toc256000110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7621486B">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"_Toc256000111" </w:instrText>
      </w:r>
      <w:r>
        <w:rPr>
          <w:b w:val="0"/>
          <w:bCs w:val="0"/>
          <w:color w:val="auto"/>
          <w:highlight w:val="none"/>
        </w:rPr>
        <w:fldChar w:fldCharType="separate"/>
      </w:r>
      <w:r>
        <w:rPr>
          <w:rStyle w:val="28"/>
          <w:rFonts w:hint="eastAsia"/>
          <w:b w:val="0"/>
          <w:bCs w:val="0"/>
          <w:color w:val="auto"/>
          <w:highlight w:val="none"/>
        </w:rPr>
        <w:t>A4.详细评审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_Toc256000111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58991124">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"_Toc256000112" </w:instrText>
      </w:r>
      <w:r>
        <w:rPr>
          <w:b w:val="0"/>
          <w:bCs w:val="0"/>
          <w:color w:val="auto"/>
          <w:highlight w:val="none"/>
        </w:rPr>
        <w:fldChar w:fldCharType="separate"/>
      </w:r>
      <w:r>
        <w:rPr>
          <w:rStyle w:val="28"/>
          <w:rFonts w:hint="eastAsia"/>
          <w:b w:val="0"/>
          <w:bCs w:val="0"/>
          <w:color w:val="auto"/>
          <w:highlight w:val="none"/>
        </w:rPr>
        <w:t>A4.1详细评审的程序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_Toc256000112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29B74B0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"_Toc256000113" </w:instrText>
      </w:r>
      <w:r>
        <w:rPr>
          <w:b w:val="0"/>
          <w:bCs w:val="0"/>
          <w:color w:val="auto"/>
          <w:highlight w:val="none"/>
        </w:rPr>
        <w:fldChar w:fldCharType="separate"/>
      </w:r>
      <w:r>
        <w:rPr>
          <w:rStyle w:val="28"/>
          <w:rFonts w:hint="eastAsia"/>
          <w:b w:val="0"/>
          <w:bCs w:val="0"/>
          <w:color w:val="auto"/>
          <w:highlight w:val="none"/>
        </w:rPr>
        <w:t>A4.2经济标评审和评分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_Toc256000113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7750B81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"_Toc256000114" </w:instrText>
      </w:r>
      <w:r>
        <w:rPr>
          <w:b w:val="0"/>
          <w:bCs w:val="0"/>
          <w:color w:val="auto"/>
          <w:highlight w:val="none"/>
        </w:rPr>
        <w:fldChar w:fldCharType="separate"/>
      </w:r>
      <w:r>
        <w:rPr>
          <w:rStyle w:val="28"/>
          <w:rFonts w:hint="eastAsia"/>
          <w:b w:val="0"/>
          <w:bCs w:val="0"/>
          <w:color w:val="auto"/>
          <w:highlight w:val="none"/>
        </w:rPr>
        <w:t>A4.3 承包人建议书评审和评分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_Toc256000114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25186C9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"_Toc256000115" </w:instrText>
      </w:r>
      <w:r>
        <w:rPr>
          <w:b w:val="0"/>
          <w:bCs w:val="0"/>
          <w:color w:val="auto"/>
          <w:highlight w:val="none"/>
        </w:rPr>
        <w:fldChar w:fldCharType="separate"/>
      </w:r>
      <w:r>
        <w:rPr>
          <w:rStyle w:val="28"/>
          <w:rFonts w:hint="eastAsia"/>
          <w:b w:val="0"/>
          <w:bCs w:val="0"/>
          <w:color w:val="auto"/>
          <w:highlight w:val="none"/>
        </w:rPr>
        <w:t>A4.4 技术标评审和评分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_Toc256000115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46DAB01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"_Toc256000116" </w:instrText>
      </w:r>
      <w:r>
        <w:rPr>
          <w:b w:val="0"/>
          <w:bCs w:val="0"/>
          <w:color w:val="auto"/>
          <w:highlight w:val="none"/>
        </w:rPr>
        <w:fldChar w:fldCharType="separate"/>
      </w:r>
      <w:r>
        <w:rPr>
          <w:rStyle w:val="28"/>
          <w:rFonts w:hint="eastAsia"/>
          <w:b w:val="0"/>
          <w:bCs w:val="0"/>
          <w:color w:val="auto"/>
          <w:highlight w:val="none"/>
        </w:rPr>
        <w:t>A4.5 资信标评审和评分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_Toc256000116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18AED94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"_Toc256000117" </w:instrText>
      </w:r>
      <w:r>
        <w:rPr>
          <w:b w:val="0"/>
          <w:bCs w:val="0"/>
          <w:color w:val="auto"/>
          <w:highlight w:val="none"/>
        </w:rPr>
        <w:fldChar w:fldCharType="separate"/>
      </w:r>
      <w:r>
        <w:rPr>
          <w:rStyle w:val="28"/>
          <w:rFonts w:hint="eastAsia"/>
          <w:b w:val="0"/>
          <w:bCs w:val="0"/>
          <w:color w:val="auto"/>
          <w:highlight w:val="none"/>
        </w:rPr>
        <w:t>A4.6 其他因素的评审和评分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_Toc256000117 \h </w:instrText>
      </w:r>
      <w:r>
        <w:rPr>
          <w:b w:val="0"/>
          <w:bCs w:val="0"/>
          <w:color w:val="auto"/>
          <w:highlight w:val="none"/>
        </w:rPr>
        <w:fldChar w:fldCharType="separate"/>
      </w:r>
      <w:r>
        <w:rPr>
          <w:b w:val="0"/>
          <w:bCs w:val="0"/>
          <w:color w:val="auto"/>
          <w:highlight w:val="none"/>
        </w:rPr>
        <w:t>61</w:t>
      </w:r>
      <w:r>
        <w:rPr>
          <w:b w:val="0"/>
          <w:bCs w:val="0"/>
          <w:color w:val="auto"/>
          <w:highlight w:val="none"/>
        </w:rPr>
        <w:fldChar w:fldCharType="end"/>
      </w:r>
      <w:r>
        <w:rPr>
          <w:b w:val="0"/>
          <w:bCs w:val="0"/>
          <w:color w:val="auto"/>
          <w:highlight w:val="none"/>
        </w:rPr>
        <w:fldChar w:fldCharType="end"/>
      </w:r>
    </w:p>
    <w:p w14:paraId="08CE198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"_Toc256000118" </w:instrText>
      </w:r>
      <w:r>
        <w:rPr>
          <w:b w:val="0"/>
          <w:bCs w:val="0"/>
          <w:color w:val="auto"/>
          <w:highlight w:val="none"/>
        </w:rPr>
        <w:fldChar w:fldCharType="separate"/>
      </w:r>
      <w:r>
        <w:rPr>
          <w:rStyle w:val="28"/>
          <w:rFonts w:hint="eastAsia"/>
          <w:b w:val="0"/>
          <w:bCs w:val="0"/>
          <w:color w:val="auto"/>
          <w:highlight w:val="none"/>
        </w:rPr>
        <w:t>A4.7 澄清、说明或补正</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_Toc256000118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5C601C4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"_Toc256000119" </w:instrText>
      </w:r>
      <w:r>
        <w:rPr>
          <w:b w:val="0"/>
          <w:bCs w:val="0"/>
          <w:color w:val="auto"/>
          <w:highlight w:val="none"/>
        </w:rPr>
        <w:fldChar w:fldCharType="separate"/>
      </w:r>
      <w:r>
        <w:rPr>
          <w:rStyle w:val="28"/>
          <w:rFonts w:hint="eastAsia"/>
          <w:b w:val="0"/>
          <w:bCs w:val="0"/>
          <w:color w:val="auto"/>
          <w:highlight w:val="none"/>
        </w:rPr>
        <w:t>A4.8汇总评分（评审）结果</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_Toc256000119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74BA069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"_Toc256000120" </w:instrText>
      </w:r>
      <w:r>
        <w:rPr>
          <w:b w:val="0"/>
          <w:bCs w:val="0"/>
          <w:color w:val="auto"/>
          <w:highlight w:val="none"/>
        </w:rPr>
        <w:fldChar w:fldCharType="separate"/>
      </w:r>
      <w:r>
        <w:rPr>
          <w:rStyle w:val="28"/>
          <w:rFonts w:hint="eastAsia"/>
          <w:b w:val="0"/>
          <w:bCs w:val="0"/>
          <w:color w:val="auto"/>
          <w:highlight w:val="none"/>
        </w:rPr>
        <w:t>A5</w:t>
      </w:r>
      <w:r>
        <w:rPr>
          <w:rStyle w:val="28"/>
          <w:b w:val="0"/>
          <w:bCs w:val="0"/>
          <w:color w:val="auto"/>
          <w:highlight w:val="none"/>
        </w:rPr>
        <w:t>.</w:t>
      </w:r>
      <w:r>
        <w:rPr>
          <w:rStyle w:val="28"/>
          <w:rFonts w:hint="eastAsia"/>
          <w:b w:val="0"/>
          <w:bCs w:val="0"/>
          <w:color w:val="auto"/>
          <w:highlight w:val="none"/>
        </w:rPr>
        <w:t>推荐中标候选人或者直接确定中标人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_Toc256000120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7BEBC23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"_Toc256000121" </w:instrText>
      </w:r>
      <w:r>
        <w:rPr>
          <w:b w:val="0"/>
          <w:bCs w:val="0"/>
          <w:color w:val="auto"/>
          <w:highlight w:val="none"/>
        </w:rPr>
        <w:fldChar w:fldCharType="separate"/>
      </w:r>
      <w:r>
        <w:rPr>
          <w:rStyle w:val="28"/>
          <w:rFonts w:hint="eastAsia"/>
          <w:b w:val="0"/>
          <w:bCs w:val="0"/>
          <w:color w:val="auto"/>
          <w:highlight w:val="none"/>
        </w:rPr>
        <w:t>A5.1推荐中标候选人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_Toc256000121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5EE2368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"_Toc256000122" </w:instrText>
      </w:r>
      <w:r>
        <w:rPr>
          <w:b w:val="0"/>
          <w:bCs w:val="0"/>
          <w:color w:val="auto"/>
          <w:highlight w:val="none"/>
        </w:rPr>
        <w:fldChar w:fldCharType="separate"/>
      </w:r>
      <w:r>
        <w:rPr>
          <w:rStyle w:val="28"/>
          <w:rFonts w:hint="eastAsia"/>
          <w:b w:val="0"/>
          <w:bCs w:val="0"/>
          <w:color w:val="auto"/>
          <w:highlight w:val="none"/>
        </w:rPr>
        <w:t>A5.2直接确定中标人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_Toc256000122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34E924E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"_Toc256000123" </w:instrText>
      </w:r>
      <w:r>
        <w:rPr>
          <w:b w:val="0"/>
          <w:bCs w:val="0"/>
          <w:color w:val="auto"/>
          <w:highlight w:val="none"/>
        </w:rPr>
        <w:fldChar w:fldCharType="separate"/>
      </w:r>
      <w:r>
        <w:rPr>
          <w:rStyle w:val="28"/>
          <w:rFonts w:hint="eastAsia"/>
          <w:b w:val="0"/>
          <w:bCs w:val="0"/>
          <w:color w:val="auto"/>
          <w:highlight w:val="none"/>
        </w:rPr>
        <w:t>A5.3编制评标报告</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_Toc256000123 \h </w:instrText>
      </w:r>
      <w:r>
        <w:rPr>
          <w:b w:val="0"/>
          <w:bCs w:val="0"/>
          <w:color w:val="auto"/>
          <w:highlight w:val="none"/>
        </w:rPr>
        <w:fldChar w:fldCharType="separate"/>
      </w:r>
      <w:r>
        <w:rPr>
          <w:b w:val="0"/>
          <w:bCs w:val="0"/>
          <w:color w:val="auto"/>
          <w:highlight w:val="none"/>
        </w:rPr>
        <w:t>62</w:t>
      </w:r>
      <w:r>
        <w:rPr>
          <w:b w:val="0"/>
          <w:bCs w:val="0"/>
          <w:color w:val="auto"/>
          <w:highlight w:val="none"/>
        </w:rPr>
        <w:fldChar w:fldCharType="end"/>
      </w:r>
      <w:r>
        <w:rPr>
          <w:b w:val="0"/>
          <w:bCs w:val="0"/>
          <w:color w:val="auto"/>
          <w:highlight w:val="none"/>
        </w:rPr>
        <w:fldChar w:fldCharType="end"/>
      </w:r>
    </w:p>
    <w:p w14:paraId="4FD2197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"_Toc256000124" </w:instrText>
      </w:r>
      <w:r>
        <w:rPr>
          <w:b w:val="0"/>
          <w:bCs w:val="0"/>
          <w:color w:val="auto"/>
          <w:highlight w:val="none"/>
        </w:rPr>
        <w:fldChar w:fldCharType="separate"/>
      </w:r>
      <w:r>
        <w:rPr>
          <w:rStyle w:val="28"/>
          <w:rFonts w:hint="eastAsia"/>
          <w:b w:val="0"/>
          <w:bCs w:val="0"/>
          <w:color w:val="auto"/>
          <w:highlight w:val="none"/>
        </w:rPr>
        <w:t>A6.特殊情况的处置程序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_Toc256000124 \h </w:instrText>
      </w:r>
      <w:r>
        <w:rPr>
          <w:b w:val="0"/>
          <w:bCs w:val="0"/>
          <w:color w:val="auto"/>
          <w:highlight w:val="none"/>
        </w:rPr>
        <w:fldChar w:fldCharType="separate"/>
      </w:r>
      <w:r>
        <w:rPr>
          <w:b w:val="0"/>
          <w:bCs w:val="0"/>
          <w:color w:val="auto"/>
          <w:highlight w:val="none"/>
        </w:rPr>
        <w:t>63</w:t>
      </w:r>
      <w:r>
        <w:rPr>
          <w:b w:val="0"/>
          <w:bCs w:val="0"/>
          <w:color w:val="auto"/>
          <w:highlight w:val="none"/>
        </w:rPr>
        <w:fldChar w:fldCharType="end"/>
      </w:r>
      <w:r>
        <w:rPr>
          <w:b w:val="0"/>
          <w:bCs w:val="0"/>
          <w:color w:val="auto"/>
          <w:highlight w:val="none"/>
        </w:rPr>
        <w:fldChar w:fldCharType="end"/>
      </w:r>
    </w:p>
    <w:p w14:paraId="72B19F2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"_Toc256000125" </w:instrText>
      </w:r>
      <w:r>
        <w:rPr>
          <w:b w:val="0"/>
          <w:bCs w:val="0"/>
          <w:color w:val="auto"/>
          <w:highlight w:val="none"/>
        </w:rPr>
        <w:fldChar w:fldCharType="separate"/>
      </w:r>
      <w:r>
        <w:rPr>
          <w:rStyle w:val="28"/>
          <w:rFonts w:hint="eastAsia"/>
          <w:b w:val="0"/>
          <w:bCs w:val="0"/>
          <w:color w:val="auto"/>
          <w:highlight w:val="none"/>
        </w:rPr>
        <w:t>A6.1暗标评审的评审程序规定（适用于对技术标进行暗标评审的）</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_Toc256000125 \h </w:instrText>
      </w:r>
      <w:r>
        <w:rPr>
          <w:b w:val="0"/>
          <w:bCs w:val="0"/>
          <w:color w:val="auto"/>
          <w:highlight w:val="none"/>
        </w:rPr>
        <w:fldChar w:fldCharType="separate"/>
      </w:r>
      <w:r>
        <w:rPr>
          <w:b w:val="0"/>
          <w:bCs w:val="0"/>
          <w:color w:val="auto"/>
          <w:highlight w:val="none"/>
        </w:rPr>
        <w:t>63</w:t>
      </w:r>
      <w:r>
        <w:rPr>
          <w:b w:val="0"/>
          <w:bCs w:val="0"/>
          <w:color w:val="auto"/>
          <w:highlight w:val="none"/>
        </w:rPr>
        <w:fldChar w:fldCharType="end"/>
      </w:r>
      <w:r>
        <w:rPr>
          <w:b w:val="0"/>
          <w:bCs w:val="0"/>
          <w:color w:val="auto"/>
          <w:highlight w:val="none"/>
        </w:rPr>
        <w:fldChar w:fldCharType="end"/>
      </w:r>
    </w:p>
    <w:p w14:paraId="1E173894">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"_Toc256000126" </w:instrText>
      </w:r>
      <w:r>
        <w:rPr>
          <w:b w:val="0"/>
          <w:bCs w:val="0"/>
          <w:color w:val="auto"/>
          <w:highlight w:val="none"/>
        </w:rPr>
        <w:fldChar w:fldCharType="separate"/>
      </w:r>
      <w:r>
        <w:rPr>
          <w:rStyle w:val="28"/>
          <w:rFonts w:hint="eastAsia"/>
          <w:b w:val="0"/>
          <w:bCs w:val="0"/>
          <w:color w:val="auto"/>
          <w:highlight w:val="none"/>
        </w:rPr>
        <w:t>A6.2关于评标活动暂停</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_Toc256000126 \h </w:instrText>
      </w:r>
      <w:r>
        <w:rPr>
          <w:b w:val="0"/>
          <w:bCs w:val="0"/>
          <w:color w:val="auto"/>
          <w:highlight w:val="none"/>
        </w:rPr>
        <w:fldChar w:fldCharType="separate"/>
      </w:r>
      <w:r>
        <w:rPr>
          <w:b w:val="0"/>
          <w:bCs w:val="0"/>
          <w:color w:val="auto"/>
          <w:highlight w:val="none"/>
        </w:rPr>
        <w:t>63</w:t>
      </w:r>
      <w:r>
        <w:rPr>
          <w:b w:val="0"/>
          <w:bCs w:val="0"/>
          <w:color w:val="auto"/>
          <w:highlight w:val="none"/>
        </w:rPr>
        <w:fldChar w:fldCharType="end"/>
      </w:r>
      <w:r>
        <w:rPr>
          <w:b w:val="0"/>
          <w:bCs w:val="0"/>
          <w:color w:val="auto"/>
          <w:highlight w:val="none"/>
        </w:rPr>
        <w:fldChar w:fldCharType="end"/>
      </w:r>
    </w:p>
    <w:p w14:paraId="1D4DC7F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"_Toc256000127" </w:instrText>
      </w:r>
      <w:r>
        <w:rPr>
          <w:b w:val="0"/>
          <w:bCs w:val="0"/>
          <w:color w:val="auto"/>
          <w:highlight w:val="none"/>
        </w:rPr>
        <w:fldChar w:fldCharType="separate"/>
      </w:r>
      <w:r>
        <w:rPr>
          <w:rStyle w:val="28"/>
          <w:rFonts w:hint="eastAsia"/>
          <w:b w:val="0"/>
          <w:bCs w:val="0"/>
          <w:color w:val="auto"/>
          <w:highlight w:val="none"/>
        </w:rPr>
        <w:t>A6.3关于评标中途更换评标委员会成员</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_Toc256000127 \h </w:instrText>
      </w:r>
      <w:r>
        <w:rPr>
          <w:b w:val="0"/>
          <w:bCs w:val="0"/>
          <w:color w:val="auto"/>
          <w:highlight w:val="none"/>
        </w:rPr>
        <w:fldChar w:fldCharType="separate"/>
      </w:r>
      <w:r>
        <w:rPr>
          <w:b w:val="0"/>
          <w:bCs w:val="0"/>
          <w:color w:val="auto"/>
          <w:highlight w:val="none"/>
        </w:rPr>
        <w:t>63</w:t>
      </w:r>
      <w:r>
        <w:rPr>
          <w:b w:val="0"/>
          <w:bCs w:val="0"/>
          <w:color w:val="auto"/>
          <w:highlight w:val="none"/>
        </w:rPr>
        <w:fldChar w:fldCharType="end"/>
      </w:r>
      <w:r>
        <w:rPr>
          <w:b w:val="0"/>
          <w:bCs w:val="0"/>
          <w:color w:val="auto"/>
          <w:highlight w:val="none"/>
        </w:rPr>
        <w:fldChar w:fldCharType="end"/>
      </w:r>
    </w:p>
    <w:p w14:paraId="40A4C18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"_Toc256000128" </w:instrText>
      </w:r>
      <w:r>
        <w:rPr>
          <w:b w:val="0"/>
          <w:bCs w:val="0"/>
          <w:color w:val="auto"/>
          <w:highlight w:val="none"/>
        </w:rPr>
        <w:fldChar w:fldCharType="separate"/>
      </w:r>
      <w:r>
        <w:rPr>
          <w:rStyle w:val="28"/>
          <w:rFonts w:hint="eastAsia"/>
          <w:b w:val="0"/>
          <w:bCs w:val="0"/>
          <w:color w:val="auto"/>
          <w:highlight w:val="none"/>
        </w:rPr>
        <w:t>A6.4 评标争议处理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_Toc256000128 \h </w:instrText>
      </w:r>
      <w:r>
        <w:rPr>
          <w:b w:val="0"/>
          <w:bCs w:val="0"/>
          <w:color w:val="auto"/>
          <w:highlight w:val="none"/>
        </w:rPr>
        <w:fldChar w:fldCharType="separate"/>
      </w:r>
      <w:r>
        <w:rPr>
          <w:b w:val="0"/>
          <w:bCs w:val="0"/>
          <w:color w:val="auto"/>
          <w:highlight w:val="none"/>
        </w:rPr>
        <w:t>63</w:t>
      </w:r>
      <w:r>
        <w:rPr>
          <w:b w:val="0"/>
          <w:bCs w:val="0"/>
          <w:color w:val="auto"/>
          <w:highlight w:val="none"/>
        </w:rPr>
        <w:fldChar w:fldCharType="end"/>
      </w:r>
      <w:r>
        <w:rPr>
          <w:b w:val="0"/>
          <w:bCs w:val="0"/>
          <w:color w:val="auto"/>
          <w:highlight w:val="none"/>
        </w:rPr>
        <w:fldChar w:fldCharType="end"/>
      </w:r>
    </w:p>
    <w:p w14:paraId="6EA514F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"_Toc256000129" </w:instrText>
      </w:r>
      <w:r>
        <w:rPr>
          <w:b w:val="0"/>
          <w:bCs w:val="0"/>
          <w:color w:val="auto"/>
          <w:highlight w:val="none"/>
        </w:rPr>
        <w:fldChar w:fldCharType="separate"/>
      </w:r>
      <w:r>
        <w:rPr>
          <w:rStyle w:val="28"/>
          <w:rFonts w:hint="eastAsia"/>
          <w:b w:val="0"/>
          <w:bCs w:val="0"/>
          <w:color w:val="auto"/>
          <w:highlight w:val="none"/>
        </w:rPr>
        <w:t>A7.补充条款</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_Toc256000129 \h </w:instrText>
      </w:r>
      <w:r>
        <w:rPr>
          <w:b w:val="0"/>
          <w:bCs w:val="0"/>
          <w:color w:val="auto"/>
          <w:highlight w:val="none"/>
        </w:rPr>
        <w:fldChar w:fldCharType="separate"/>
      </w:r>
      <w:r>
        <w:rPr>
          <w:b w:val="0"/>
          <w:bCs w:val="0"/>
          <w:color w:val="auto"/>
          <w:highlight w:val="none"/>
        </w:rPr>
        <w:t>64</w:t>
      </w:r>
      <w:r>
        <w:rPr>
          <w:b w:val="0"/>
          <w:bCs w:val="0"/>
          <w:color w:val="auto"/>
          <w:highlight w:val="none"/>
        </w:rPr>
        <w:fldChar w:fldCharType="end"/>
      </w:r>
      <w:r>
        <w:rPr>
          <w:b w:val="0"/>
          <w:bCs w:val="0"/>
          <w:color w:val="auto"/>
          <w:highlight w:val="none"/>
        </w:rPr>
        <w:fldChar w:fldCharType="end"/>
      </w:r>
    </w:p>
    <w:p w14:paraId="6B637890">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"_Toc256000130" </w:instrText>
      </w:r>
      <w:r>
        <w:rPr>
          <w:b w:val="0"/>
          <w:bCs w:val="0"/>
          <w:color w:val="auto"/>
          <w:highlight w:val="none"/>
        </w:rPr>
        <w:fldChar w:fldCharType="separate"/>
      </w:r>
      <w:r>
        <w:rPr>
          <w:rStyle w:val="28"/>
          <w:rFonts w:hint="eastAsia" w:ascii="宋体" w:hAnsi="宋体" w:eastAsia="宋体" w:cs="宋体"/>
          <w:b w:val="0"/>
          <w:bCs w:val="0"/>
          <w:color w:val="auto"/>
          <w:highlight w:val="none"/>
        </w:rPr>
        <w:t>附件B：否决投标的条件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_Toc256000130 \h </w:instrText>
      </w:r>
      <w:r>
        <w:rPr>
          <w:b w:val="0"/>
          <w:bCs w:val="0"/>
          <w:color w:val="auto"/>
          <w:highlight w:val="none"/>
        </w:rPr>
        <w:fldChar w:fldCharType="separate"/>
      </w:r>
      <w:r>
        <w:rPr>
          <w:b w:val="0"/>
          <w:bCs w:val="0"/>
          <w:color w:val="auto"/>
          <w:highlight w:val="none"/>
        </w:rPr>
        <w:t>65</w:t>
      </w:r>
      <w:r>
        <w:rPr>
          <w:b w:val="0"/>
          <w:bCs w:val="0"/>
          <w:color w:val="auto"/>
          <w:highlight w:val="none"/>
        </w:rPr>
        <w:fldChar w:fldCharType="end"/>
      </w:r>
      <w:r>
        <w:rPr>
          <w:b w:val="0"/>
          <w:bCs w:val="0"/>
          <w:color w:val="auto"/>
          <w:highlight w:val="none"/>
        </w:rPr>
        <w:fldChar w:fldCharType="end"/>
      </w:r>
    </w:p>
    <w:p w14:paraId="4770C7E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"_Toc256000131" </w:instrText>
      </w:r>
      <w:r>
        <w:rPr>
          <w:b w:val="0"/>
          <w:bCs w:val="0"/>
          <w:color w:val="auto"/>
          <w:highlight w:val="none"/>
        </w:rPr>
        <w:fldChar w:fldCharType="separate"/>
      </w:r>
      <w:r>
        <w:rPr>
          <w:rStyle w:val="28"/>
          <w:rFonts w:hint="eastAsia" w:ascii="黑体" w:eastAsia="黑体" w:cs="黑体"/>
          <w:b w:val="0"/>
          <w:bCs w:val="0"/>
          <w:color w:val="auto"/>
          <w:kern w:val="2"/>
          <w:highlight w:val="none"/>
          <w:lang w:bidi="ar"/>
        </w:rPr>
        <w:t>B0.总  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_Toc256000131 \h </w:instrText>
      </w:r>
      <w:r>
        <w:rPr>
          <w:b w:val="0"/>
          <w:bCs w:val="0"/>
          <w:color w:val="auto"/>
          <w:highlight w:val="none"/>
        </w:rPr>
        <w:fldChar w:fldCharType="separate"/>
      </w:r>
      <w:r>
        <w:rPr>
          <w:b w:val="0"/>
          <w:bCs w:val="0"/>
          <w:color w:val="auto"/>
          <w:highlight w:val="none"/>
        </w:rPr>
        <w:t>65</w:t>
      </w:r>
      <w:r>
        <w:rPr>
          <w:b w:val="0"/>
          <w:bCs w:val="0"/>
          <w:color w:val="auto"/>
          <w:highlight w:val="none"/>
        </w:rPr>
        <w:fldChar w:fldCharType="end"/>
      </w:r>
      <w:r>
        <w:rPr>
          <w:b w:val="0"/>
          <w:bCs w:val="0"/>
          <w:color w:val="auto"/>
          <w:highlight w:val="none"/>
        </w:rPr>
        <w:fldChar w:fldCharType="end"/>
      </w:r>
    </w:p>
    <w:p w14:paraId="0C5CA1A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"_Toc256000132" </w:instrText>
      </w:r>
      <w:r>
        <w:rPr>
          <w:b w:val="0"/>
          <w:bCs w:val="0"/>
          <w:color w:val="auto"/>
          <w:highlight w:val="none"/>
        </w:rPr>
        <w:fldChar w:fldCharType="separate"/>
      </w:r>
      <w:r>
        <w:rPr>
          <w:rStyle w:val="28"/>
          <w:rFonts w:hint="eastAsia" w:ascii="黑体" w:eastAsia="黑体" w:cs="黑体"/>
          <w:b w:val="0"/>
          <w:bCs w:val="0"/>
          <w:color w:val="auto"/>
          <w:kern w:val="2"/>
          <w:highlight w:val="none"/>
          <w:lang w:bidi="ar"/>
        </w:rPr>
        <w:t>B1.否决投标的条件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_Toc256000132 \h </w:instrText>
      </w:r>
      <w:r>
        <w:rPr>
          <w:b w:val="0"/>
          <w:bCs w:val="0"/>
          <w:color w:val="auto"/>
          <w:highlight w:val="none"/>
        </w:rPr>
        <w:fldChar w:fldCharType="separate"/>
      </w:r>
      <w:r>
        <w:rPr>
          <w:b w:val="0"/>
          <w:bCs w:val="0"/>
          <w:color w:val="auto"/>
          <w:highlight w:val="none"/>
        </w:rPr>
        <w:t>65</w:t>
      </w:r>
      <w:r>
        <w:rPr>
          <w:b w:val="0"/>
          <w:bCs w:val="0"/>
          <w:color w:val="auto"/>
          <w:highlight w:val="none"/>
        </w:rPr>
        <w:fldChar w:fldCharType="end"/>
      </w:r>
      <w:r>
        <w:rPr>
          <w:b w:val="0"/>
          <w:bCs w:val="0"/>
          <w:color w:val="auto"/>
          <w:highlight w:val="none"/>
        </w:rPr>
        <w:fldChar w:fldCharType="end"/>
      </w:r>
    </w:p>
    <w:p w14:paraId="691B8E6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"_Toc256000133" </w:instrText>
      </w:r>
      <w:r>
        <w:rPr>
          <w:b w:val="0"/>
          <w:bCs w:val="0"/>
          <w:color w:val="auto"/>
          <w:highlight w:val="none"/>
        </w:rPr>
        <w:fldChar w:fldCharType="separate"/>
      </w:r>
      <w:r>
        <w:rPr>
          <w:rStyle w:val="28"/>
          <w:rFonts w:hint="eastAsia"/>
          <w:b w:val="0"/>
          <w:bCs w:val="0"/>
          <w:color w:val="auto"/>
          <w:highlight w:val="none"/>
        </w:rPr>
        <w:t>附表A-1：评标委员会签到表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_Toc256000133 \h </w:instrText>
      </w:r>
      <w:r>
        <w:rPr>
          <w:b w:val="0"/>
          <w:bCs w:val="0"/>
          <w:color w:val="auto"/>
          <w:highlight w:val="none"/>
        </w:rPr>
        <w:fldChar w:fldCharType="separate"/>
      </w:r>
      <w:r>
        <w:rPr>
          <w:b w:val="0"/>
          <w:bCs w:val="0"/>
          <w:color w:val="auto"/>
          <w:highlight w:val="none"/>
        </w:rPr>
        <w:t>68</w:t>
      </w:r>
      <w:r>
        <w:rPr>
          <w:b w:val="0"/>
          <w:bCs w:val="0"/>
          <w:color w:val="auto"/>
          <w:highlight w:val="none"/>
        </w:rPr>
        <w:fldChar w:fldCharType="end"/>
      </w:r>
      <w:r>
        <w:rPr>
          <w:b w:val="0"/>
          <w:bCs w:val="0"/>
          <w:color w:val="auto"/>
          <w:highlight w:val="none"/>
        </w:rPr>
        <w:fldChar w:fldCharType="end"/>
      </w:r>
    </w:p>
    <w:p w14:paraId="252BDBEB">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"_Toc256000134" </w:instrText>
      </w:r>
      <w:r>
        <w:rPr>
          <w:b w:val="0"/>
          <w:bCs w:val="0"/>
          <w:color w:val="auto"/>
          <w:highlight w:val="none"/>
        </w:rPr>
        <w:fldChar w:fldCharType="separate"/>
      </w:r>
      <w:r>
        <w:rPr>
          <w:rStyle w:val="28"/>
          <w:b w:val="0"/>
          <w:bCs w:val="0"/>
          <w:color w:val="auto"/>
          <w:highlight w:val="none"/>
        </w:rPr>
        <w:t>附表A-2：评标专家</w:t>
      </w:r>
      <w:r>
        <w:rPr>
          <w:rStyle w:val="28"/>
          <w:rFonts w:hint="eastAsia"/>
          <w:b w:val="0"/>
          <w:bCs w:val="0"/>
          <w:color w:val="auto"/>
          <w:highlight w:val="none"/>
        </w:rPr>
        <w:t>告知承诺函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_Toc256000134 \h </w:instrText>
      </w:r>
      <w:r>
        <w:rPr>
          <w:b w:val="0"/>
          <w:bCs w:val="0"/>
          <w:color w:val="auto"/>
          <w:highlight w:val="none"/>
        </w:rPr>
        <w:fldChar w:fldCharType="separate"/>
      </w:r>
      <w:r>
        <w:rPr>
          <w:b w:val="0"/>
          <w:bCs w:val="0"/>
          <w:color w:val="auto"/>
          <w:highlight w:val="none"/>
        </w:rPr>
        <w:t>69</w:t>
      </w:r>
      <w:r>
        <w:rPr>
          <w:b w:val="0"/>
          <w:bCs w:val="0"/>
          <w:color w:val="auto"/>
          <w:highlight w:val="none"/>
        </w:rPr>
        <w:fldChar w:fldCharType="end"/>
      </w:r>
      <w:r>
        <w:rPr>
          <w:b w:val="0"/>
          <w:bCs w:val="0"/>
          <w:color w:val="auto"/>
          <w:highlight w:val="none"/>
        </w:rPr>
        <w:fldChar w:fldCharType="end"/>
      </w:r>
    </w:p>
    <w:p w14:paraId="077228F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"_Toc256000135" </w:instrText>
      </w:r>
      <w:r>
        <w:rPr>
          <w:b w:val="0"/>
          <w:bCs w:val="0"/>
          <w:color w:val="auto"/>
          <w:highlight w:val="none"/>
        </w:rPr>
        <w:fldChar w:fldCharType="separate"/>
      </w:r>
      <w:r>
        <w:rPr>
          <w:rStyle w:val="28"/>
          <w:b w:val="0"/>
          <w:bCs w:val="0"/>
          <w:color w:val="auto"/>
          <w:highlight w:val="none"/>
        </w:rPr>
        <w:t>附表A-3：技术暗标编号确认表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_Toc256000135 \h </w:instrText>
      </w:r>
      <w:r>
        <w:rPr>
          <w:b w:val="0"/>
          <w:bCs w:val="0"/>
          <w:color w:val="auto"/>
          <w:highlight w:val="none"/>
        </w:rPr>
        <w:fldChar w:fldCharType="separate"/>
      </w:r>
      <w:r>
        <w:rPr>
          <w:b w:val="0"/>
          <w:bCs w:val="0"/>
          <w:color w:val="auto"/>
          <w:highlight w:val="none"/>
        </w:rPr>
        <w:t>71</w:t>
      </w:r>
      <w:r>
        <w:rPr>
          <w:b w:val="0"/>
          <w:bCs w:val="0"/>
          <w:color w:val="auto"/>
          <w:highlight w:val="none"/>
        </w:rPr>
        <w:fldChar w:fldCharType="end"/>
      </w:r>
      <w:r>
        <w:rPr>
          <w:b w:val="0"/>
          <w:bCs w:val="0"/>
          <w:color w:val="auto"/>
          <w:highlight w:val="none"/>
        </w:rPr>
        <w:fldChar w:fldCharType="end"/>
      </w:r>
    </w:p>
    <w:p w14:paraId="10CFD35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"_Toc256000136" </w:instrText>
      </w:r>
      <w:r>
        <w:rPr>
          <w:b w:val="0"/>
          <w:bCs w:val="0"/>
          <w:color w:val="auto"/>
          <w:highlight w:val="none"/>
        </w:rPr>
        <w:fldChar w:fldCharType="separate"/>
      </w:r>
      <w:r>
        <w:rPr>
          <w:rStyle w:val="28"/>
          <w:rFonts w:hint="eastAsia"/>
          <w:b w:val="0"/>
          <w:bCs w:val="0"/>
          <w:color w:val="auto"/>
          <w:highlight w:val="none"/>
        </w:rPr>
        <w:t>附表A-4：形式评审记录表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_Toc256000136 \h </w:instrText>
      </w:r>
      <w:r>
        <w:rPr>
          <w:b w:val="0"/>
          <w:bCs w:val="0"/>
          <w:color w:val="auto"/>
          <w:highlight w:val="none"/>
        </w:rPr>
        <w:fldChar w:fldCharType="separate"/>
      </w:r>
      <w:r>
        <w:rPr>
          <w:b w:val="0"/>
          <w:bCs w:val="0"/>
          <w:color w:val="auto"/>
          <w:highlight w:val="none"/>
        </w:rPr>
        <w:t>72</w:t>
      </w:r>
      <w:r>
        <w:rPr>
          <w:b w:val="0"/>
          <w:bCs w:val="0"/>
          <w:color w:val="auto"/>
          <w:highlight w:val="none"/>
        </w:rPr>
        <w:fldChar w:fldCharType="end"/>
      </w:r>
      <w:r>
        <w:rPr>
          <w:b w:val="0"/>
          <w:bCs w:val="0"/>
          <w:color w:val="auto"/>
          <w:highlight w:val="none"/>
        </w:rPr>
        <w:fldChar w:fldCharType="end"/>
      </w:r>
    </w:p>
    <w:p w14:paraId="0A47186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"_Toc256000137" </w:instrText>
      </w:r>
      <w:r>
        <w:rPr>
          <w:b w:val="0"/>
          <w:bCs w:val="0"/>
          <w:color w:val="auto"/>
          <w:highlight w:val="none"/>
        </w:rPr>
        <w:fldChar w:fldCharType="separate"/>
      </w:r>
      <w:r>
        <w:rPr>
          <w:rStyle w:val="28"/>
          <w:rFonts w:hint="eastAsia"/>
          <w:b w:val="0"/>
          <w:bCs w:val="0"/>
          <w:color w:val="auto"/>
          <w:highlight w:val="none"/>
        </w:rPr>
        <w:t>附表A-5：资格评审记录表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_Toc256000137 \h </w:instrText>
      </w:r>
      <w:r>
        <w:rPr>
          <w:b w:val="0"/>
          <w:bCs w:val="0"/>
          <w:color w:val="auto"/>
          <w:highlight w:val="none"/>
        </w:rPr>
        <w:fldChar w:fldCharType="separate"/>
      </w:r>
      <w:r>
        <w:rPr>
          <w:b w:val="0"/>
          <w:bCs w:val="0"/>
          <w:color w:val="auto"/>
          <w:highlight w:val="none"/>
        </w:rPr>
        <w:t>73</w:t>
      </w:r>
      <w:r>
        <w:rPr>
          <w:b w:val="0"/>
          <w:bCs w:val="0"/>
          <w:color w:val="auto"/>
          <w:highlight w:val="none"/>
        </w:rPr>
        <w:fldChar w:fldCharType="end"/>
      </w:r>
      <w:r>
        <w:rPr>
          <w:b w:val="0"/>
          <w:bCs w:val="0"/>
          <w:color w:val="auto"/>
          <w:highlight w:val="none"/>
        </w:rPr>
        <w:fldChar w:fldCharType="end"/>
      </w:r>
    </w:p>
    <w:p w14:paraId="4E83100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"_Toc256000138" </w:instrText>
      </w:r>
      <w:r>
        <w:rPr>
          <w:b w:val="0"/>
          <w:bCs w:val="0"/>
          <w:color w:val="auto"/>
          <w:highlight w:val="none"/>
        </w:rPr>
        <w:fldChar w:fldCharType="separate"/>
      </w:r>
      <w:r>
        <w:rPr>
          <w:rStyle w:val="28"/>
          <w:rFonts w:hint="eastAsia"/>
          <w:b w:val="0"/>
          <w:bCs w:val="0"/>
          <w:color w:val="auto"/>
          <w:highlight w:val="none"/>
        </w:rPr>
        <w:t>附表A-6：响应性评审记录表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_Toc256000138 \h </w:instrText>
      </w:r>
      <w:r>
        <w:rPr>
          <w:b w:val="0"/>
          <w:bCs w:val="0"/>
          <w:color w:val="auto"/>
          <w:highlight w:val="none"/>
        </w:rPr>
        <w:fldChar w:fldCharType="separate"/>
      </w:r>
      <w:r>
        <w:rPr>
          <w:b w:val="0"/>
          <w:bCs w:val="0"/>
          <w:color w:val="auto"/>
          <w:highlight w:val="none"/>
        </w:rPr>
        <w:t>74</w:t>
      </w:r>
      <w:r>
        <w:rPr>
          <w:b w:val="0"/>
          <w:bCs w:val="0"/>
          <w:color w:val="auto"/>
          <w:highlight w:val="none"/>
        </w:rPr>
        <w:fldChar w:fldCharType="end"/>
      </w:r>
      <w:r>
        <w:rPr>
          <w:b w:val="0"/>
          <w:bCs w:val="0"/>
          <w:color w:val="auto"/>
          <w:highlight w:val="none"/>
        </w:rPr>
        <w:fldChar w:fldCharType="end"/>
      </w:r>
    </w:p>
    <w:p w14:paraId="3622F6D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"_Toc256000139" </w:instrText>
      </w:r>
      <w:r>
        <w:rPr>
          <w:b w:val="0"/>
          <w:bCs w:val="0"/>
          <w:color w:val="auto"/>
          <w:highlight w:val="none"/>
        </w:rPr>
        <w:fldChar w:fldCharType="separate"/>
      </w:r>
      <w:r>
        <w:rPr>
          <w:rStyle w:val="28"/>
          <w:rFonts w:hint="eastAsia"/>
          <w:b w:val="0"/>
          <w:bCs w:val="0"/>
          <w:color w:val="auto"/>
          <w:highlight w:val="none"/>
        </w:rPr>
        <w:t>附表A-7（1）：承包人建议书评审记录表（合格性）</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_Toc256000139 \h </w:instrText>
      </w:r>
      <w:r>
        <w:rPr>
          <w:b w:val="0"/>
          <w:bCs w:val="0"/>
          <w:color w:val="auto"/>
          <w:highlight w:val="none"/>
        </w:rPr>
        <w:fldChar w:fldCharType="separate"/>
      </w:r>
      <w:r>
        <w:rPr>
          <w:b w:val="0"/>
          <w:bCs w:val="0"/>
          <w:color w:val="auto"/>
          <w:highlight w:val="none"/>
        </w:rPr>
        <w:t>75</w:t>
      </w:r>
      <w:r>
        <w:rPr>
          <w:b w:val="0"/>
          <w:bCs w:val="0"/>
          <w:color w:val="auto"/>
          <w:highlight w:val="none"/>
        </w:rPr>
        <w:fldChar w:fldCharType="end"/>
      </w:r>
      <w:r>
        <w:rPr>
          <w:b w:val="0"/>
          <w:bCs w:val="0"/>
          <w:color w:val="auto"/>
          <w:highlight w:val="none"/>
        </w:rPr>
        <w:fldChar w:fldCharType="end"/>
      </w:r>
    </w:p>
    <w:p w14:paraId="693A7054">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"_Toc256000140"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7（2</w:t>
      </w:r>
      <w:r>
        <w:rPr>
          <w:rStyle w:val="28"/>
          <w:rFonts w:hint="eastAsia"/>
          <w:b w:val="0"/>
          <w:bCs w:val="0"/>
          <w:color w:val="auto"/>
          <w:highlight w:val="none"/>
        </w:rPr>
        <w:t>）：技术标评审记录表（合格性）</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_Toc256000140 \h </w:instrText>
      </w:r>
      <w:r>
        <w:rPr>
          <w:b w:val="0"/>
          <w:bCs w:val="0"/>
          <w:color w:val="auto"/>
          <w:highlight w:val="none"/>
        </w:rPr>
        <w:fldChar w:fldCharType="separate"/>
      </w:r>
      <w:r>
        <w:rPr>
          <w:b w:val="0"/>
          <w:bCs w:val="0"/>
          <w:color w:val="auto"/>
          <w:highlight w:val="none"/>
        </w:rPr>
        <w:t>76</w:t>
      </w:r>
      <w:r>
        <w:rPr>
          <w:b w:val="0"/>
          <w:bCs w:val="0"/>
          <w:color w:val="auto"/>
          <w:highlight w:val="none"/>
        </w:rPr>
        <w:fldChar w:fldCharType="end"/>
      </w:r>
      <w:r>
        <w:rPr>
          <w:b w:val="0"/>
          <w:bCs w:val="0"/>
          <w:color w:val="auto"/>
          <w:highlight w:val="none"/>
        </w:rPr>
        <w:fldChar w:fldCharType="end"/>
      </w:r>
    </w:p>
    <w:p w14:paraId="11B972B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"_Toc256000141"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8</w:t>
      </w:r>
      <w:r>
        <w:rPr>
          <w:rStyle w:val="28"/>
          <w:rFonts w:hint="eastAsia"/>
          <w:b w:val="0"/>
          <w:bCs w:val="0"/>
          <w:color w:val="auto"/>
          <w:highlight w:val="none"/>
        </w:rPr>
        <w:t>：初步评审汇总记录表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_Toc256000141 \h </w:instrText>
      </w:r>
      <w:r>
        <w:rPr>
          <w:b w:val="0"/>
          <w:bCs w:val="0"/>
          <w:color w:val="auto"/>
          <w:highlight w:val="none"/>
        </w:rPr>
        <w:fldChar w:fldCharType="separate"/>
      </w:r>
      <w:r>
        <w:rPr>
          <w:b w:val="0"/>
          <w:bCs w:val="0"/>
          <w:color w:val="auto"/>
          <w:highlight w:val="none"/>
        </w:rPr>
        <w:t>77</w:t>
      </w:r>
      <w:r>
        <w:rPr>
          <w:b w:val="0"/>
          <w:bCs w:val="0"/>
          <w:color w:val="auto"/>
          <w:highlight w:val="none"/>
        </w:rPr>
        <w:fldChar w:fldCharType="end"/>
      </w:r>
      <w:r>
        <w:rPr>
          <w:b w:val="0"/>
          <w:bCs w:val="0"/>
          <w:color w:val="auto"/>
          <w:highlight w:val="none"/>
        </w:rPr>
        <w:fldChar w:fldCharType="end"/>
      </w:r>
    </w:p>
    <w:p w14:paraId="2BA6DFA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"_Toc256000142"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9</w:t>
      </w:r>
      <w:r>
        <w:rPr>
          <w:rStyle w:val="28"/>
          <w:rFonts w:hint="eastAsia"/>
          <w:b w:val="0"/>
          <w:bCs w:val="0"/>
          <w:color w:val="auto"/>
          <w:highlight w:val="none"/>
        </w:rPr>
        <w:t>：否决投标的情况说明</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_Toc256000142 \h </w:instrText>
      </w:r>
      <w:r>
        <w:rPr>
          <w:b w:val="0"/>
          <w:bCs w:val="0"/>
          <w:color w:val="auto"/>
          <w:highlight w:val="none"/>
        </w:rPr>
        <w:fldChar w:fldCharType="separate"/>
      </w:r>
      <w:r>
        <w:rPr>
          <w:b w:val="0"/>
          <w:bCs w:val="0"/>
          <w:color w:val="auto"/>
          <w:highlight w:val="none"/>
        </w:rPr>
        <w:t>78</w:t>
      </w:r>
      <w:r>
        <w:rPr>
          <w:b w:val="0"/>
          <w:bCs w:val="0"/>
          <w:color w:val="auto"/>
          <w:highlight w:val="none"/>
        </w:rPr>
        <w:fldChar w:fldCharType="end"/>
      </w:r>
      <w:r>
        <w:rPr>
          <w:b w:val="0"/>
          <w:bCs w:val="0"/>
          <w:color w:val="auto"/>
          <w:highlight w:val="none"/>
        </w:rPr>
        <w:fldChar w:fldCharType="end"/>
      </w:r>
    </w:p>
    <w:p w14:paraId="07E51879">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"_Toc256000143"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10</w:t>
      </w:r>
      <w:r>
        <w:rPr>
          <w:rStyle w:val="28"/>
          <w:rFonts w:hint="eastAsia"/>
          <w:b w:val="0"/>
          <w:bCs w:val="0"/>
          <w:color w:val="auto"/>
          <w:highlight w:val="none"/>
        </w:rPr>
        <w:t>：经济标评分记录表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_Toc256000143 \h </w:instrText>
      </w:r>
      <w:r>
        <w:rPr>
          <w:b w:val="0"/>
          <w:bCs w:val="0"/>
          <w:color w:val="auto"/>
          <w:highlight w:val="none"/>
        </w:rPr>
        <w:fldChar w:fldCharType="separate"/>
      </w:r>
      <w:r>
        <w:rPr>
          <w:b w:val="0"/>
          <w:bCs w:val="0"/>
          <w:color w:val="auto"/>
          <w:highlight w:val="none"/>
        </w:rPr>
        <w:t>79</w:t>
      </w:r>
      <w:r>
        <w:rPr>
          <w:b w:val="0"/>
          <w:bCs w:val="0"/>
          <w:color w:val="auto"/>
          <w:highlight w:val="none"/>
        </w:rPr>
        <w:fldChar w:fldCharType="end"/>
      </w:r>
      <w:r>
        <w:rPr>
          <w:b w:val="0"/>
          <w:bCs w:val="0"/>
          <w:color w:val="auto"/>
          <w:highlight w:val="none"/>
        </w:rPr>
        <w:fldChar w:fldCharType="end"/>
      </w:r>
    </w:p>
    <w:p w14:paraId="7B560A4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"_Toc256000144"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1</w:t>
      </w:r>
      <w:r>
        <w:rPr>
          <w:rStyle w:val="28"/>
          <w:rFonts w:hint="eastAsia"/>
          <w:b w:val="0"/>
          <w:bCs w:val="0"/>
          <w:color w:val="auto"/>
          <w:highlight w:val="none"/>
        </w:rPr>
        <w:t>：承包人建议书评审记录表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_Toc256000144 \h </w:instrText>
      </w:r>
      <w:r>
        <w:rPr>
          <w:b w:val="0"/>
          <w:bCs w:val="0"/>
          <w:color w:val="auto"/>
          <w:highlight w:val="none"/>
        </w:rPr>
        <w:fldChar w:fldCharType="separate"/>
      </w:r>
      <w:r>
        <w:rPr>
          <w:b w:val="0"/>
          <w:bCs w:val="0"/>
          <w:color w:val="auto"/>
          <w:highlight w:val="none"/>
        </w:rPr>
        <w:t>80</w:t>
      </w:r>
      <w:r>
        <w:rPr>
          <w:b w:val="0"/>
          <w:bCs w:val="0"/>
          <w:color w:val="auto"/>
          <w:highlight w:val="none"/>
        </w:rPr>
        <w:fldChar w:fldCharType="end"/>
      </w:r>
      <w:r>
        <w:rPr>
          <w:b w:val="0"/>
          <w:bCs w:val="0"/>
          <w:color w:val="auto"/>
          <w:highlight w:val="none"/>
        </w:rPr>
        <w:fldChar w:fldCharType="end"/>
      </w:r>
    </w:p>
    <w:p w14:paraId="13957CFB">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"_Toc256000145"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12</w:t>
      </w:r>
      <w:r>
        <w:rPr>
          <w:rStyle w:val="28"/>
          <w:rFonts w:hint="eastAsia"/>
          <w:b w:val="0"/>
          <w:bCs w:val="0"/>
          <w:color w:val="auto"/>
          <w:highlight w:val="none"/>
        </w:rPr>
        <w:t>：技术标评审记录表（评分）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_Toc256000145 \h </w:instrText>
      </w:r>
      <w:r>
        <w:rPr>
          <w:b w:val="0"/>
          <w:bCs w:val="0"/>
          <w:color w:val="auto"/>
          <w:highlight w:val="none"/>
        </w:rPr>
        <w:fldChar w:fldCharType="separate"/>
      </w:r>
      <w:r>
        <w:rPr>
          <w:b w:val="0"/>
          <w:bCs w:val="0"/>
          <w:color w:val="auto"/>
          <w:highlight w:val="none"/>
        </w:rPr>
        <w:t>81</w:t>
      </w:r>
      <w:r>
        <w:rPr>
          <w:b w:val="0"/>
          <w:bCs w:val="0"/>
          <w:color w:val="auto"/>
          <w:highlight w:val="none"/>
        </w:rPr>
        <w:fldChar w:fldCharType="end"/>
      </w:r>
      <w:r>
        <w:rPr>
          <w:b w:val="0"/>
          <w:bCs w:val="0"/>
          <w:color w:val="auto"/>
          <w:highlight w:val="none"/>
        </w:rPr>
        <w:fldChar w:fldCharType="end"/>
      </w:r>
    </w:p>
    <w:p w14:paraId="3949A5EC">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"_Toc256000146" </w:instrText>
      </w:r>
      <w:r>
        <w:rPr>
          <w:b w:val="0"/>
          <w:bCs w:val="0"/>
          <w:color w:val="auto"/>
          <w:highlight w:val="none"/>
        </w:rPr>
        <w:fldChar w:fldCharType="separate"/>
      </w:r>
      <w:r>
        <w:rPr>
          <w:rStyle w:val="28"/>
          <w:rFonts w:hint="eastAsia"/>
          <w:b w:val="0"/>
          <w:bCs w:val="0"/>
          <w:color w:val="auto"/>
          <w:highlight w:val="none"/>
        </w:rPr>
        <w:t>附表A-</w:t>
      </w:r>
      <w:r>
        <w:rPr>
          <w:rStyle w:val="28"/>
          <w:b w:val="0"/>
          <w:bCs w:val="0"/>
          <w:color w:val="auto"/>
          <w:highlight w:val="none"/>
        </w:rPr>
        <w:t>13</w:t>
      </w:r>
      <w:r>
        <w:rPr>
          <w:rStyle w:val="28"/>
          <w:rFonts w:hint="eastAsia"/>
          <w:b w:val="0"/>
          <w:bCs w:val="0"/>
          <w:color w:val="auto"/>
          <w:highlight w:val="none"/>
        </w:rPr>
        <w:t>：技术标评审记录表（个人）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_Toc256000146 \h </w:instrText>
      </w:r>
      <w:r>
        <w:rPr>
          <w:b w:val="0"/>
          <w:bCs w:val="0"/>
          <w:color w:val="auto"/>
          <w:highlight w:val="none"/>
        </w:rPr>
        <w:fldChar w:fldCharType="separate"/>
      </w:r>
      <w:r>
        <w:rPr>
          <w:b w:val="0"/>
          <w:bCs w:val="0"/>
          <w:color w:val="auto"/>
          <w:highlight w:val="none"/>
        </w:rPr>
        <w:t>82</w:t>
      </w:r>
      <w:r>
        <w:rPr>
          <w:b w:val="0"/>
          <w:bCs w:val="0"/>
          <w:color w:val="auto"/>
          <w:highlight w:val="none"/>
        </w:rPr>
        <w:fldChar w:fldCharType="end"/>
      </w:r>
      <w:r>
        <w:rPr>
          <w:b w:val="0"/>
          <w:bCs w:val="0"/>
          <w:color w:val="auto"/>
          <w:highlight w:val="none"/>
        </w:rPr>
        <w:fldChar w:fldCharType="end"/>
      </w:r>
    </w:p>
    <w:p w14:paraId="07791FA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"_Toc256000147"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4</w:t>
      </w:r>
      <w:r>
        <w:rPr>
          <w:rStyle w:val="28"/>
          <w:rFonts w:hint="eastAsia"/>
          <w:b w:val="0"/>
          <w:bCs w:val="0"/>
          <w:color w:val="auto"/>
          <w:highlight w:val="none"/>
        </w:rPr>
        <w:t>：资信业绩评审记录表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_Toc256000147 \h </w:instrText>
      </w:r>
      <w:r>
        <w:rPr>
          <w:b w:val="0"/>
          <w:bCs w:val="0"/>
          <w:color w:val="auto"/>
          <w:highlight w:val="none"/>
        </w:rPr>
        <w:fldChar w:fldCharType="separate"/>
      </w:r>
      <w:r>
        <w:rPr>
          <w:b w:val="0"/>
          <w:bCs w:val="0"/>
          <w:color w:val="auto"/>
          <w:highlight w:val="none"/>
        </w:rPr>
        <w:t>83</w:t>
      </w:r>
      <w:r>
        <w:rPr>
          <w:b w:val="0"/>
          <w:bCs w:val="0"/>
          <w:color w:val="auto"/>
          <w:highlight w:val="none"/>
        </w:rPr>
        <w:fldChar w:fldCharType="end"/>
      </w:r>
      <w:r>
        <w:rPr>
          <w:b w:val="0"/>
          <w:bCs w:val="0"/>
          <w:color w:val="auto"/>
          <w:highlight w:val="none"/>
        </w:rPr>
        <w:fldChar w:fldCharType="end"/>
      </w:r>
    </w:p>
    <w:p w14:paraId="35799A6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"_Toc256000148"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5</w:t>
      </w:r>
      <w:r>
        <w:rPr>
          <w:rStyle w:val="28"/>
          <w:rFonts w:hint="eastAsia"/>
          <w:b w:val="0"/>
          <w:bCs w:val="0"/>
          <w:color w:val="auto"/>
          <w:highlight w:val="none"/>
        </w:rPr>
        <w:t>：其他因素评审记录表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_Toc256000148 \h </w:instrText>
      </w:r>
      <w:r>
        <w:rPr>
          <w:b w:val="0"/>
          <w:bCs w:val="0"/>
          <w:color w:val="auto"/>
          <w:highlight w:val="none"/>
        </w:rPr>
        <w:fldChar w:fldCharType="separate"/>
      </w:r>
      <w:r>
        <w:rPr>
          <w:b w:val="0"/>
          <w:bCs w:val="0"/>
          <w:color w:val="auto"/>
          <w:highlight w:val="none"/>
        </w:rPr>
        <w:t>84</w:t>
      </w:r>
      <w:r>
        <w:rPr>
          <w:b w:val="0"/>
          <w:bCs w:val="0"/>
          <w:color w:val="auto"/>
          <w:highlight w:val="none"/>
        </w:rPr>
        <w:fldChar w:fldCharType="end"/>
      </w:r>
      <w:r>
        <w:rPr>
          <w:b w:val="0"/>
          <w:bCs w:val="0"/>
          <w:color w:val="auto"/>
          <w:highlight w:val="none"/>
        </w:rPr>
        <w:fldChar w:fldCharType="end"/>
      </w:r>
    </w:p>
    <w:p w14:paraId="6A588125">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"_Toc256000149"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6</w:t>
      </w:r>
      <w:r>
        <w:rPr>
          <w:rStyle w:val="28"/>
          <w:rFonts w:hint="eastAsia"/>
          <w:b w:val="0"/>
          <w:bCs w:val="0"/>
          <w:color w:val="auto"/>
          <w:highlight w:val="none"/>
        </w:rPr>
        <w:t>：详细评审评分汇总表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_Toc256000149 \h </w:instrText>
      </w:r>
      <w:r>
        <w:rPr>
          <w:b w:val="0"/>
          <w:bCs w:val="0"/>
          <w:color w:val="auto"/>
          <w:highlight w:val="none"/>
        </w:rPr>
        <w:fldChar w:fldCharType="separate"/>
      </w:r>
      <w:r>
        <w:rPr>
          <w:b w:val="0"/>
          <w:bCs w:val="0"/>
          <w:color w:val="auto"/>
          <w:highlight w:val="none"/>
        </w:rPr>
        <w:t>85</w:t>
      </w:r>
      <w:r>
        <w:rPr>
          <w:b w:val="0"/>
          <w:bCs w:val="0"/>
          <w:color w:val="auto"/>
          <w:highlight w:val="none"/>
        </w:rPr>
        <w:fldChar w:fldCharType="end"/>
      </w:r>
      <w:r>
        <w:rPr>
          <w:b w:val="0"/>
          <w:bCs w:val="0"/>
          <w:color w:val="auto"/>
          <w:highlight w:val="none"/>
        </w:rPr>
        <w:fldChar w:fldCharType="end"/>
      </w:r>
    </w:p>
    <w:p w14:paraId="549D93A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"_Toc256000150"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7</w:t>
      </w:r>
      <w:r>
        <w:rPr>
          <w:rStyle w:val="28"/>
          <w:rFonts w:hint="eastAsia"/>
          <w:b w:val="0"/>
          <w:bCs w:val="0"/>
          <w:color w:val="auto"/>
          <w:highlight w:val="none"/>
        </w:rPr>
        <w:t>：评标结果汇总表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_Toc256000150 \h </w:instrText>
      </w:r>
      <w:r>
        <w:rPr>
          <w:b w:val="0"/>
          <w:bCs w:val="0"/>
          <w:color w:val="auto"/>
          <w:highlight w:val="none"/>
        </w:rPr>
        <w:fldChar w:fldCharType="separate"/>
      </w:r>
      <w:r>
        <w:rPr>
          <w:b w:val="0"/>
          <w:bCs w:val="0"/>
          <w:color w:val="auto"/>
          <w:highlight w:val="none"/>
        </w:rPr>
        <w:t>86</w:t>
      </w:r>
      <w:r>
        <w:rPr>
          <w:b w:val="0"/>
          <w:bCs w:val="0"/>
          <w:color w:val="auto"/>
          <w:highlight w:val="none"/>
        </w:rPr>
        <w:fldChar w:fldCharType="end"/>
      </w:r>
      <w:r>
        <w:rPr>
          <w:b w:val="0"/>
          <w:bCs w:val="0"/>
          <w:color w:val="auto"/>
          <w:highlight w:val="none"/>
        </w:rPr>
        <w:fldChar w:fldCharType="end"/>
      </w:r>
    </w:p>
    <w:p w14:paraId="4CE5C94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"_Toc256000151" </w:instrText>
      </w:r>
      <w:r>
        <w:rPr>
          <w:b w:val="0"/>
          <w:bCs w:val="0"/>
          <w:color w:val="auto"/>
          <w:highlight w:val="none"/>
        </w:rPr>
        <w:fldChar w:fldCharType="separate"/>
      </w:r>
      <w:r>
        <w:rPr>
          <w:rStyle w:val="28"/>
          <w:rFonts w:hint="eastAsia"/>
          <w:b w:val="0"/>
          <w:bCs w:val="0"/>
          <w:color w:val="auto"/>
          <w:highlight w:val="none"/>
        </w:rPr>
        <w:t>附表A-1</w:t>
      </w:r>
      <w:r>
        <w:rPr>
          <w:rStyle w:val="28"/>
          <w:b w:val="0"/>
          <w:bCs w:val="0"/>
          <w:color w:val="auto"/>
          <w:highlight w:val="none"/>
        </w:rPr>
        <w:t>8</w:t>
      </w:r>
      <w:r>
        <w:rPr>
          <w:rStyle w:val="28"/>
          <w:rFonts w:hint="eastAsia"/>
          <w:b w:val="0"/>
          <w:bCs w:val="0"/>
          <w:color w:val="auto"/>
          <w:highlight w:val="none"/>
        </w:rPr>
        <w:t>：推荐中标候选人一览表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_Toc256000151 \h </w:instrText>
      </w:r>
      <w:r>
        <w:rPr>
          <w:b w:val="0"/>
          <w:bCs w:val="0"/>
          <w:color w:val="auto"/>
          <w:highlight w:val="none"/>
        </w:rPr>
        <w:fldChar w:fldCharType="separate"/>
      </w:r>
      <w:r>
        <w:rPr>
          <w:b w:val="0"/>
          <w:bCs w:val="0"/>
          <w:color w:val="auto"/>
          <w:highlight w:val="none"/>
        </w:rPr>
        <w:t>87</w:t>
      </w:r>
      <w:r>
        <w:rPr>
          <w:b w:val="0"/>
          <w:bCs w:val="0"/>
          <w:color w:val="auto"/>
          <w:highlight w:val="none"/>
        </w:rPr>
        <w:fldChar w:fldCharType="end"/>
      </w:r>
      <w:r>
        <w:rPr>
          <w:b w:val="0"/>
          <w:bCs w:val="0"/>
          <w:color w:val="auto"/>
          <w:highlight w:val="none"/>
        </w:rPr>
        <w:fldChar w:fldCharType="end"/>
      </w:r>
    </w:p>
    <w:p w14:paraId="120470D3">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"_Toc256000152" </w:instrText>
      </w:r>
      <w:r>
        <w:rPr>
          <w:b w:val="0"/>
          <w:bCs w:val="0"/>
          <w:color w:val="auto"/>
          <w:highlight w:val="none"/>
        </w:rPr>
        <w:fldChar w:fldCharType="separate"/>
      </w:r>
      <w:r>
        <w:rPr>
          <w:rStyle w:val="28"/>
          <w:rFonts w:hint="eastAsia" w:ascii="黑体" w:hAnsi="黑体" w:eastAsia="黑体"/>
          <w:b w:val="0"/>
          <w:bCs w:val="0"/>
          <w:color w:val="auto"/>
          <w:highlight w:val="none"/>
        </w:rPr>
        <w:t>第四章  合同条款及格式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_Toc256000152 \h </w:instrText>
      </w:r>
      <w:r>
        <w:rPr>
          <w:b w:val="0"/>
          <w:bCs w:val="0"/>
          <w:color w:val="auto"/>
          <w:highlight w:val="none"/>
        </w:rPr>
        <w:fldChar w:fldCharType="separate"/>
      </w:r>
      <w:r>
        <w:rPr>
          <w:b w:val="0"/>
          <w:bCs w:val="0"/>
          <w:color w:val="auto"/>
          <w:highlight w:val="none"/>
        </w:rPr>
        <w:t>88</w:t>
      </w:r>
      <w:r>
        <w:rPr>
          <w:b w:val="0"/>
          <w:bCs w:val="0"/>
          <w:color w:val="auto"/>
          <w:highlight w:val="none"/>
        </w:rPr>
        <w:fldChar w:fldCharType="end"/>
      </w:r>
      <w:r>
        <w:rPr>
          <w:b w:val="0"/>
          <w:bCs w:val="0"/>
          <w:color w:val="auto"/>
          <w:highlight w:val="none"/>
        </w:rPr>
        <w:fldChar w:fldCharType="end"/>
      </w:r>
    </w:p>
    <w:p w14:paraId="14C1BEE5">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"_Toc256000153" </w:instrText>
      </w:r>
      <w:r>
        <w:rPr>
          <w:b w:val="0"/>
          <w:bCs w:val="0"/>
          <w:color w:val="auto"/>
          <w:highlight w:val="none"/>
        </w:rPr>
        <w:fldChar w:fldCharType="separate"/>
      </w:r>
      <w:r>
        <w:rPr>
          <w:rStyle w:val="28"/>
          <w:rFonts w:hint="eastAsia" w:ascii="华文中宋" w:hAnsi="华文中宋" w:eastAsia="华文中宋"/>
          <w:b w:val="0"/>
          <w:bCs w:val="0"/>
          <w:color w:val="auto"/>
          <w:kern w:val="44"/>
          <w:highlight w:val="none"/>
          <w:lang w:val="zh-CN"/>
        </w:rPr>
        <w:t>第一部分</w:t>
      </w:r>
      <w:r>
        <w:rPr>
          <w:rStyle w:val="28"/>
          <w:rFonts w:ascii="华文中宋" w:hAnsi="华文中宋" w:eastAsia="华文中宋"/>
          <w:b w:val="0"/>
          <w:bCs w:val="0"/>
          <w:color w:val="auto"/>
          <w:kern w:val="44"/>
          <w:highlight w:val="none"/>
          <w:lang w:val="zh-CN"/>
        </w:rPr>
        <w:t xml:space="preserve"> </w:t>
      </w:r>
      <w:r>
        <w:rPr>
          <w:rStyle w:val="28"/>
          <w:rFonts w:hint="eastAsia" w:ascii="华文中宋" w:hAnsi="华文中宋" w:eastAsia="华文中宋"/>
          <w:b w:val="0"/>
          <w:bCs w:val="0"/>
          <w:color w:val="auto"/>
          <w:kern w:val="44"/>
          <w:highlight w:val="none"/>
          <w:lang w:val="zh-CN"/>
        </w:rPr>
        <w:t>合同协议书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_Toc256000153 \h </w:instrText>
      </w:r>
      <w:r>
        <w:rPr>
          <w:b w:val="0"/>
          <w:bCs w:val="0"/>
          <w:color w:val="auto"/>
          <w:highlight w:val="none"/>
        </w:rPr>
        <w:fldChar w:fldCharType="separate"/>
      </w:r>
      <w:r>
        <w:rPr>
          <w:b w:val="0"/>
          <w:bCs w:val="0"/>
          <w:color w:val="auto"/>
          <w:highlight w:val="none"/>
        </w:rPr>
        <w:t>89</w:t>
      </w:r>
      <w:r>
        <w:rPr>
          <w:b w:val="0"/>
          <w:bCs w:val="0"/>
          <w:color w:val="auto"/>
          <w:highlight w:val="none"/>
        </w:rPr>
        <w:fldChar w:fldCharType="end"/>
      </w:r>
      <w:r>
        <w:rPr>
          <w:b w:val="0"/>
          <w:bCs w:val="0"/>
          <w:color w:val="auto"/>
          <w:highlight w:val="none"/>
        </w:rPr>
        <w:fldChar w:fldCharType="end"/>
      </w:r>
    </w:p>
    <w:p w14:paraId="3786F4A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"_Toc256000164" </w:instrText>
      </w:r>
      <w:r>
        <w:rPr>
          <w:b w:val="0"/>
          <w:bCs w:val="0"/>
          <w:color w:val="auto"/>
          <w:highlight w:val="none"/>
        </w:rPr>
        <w:fldChar w:fldCharType="separate"/>
      </w:r>
      <w:r>
        <w:rPr>
          <w:rStyle w:val="28"/>
          <w:rFonts w:hint="eastAsia" w:ascii="华文中宋" w:hAnsi="华文中宋" w:eastAsia="华文中宋"/>
          <w:b w:val="0"/>
          <w:bCs w:val="0"/>
          <w:color w:val="auto"/>
          <w:kern w:val="44"/>
          <w:highlight w:val="none"/>
          <w:lang w:val="zh-CN"/>
        </w:rPr>
        <w:t>第二部分</w:t>
      </w:r>
      <w:r>
        <w:rPr>
          <w:rStyle w:val="28"/>
          <w:rFonts w:ascii="华文中宋" w:hAnsi="华文中宋" w:eastAsia="华文中宋"/>
          <w:b w:val="0"/>
          <w:bCs w:val="0"/>
          <w:color w:val="auto"/>
          <w:kern w:val="44"/>
          <w:highlight w:val="none"/>
          <w:lang w:val="zh-CN"/>
        </w:rPr>
        <w:t xml:space="preserve"> </w:t>
      </w:r>
      <w:r>
        <w:rPr>
          <w:rStyle w:val="28"/>
          <w:rFonts w:hint="eastAsia" w:ascii="华文中宋" w:hAnsi="华文中宋" w:eastAsia="华文中宋"/>
          <w:b w:val="0"/>
          <w:bCs w:val="0"/>
          <w:color w:val="auto"/>
          <w:kern w:val="44"/>
          <w:highlight w:val="none"/>
          <w:lang w:val="zh-CN"/>
        </w:rPr>
        <w:t>通用合同条件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_Toc256000164 \h </w:instrText>
      </w:r>
      <w:r>
        <w:rPr>
          <w:b w:val="0"/>
          <w:bCs w:val="0"/>
          <w:color w:val="auto"/>
          <w:highlight w:val="none"/>
        </w:rPr>
        <w:fldChar w:fldCharType="separate"/>
      </w:r>
      <w:r>
        <w:rPr>
          <w:b w:val="0"/>
          <w:bCs w:val="0"/>
          <w:color w:val="auto"/>
          <w:highlight w:val="none"/>
        </w:rPr>
        <w:t>93</w:t>
      </w:r>
      <w:r>
        <w:rPr>
          <w:b w:val="0"/>
          <w:bCs w:val="0"/>
          <w:color w:val="auto"/>
          <w:highlight w:val="none"/>
        </w:rPr>
        <w:fldChar w:fldCharType="end"/>
      </w:r>
      <w:r>
        <w:rPr>
          <w:b w:val="0"/>
          <w:bCs w:val="0"/>
          <w:color w:val="auto"/>
          <w:highlight w:val="none"/>
        </w:rPr>
        <w:fldChar w:fldCharType="end"/>
      </w:r>
    </w:p>
    <w:p w14:paraId="46C1EE7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"_Toc256000166" </w:instrText>
      </w:r>
      <w:r>
        <w:rPr>
          <w:b w:val="0"/>
          <w:bCs w:val="0"/>
          <w:color w:val="auto"/>
          <w:highlight w:val="none"/>
        </w:rPr>
        <w:fldChar w:fldCharType="separate"/>
      </w:r>
      <w:r>
        <w:rPr>
          <w:rStyle w:val="28"/>
          <w:rFonts w:hint="eastAsia" w:ascii="华文中宋" w:hAnsi="华文中宋" w:eastAsia="华文中宋"/>
          <w:b w:val="0"/>
          <w:bCs w:val="0"/>
          <w:color w:val="auto"/>
          <w:kern w:val="44"/>
          <w:highlight w:val="none"/>
          <w:lang w:val="zh-CN"/>
        </w:rPr>
        <w:t>第三部分 专用合同条件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_Toc256000166 \h </w:instrText>
      </w:r>
      <w:r>
        <w:rPr>
          <w:b w:val="0"/>
          <w:bCs w:val="0"/>
          <w:color w:val="auto"/>
          <w:highlight w:val="none"/>
        </w:rPr>
        <w:fldChar w:fldCharType="separate"/>
      </w:r>
      <w:r>
        <w:rPr>
          <w:b w:val="0"/>
          <w:bCs w:val="0"/>
          <w:color w:val="auto"/>
          <w:highlight w:val="none"/>
        </w:rPr>
        <w:t>148</w:t>
      </w:r>
      <w:r>
        <w:rPr>
          <w:b w:val="0"/>
          <w:bCs w:val="0"/>
          <w:color w:val="auto"/>
          <w:highlight w:val="none"/>
        </w:rPr>
        <w:fldChar w:fldCharType="end"/>
      </w:r>
      <w:r>
        <w:rPr>
          <w:b w:val="0"/>
          <w:bCs w:val="0"/>
          <w:color w:val="auto"/>
          <w:highlight w:val="none"/>
        </w:rPr>
        <w:fldChar w:fldCharType="end"/>
      </w:r>
    </w:p>
    <w:p w14:paraId="3E1E632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"_Toc256000186" </w:instrText>
      </w:r>
      <w:r>
        <w:rPr>
          <w:b w:val="0"/>
          <w:bCs w:val="0"/>
          <w:color w:val="auto"/>
          <w:highlight w:val="none"/>
        </w:rPr>
        <w:fldChar w:fldCharType="separate"/>
      </w:r>
      <w:r>
        <w:rPr>
          <w:rStyle w:val="28"/>
          <w:rFonts w:hint="eastAsia" w:ascii="华文中宋" w:hAnsi="华文中宋" w:eastAsia="华文中宋"/>
          <w:b w:val="0"/>
          <w:bCs w:val="0"/>
          <w:color w:val="auto"/>
          <w:kern w:val="44"/>
          <w:highlight w:val="none"/>
          <w:lang w:val="zh-CN"/>
        </w:rPr>
        <w:t>专用合同条件附件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_Toc256000186 \h </w:instrText>
      </w:r>
      <w:r>
        <w:rPr>
          <w:b w:val="0"/>
          <w:bCs w:val="0"/>
          <w:color w:val="auto"/>
          <w:highlight w:val="none"/>
        </w:rPr>
        <w:fldChar w:fldCharType="separate"/>
      </w:r>
      <w:r>
        <w:rPr>
          <w:b w:val="0"/>
          <w:bCs w:val="0"/>
          <w:color w:val="auto"/>
          <w:highlight w:val="none"/>
        </w:rPr>
        <w:t>167</w:t>
      </w:r>
      <w:r>
        <w:rPr>
          <w:b w:val="0"/>
          <w:bCs w:val="0"/>
          <w:color w:val="auto"/>
          <w:highlight w:val="none"/>
        </w:rPr>
        <w:fldChar w:fldCharType="end"/>
      </w:r>
      <w:r>
        <w:rPr>
          <w:b w:val="0"/>
          <w:bCs w:val="0"/>
          <w:color w:val="auto"/>
          <w:highlight w:val="none"/>
        </w:rPr>
        <w:fldChar w:fldCharType="end"/>
      </w:r>
    </w:p>
    <w:p w14:paraId="5A817A83">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"_Toc256000187" </w:instrText>
      </w:r>
      <w:r>
        <w:rPr>
          <w:b w:val="0"/>
          <w:bCs w:val="0"/>
          <w:color w:val="auto"/>
          <w:highlight w:val="none"/>
        </w:rPr>
        <w:fldChar w:fldCharType="separate"/>
      </w:r>
      <w:r>
        <w:rPr>
          <w:rStyle w:val="28"/>
          <w:rFonts w:hint="eastAsia" w:ascii="宋体" w:hAnsi="宋体"/>
          <w:b w:val="0"/>
          <w:bCs w:val="0"/>
          <w:color w:val="auto"/>
          <w:kern w:val="0"/>
          <w:highlight w:val="none"/>
        </w:rPr>
        <w:t>附件1</w:t>
      </w:r>
      <w:r>
        <w:rPr>
          <w:rStyle w:val="28"/>
          <w:rFonts w:ascii="宋体" w:hAnsi="宋体"/>
          <w:b w:val="0"/>
          <w:bCs w:val="0"/>
          <w:color w:val="auto"/>
          <w:kern w:val="0"/>
          <w:highlight w:val="none"/>
        </w:rPr>
        <w:t xml:space="preserve"> </w:t>
      </w:r>
      <w:r>
        <w:rPr>
          <w:rStyle w:val="28"/>
          <w:rFonts w:hint="eastAsia" w:ascii="宋体" w:hAnsi="宋体"/>
          <w:b w:val="0"/>
          <w:bCs w:val="0"/>
          <w:color w:val="auto"/>
          <w:kern w:val="0"/>
          <w:highlight w:val="none"/>
        </w:rPr>
        <w:t>《发包人要求》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_Toc256000187 \h </w:instrText>
      </w:r>
      <w:r>
        <w:rPr>
          <w:b w:val="0"/>
          <w:bCs w:val="0"/>
          <w:color w:val="auto"/>
          <w:highlight w:val="none"/>
        </w:rPr>
        <w:fldChar w:fldCharType="separate"/>
      </w:r>
      <w:r>
        <w:rPr>
          <w:b w:val="0"/>
          <w:bCs w:val="0"/>
          <w:color w:val="auto"/>
          <w:highlight w:val="none"/>
        </w:rPr>
        <w:t>168</w:t>
      </w:r>
      <w:r>
        <w:rPr>
          <w:b w:val="0"/>
          <w:bCs w:val="0"/>
          <w:color w:val="auto"/>
          <w:highlight w:val="none"/>
        </w:rPr>
        <w:fldChar w:fldCharType="end"/>
      </w:r>
      <w:r>
        <w:rPr>
          <w:b w:val="0"/>
          <w:bCs w:val="0"/>
          <w:color w:val="auto"/>
          <w:highlight w:val="none"/>
        </w:rPr>
        <w:fldChar w:fldCharType="end"/>
      </w:r>
    </w:p>
    <w:p w14:paraId="48844F4E">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"_Toc256000188" </w:instrText>
      </w:r>
      <w:r>
        <w:rPr>
          <w:b w:val="0"/>
          <w:bCs w:val="0"/>
          <w:color w:val="auto"/>
          <w:highlight w:val="none"/>
        </w:rPr>
        <w:fldChar w:fldCharType="separate"/>
      </w:r>
      <w:r>
        <w:rPr>
          <w:rStyle w:val="28"/>
          <w:rFonts w:hint="eastAsia" w:ascii="宋体" w:hAnsi="宋体"/>
          <w:b w:val="0"/>
          <w:bCs w:val="0"/>
          <w:color w:val="auto"/>
          <w:kern w:val="0"/>
          <w:highlight w:val="none"/>
        </w:rPr>
        <w:t>附件2</w:t>
      </w:r>
      <w:r>
        <w:rPr>
          <w:rStyle w:val="28"/>
          <w:rFonts w:ascii="宋体" w:hAnsi="宋体"/>
          <w:b w:val="0"/>
          <w:bCs w:val="0"/>
          <w:color w:val="auto"/>
          <w:kern w:val="0"/>
          <w:highlight w:val="none"/>
        </w:rPr>
        <w:t xml:space="preserve"> 发包人供应材料设备一览表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_Toc256000188 \h </w:instrText>
      </w:r>
      <w:r>
        <w:rPr>
          <w:b w:val="0"/>
          <w:bCs w:val="0"/>
          <w:color w:val="auto"/>
          <w:highlight w:val="none"/>
        </w:rPr>
        <w:fldChar w:fldCharType="separate"/>
      </w:r>
      <w:r>
        <w:rPr>
          <w:b w:val="0"/>
          <w:bCs w:val="0"/>
          <w:color w:val="auto"/>
          <w:highlight w:val="none"/>
        </w:rPr>
        <w:t>171</w:t>
      </w:r>
      <w:r>
        <w:rPr>
          <w:b w:val="0"/>
          <w:bCs w:val="0"/>
          <w:color w:val="auto"/>
          <w:highlight w:val="none"/>
        </w:rPr>
        <w:fldChar w:fldCharType="end"/>
      </w:r>
      <w:r>
        <w:rPr>
          <w:b w:val="0"/>
          <w:bCs w:val="0"/>
          <w:color w:val="auto"/>
          <w:highlight w:val="none"/>
        </w:rPr>
        <w:fldChar w:fldCharType="end"/>
      </w:r>
    </w:p>
    <w:p w14:paraId="353889DB">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"_Toc256000189" </w:instrText>
      </w:r>
      <w:r>
        <w:rPr>
          <w:b w:val="0"/>
          <w:bCs w:val="0"/>
          <w:color w:val="auto"/>
          <w:highlight w:val="none"/>
        </w:rPr>
        <w:fldChar w:fldCharType="separate"/>
      </w:r>
      <w:r>
        <w:rPr>
          <w:rStyle w:val="28"/>
          <w:rFonts w:hint="eastAsia" w:ascii="宋体" w:hAnsi="宋体"/>
          <w:b w:val="0"/>
          <w:bCs w:val="0"/>
          <w:color w:val="auto"/>
          <w:kern w:val="0"/>
          <w:highlight w:val="none"/>
        </w:rPr>
        <w:t>附件</w:t>
      </w:r>
      <w:r>
        <w:rPr>
          <w:rStyle w:val="28"/>
          <w:rFonts w:ascii="宋体" w:hAnsi="宋体"/>
          <w:b w:val="0"/>
          <w:bCs w:val="0"/>
          <w:color w:val="auto"/>
          <w:kern w:val="0"/>
          <w:highlight w:val="none"/>
        </w:rPr>
        <w:t>3 工程质量保修书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_Toc256000189 \h </w:instrText>
      </w:r>
      <w:r>
        <w:rPr>
          <w:b w:val="0"/>
          <w:bCs w:val="0"/>
          <w:color w:val="auto"/>
          <w:highlight w:val="none"/>
        </w:rPr>
        <w:fldChar w:fldCharType="separate"/>
      </w:r>
      <w:r>
        <w:rPr>
          <w:b w:val="0"/>
          <w:bCs w:val="0"/>
          <w:color w:val="auto"/>
          <w:highlight w:val="none"/>
        </w:rPr>
        <w:t>172</w:t>
      </w:r>
      <w:r>
        <w:rPr>
          <w:b w:val="0"/>
          <w:bCs w:val="0"/>
          <w:color w:val="auto"/>
          <w:highlight w:val="none"/>
        </w:rPr>
        <w:fldChar w:fldCharType="end"/>
      </w:r>
      <w:r>
        <w:rPr>
          <w:b w:val="0"/>
          <w:bCs w:val="0"/>
          <w:color w:val="auto"/>
          <w:highlight w:val="none"/>
        </w:rPr>
        <w:fldChar w:fldCharType="end"/>
      </w:r>
    </w:p>
    <w:p w14:paraId="0550AABC">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"_Toc256000190" </w:instrText>
      </w:r>
      <w:r>
        <w:rPr>
          <w:b w:val="0"/>
          <w:bCs w:val="0"/>
          <w:color w:val="auto"/>
          <w:highlight w:val="none"/>
        </w:rPr>
        <w:fldChar w:fldCharType="separate"/>
      </w:r>
      <w:r>
        <w:rPr>
          <w:rStyle w:val="28"/>
          <w:rFonts w:hint="eastAsia" w:ascii="宋体" w:hAnsi="宋体"/>
          <w:b w:val="0"/>
          <w:bCs w:val="0"/>
          <w:color w:val="auto"/>
          <w:kern w:val="0"/>
          <w:highlight w:val="none"/>
        </w:rPr>
        <w:t>附件4</w:t>
      </w:r>
      <w:r>
        <w:rPr>
          <w:rStyle w:val="28"/>
          <w:rFonts w:ascii="宋体" w:hAnsi="宋体"/>
          <w:b w:val="0"/>
          <w:bCs w:val="0"/>
          <w:color w:val="auto"/>
          <w:kern w:val="0"/>
          <w:highlight w:val="none"/>
        </w:rPr>
        <w:t xml:space="preserve"> 主要建设工程文件目录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_Toc256000190 \h </w:instrText>
      </w:r>
      <w:r>
        <w:rPr>
          <w:b w:val="0"/>
          <w:bCs w:val="0"/>
          <w:color w:val="auto"/>
          <w:highlight w:val="none"/>
        </w:rPr>
        <w:fldChar w:fldCharType="separate"/>
      </w:r>
      <w:r>
        <w:rPr>
          <w:b w:val="0"/>
          <w:bCs w:val="0"/>
          <w:color w:val="auto"/>
          <w:highlight w:val="none"/>
        </w:rPr>
        <w:t>174</w:t>
      </w:r>
      <w:r>
        <w:rPr>
          <w:b w:val="0"/>
          <w:bCs w:val="0"/>
          <w:color w:val="auto"/>
          <w:highlight w:val="none"/>
        </w:rPr>
        <w:fldChar w:fldCharType="end"/>
      </w:r>
      <w:r>
        <w:rPr>
          <w:b w:val="0"/>
          <w:bCs w:val="0"/>
          <w:color w:val="auto"/>
          <w:highlight w:val="none"/>
        </w:rPr>
        <w:fldChar w:fldCharType="end"/>
      </w:r>
    </w:p>
    <w:p w14:paraId="72A60969">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"_Toc256000191" </w:instrText>
      </w:r>
      <w:r>
        <w:rPr>
          <w:b w:val="0"/>
          <w:bCs w:val="0"/>
          <w:color w:val="auto"/>
          <w:highlight w:val="none"/>
        </w:rPr>
        <w:fldChar w:fldCharType="separate"/>
      </w:r>
      <w:r>
        <w:rPr>
          <w:rStyle w:val="28"/>
          <w:rFonts w:hint="eastAsia" w:ascii="宋体" w:hAnsi="宋体"/>
          <w:b w:val="0"/>
          <w:bCs w:val="0"/>
          <w:color w:val="auto"/>
          <w:kern w:val="0"/>
          <w:highlight w:val="none"/>
        </w:rPr>
        <w:t>附件</w:t>
      </w:r>
      <w:r>
        <w:rPr>
          <w:rStyle w:val="28"/>
          <w:rFonts w:ascii="宋体" w:hAnsi="宋体"/>
          <w:b w:val="0"/>
          <w:bCs w:val="0"/>
          <w:color w:val="auto"/>
          <w:kern w:val="0"/>
          <w:highlight w:val="none"/>
        </w:rPr>
        <w:t>5 承包人主要管理人员表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_Toc256000191 \h </w:instrText>
      </w:r>
      <w:r>
        <w:rPr>
          <w:b w:val="0"/>
          <w:bCs w:val="0"/>
          <w:color w:val="auto"/>
          <w:highlight w:val="none"/>
        </w:rPr>
        <w:fldChar w:fldCharType="separate"/>
      </w:r>
      <w:r>
        <w:rPr>
          <w:b w:val="0"/>
          <w:bCs w:val="0"/>
          <w:color w:val="auto"/>
          <w:highlight w:val="none"/>
        </w:rPr>
        <w:t>175</w:t>
      </w:r>
      <w:r>
        <w:rPr>
          <w:b w:val="0"/>
          <w:bCs w:val="0"/>
          <w:color w:val="auto"/>
          <w:highlight w:val="none"/>
        </w:rPr>
        <w:fldChar w:fldCharType="end"/>
      </w:r>
      <w:r>
        <w:rPr>
          <w:b w:val="0"/>
          <w:bCs w:val="0"/>
          <w:color w:val="auto"/>
          <w:highlight w:val="none"/>
        </w:rPr>
        <w:fldChar w:fldCharType="end"/>
      </w:r>
    </w:p>
    <w:p w14:paraId="5A7A2781">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"_Toc256000192" </w:instrText>
      </w:r>
      <w:r>
        <w:rPr>
          <w:b w:val="0"/>
          <w:bCs w:val="0"/>
          <w:color w:val="auto"/>
          <w:highlight w:val="none"/>
        </w:rPr>
        <w:fldChar w:fldCharType="separate"/>
      </w:r>
      <w:r>
        <w:rPr>
          <w:rStyle w:val="28"/>
          <w:rFonts w:hint="eastAsia" w:ascii="宋体" w:hAnsi="宋体" w:eastAsia="宋体"/>
          <w:b w:val="0"/>
          <w:bCs w:val="0"/>
          <w:color w:val="auto"/>
          <w:kern w:val="0"/>
          <w:highlight w:val="none"/>
        </w:rPr>
        <w:t>附件7 文明施工及环境保护协议书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_Toc256000192 \h </w:instrText>
      </w:r>
      <w:r>
        <w:rPr>
          <w:b w:val="0"/>
          <w:bCs w:val="0"/>
          <w:color w:val="auto"/>
          <w:highlight w:val="none"/>
        </w:rPr>
        <w:fldChar w:fldCharType="separate"/>
      </w:r>
      <w:r>
        <w:rPr>
          <w:b w:val="0"/>
          <w:bCs w:val="0"/>
          <w:color w:val="auto"/>
          <w:highlight w:val="none"/>
        </w:rPr>
        <w:t>177</w:t>
      </w:r>
      <w:r>
        <w:rPr>
          <w:b w:val="0"/>
          <w:bCs w:val="0"/>
          <w:color w:val="auto"/>
          <w:highlight w:val="none"/>
        </w:rPr>
        <w:fldChar w:fldCharType="end"/>
      </w:r>
      <w:r>
        <w:rPr>
          <w:b w:val="0"/>
          <w:bCs w:val="0"/>
          <w:color w:val="auto"/>
          <w:highlight w:val="none"/>
        </w:rPr>
        <w:fldChar w:fldCharType="end"/>
      </w:r>
    </w:p>
    <w:p w14:paraId="7000A59D">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"_Toc256000193" </w:instrText>
      </w:r>
      <w:r>
        <w:rPr>
          <w:b w:val="0"/>
          <w:bCs w:val="0"/>
          <w:color w:val="auto"/>
          <w:highlight w:val="none"/>
        </w:rPr>
        <w:fldChar w:fldCharType="separate"/>
      </w:r>
      <w:r>
        <w:rPr>
          <w:rStyle w:val="28"/>
          <w:rFonts w:hint="eastAsia" w:ascii="宋体" w:hAnsi="宋体" w:eastAsia="宋体"/>
          <w:b w:val="0"/>
          <w:bCs w:val="0"/>
          <w:color w:val="auto"/>
          <w:kern w:val="0"/>
          <w:highlight w:val="none"/>
        </w:rPr>
        <w:t>附件8 安全生产协议书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_Toc256000193 \h </w:instrText>
      </w:r>
      <w:r>
        <w:rPr>
          <w:b w:val="0"/>
          <w:bCs w:val="0"/>
          <w:color w:val="auto"/>
          <w:highlight w:val="none"/>
        </w:rPr>
        <w:fldChar w:fldCharType="separate"/>
      </w:r>
      <w:r>
        <w:rPr>
          <w:b w:val="0"/>
          <w:bCs w:val="0"/>
          <w:color w:val="auto"/>
          <w:highlight w:val="none"/>
        </w:rPr>
        <w:t>179</w:t>
      </w:r>
      <w:r>
        <w:rPr>
          <w:b w:val="0"/>
          <w:bCs w:val="0"/>
          <w:color w:val="auto"/>
          <w:highlight w:val="none"/>
        </w:rPr>
        <w:fldChar w:fldCharType="end"/>
      </w:r>
      <w:r>
        <w:rPr>
          <w:b w:val="0"/>
          <w:bCs w:val="0"/>
          <w:color w:val="auto"/>
          <w:highlight w:val="none"/>
        </w:rPr>
        <w:fldChar w:fldCharType="end"/>
      </w:r>
    </w:p>
    <w:p w14:paraId="515DF08C">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"_Toc256000194" </w:instrText>
      </w:r>
      <w:r>
        <w:rPr>
          <w:b w:val="0"/>
          <w:bCs w:val="0"/>
          <w:color w:val="auto"/>
          <w:highlight w:val="none"/>
        </w:rPr>
        <w:fldChar w:fldCharType="separate"/>
      </w:r>
      <w:r>
        <w:rPr>
          <w:rStyle w:val="28"/>
          <w:rFonts w:hint="eastAsia" w:ascii="宋体" w:hAnsi="宋体" w:eastAsia="宋体"/>
          <w:b w:val="0"/>
          <w:bCs w:val="0"/>
          <w:color w:val="auto"/>
          <w:kern w:val="0"/>
          <w:highlight w:val="none"/>
        </w:rPr>
        <w:t>附件9 廉洁合作协议书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_Toc256000194 \h </w:instrText>
      </w:r>
      <w:r>
        <w:rPr>
          <w:b w:val="0"/>
          <w:bCs w:val="0"/>
          <w:color w:val="auto"/>
          <w:highlight w:val="none"/>
        </w:rPr>
        <w:fldChar w:fldCharType="separate"/>
      </w:r>
      <w:r>
        <w:rPr>
          <w:b w:val="0"/>
          <w:bCs w:val="0"/>
          <w:color w:val="auto"/>
          <w:highlight w:val="none"/>
        </w:rPr>
        <w:t>181</w:t>
      </w:r>
      <w:r>
        <w:rPr>
          <w:b w:val="0"/>
          <w:bCs w:val="0"/>
          <w:color w:val="auto"/>
          <w:highlight w:val="none"/>
        </w:rPr>
        <w:fldChar w:fldCharType="end"/>
      </w:r>
      <w:r>
        <w:rPr>
          <w:b w:val="0"/>
          <w:bCs w:val="0"/>
          <w:color w:val="auto"/>
          <w:highlight w:val="none"/>
        </w:rPr>
        <w:fldChar w:fldCharType="end"/>
      </w:r>
    </w:p>
    <w:p w14:paraId="2CF6CD24">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"_Toc256000195" </w:instrText>
      </w:r>
      <w:r>
        <w:rPr>
          <w:b w:val="0"/>
          <w:bCs w:val="0"/>
          <w:color w:val="auto"/>
          <w:highlight w:val="none"/>
        </w:rPr>
        <w:fldChar w:fldCharType="separate"/>
      </w:r>
      <w:r>
        <w:rPr>
          <w:rStyle w:val="28"/>
          <w:rFonts w:hint="eastAsia" w:ascii="宋体" w:hAnsi="宋体" w:eastAsia="宋体"/>
          <w:b w:val="0"/>
          <w:bCs w:val="0"/>
          <w:color w:val="auto"/>
          <w:kern w:val="0"/>
          <w:highlight w:val="none"/>
        </w:rPr>
        <w:t>附件10 银行履约保函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_Toc256000195 \h </w:instrText>
      </w:r>
      <w:r>
        <w:rPr>
          <w:b w:val="0"/>
          <w:bCs w:val="0"/>
          <w:color w:val="auto"/>
          <w:highlight w:val="none"/>
        </w:rPr>
        <w:fldChar w:fldCharType="separate"/>
      </w:r>
      <w:r>
        <w:rPr>
          <w:b w:val="0"/>
          <w:bCs w:val="0"/>
          <w:color w:val="auto"/>
          <w:highlight w:val="none"/>
        </w:rPr>
        <w:t>183</w:t>
      </w:r>
      <w:r>
        <w:rPr>
          <w:b w:val="0"/>
          <w:bCs w:val="0"/>
          <w:color w:val="auto"/>
          <w:highlight w:val="none"/>
        </w:rPr>
        <w:fldChar w:fldCharType="end"/>
      </w:r>
      <w:r>
        <w:rPr>
          <w:b w:val="0"/>
          <w:bCs w:val="0"/>
          <w:color w:val="auto"/>
          <w:highlight w:val="none"/>
        </w:rPr>
        <w:fldChar w:fldCharType="end"/>
      </w:r>
    </w:p>
    <w:p w14:paraId="07F68669">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"_Toc256000196" </w:instrText>
      </w:r>
      <w:r>
        <w:rPr>
          <w:b w:val="0"/>
          <w:bCs w:val="0"/>
          <w:color w:val="auto"/>
          <w:highlight w:val="none"/>
        </w:rPr>
        <w:fldChar w:fldCharType="separate"/>
      </w:r>
      <w:r>
        <w:rPr>
          <w:rStyle w:val="28"/>
          <w:rFonts w:hint="eastAsia" w:ascii="黑体" w:hAnsi="黑体" w:eastAsia="黑体"/>
          <w:b w:val="0"/>
          <w:bCs w:val="0"/>
          <w:color w:val="auto"/>
          <w:highlight w:val="none"/>
        </w:rPr>
        <w:t>第二卷</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_Toc256000196 \h </w:instrText>
      </w:r>
      <w:r>
        <w:rPr>
          <w:b w:val="0"/>
          <w:bCs w:val="0"/>
          <w:color w:val="auto"/>
          <w:highlight w:val="none"/>
        </w:rPr>
        <w:fldChar w:fldCharType="separate"/>
      </w:r>
      <w:r>
        <w:rPr>
          <w:b w:val="0"/>
          <w:bCs w:val="0"/>
          <w:color w:val="auto"/>
          <w:highlight w:val="none"/>
        </w:rPr>
        <w:t>187</w:t>
      </w:r>
      <w:r>
        <w:rPr>
          <w:b w:val="0"/>
          <w:bCs w:val="0"/>
          <w:color w:val="auto"/>
          <w:highlight w:val="none"/>
        </w:rPr>
        <w:fldChar w:fldCharType="end"/>
      </w:r>
      <w:r>
        <w:rPr>
          <w:b w:val="0"/>
          <w:bCs w:val="0"/>
          <w:color w:val="auto"/>
          <w:highlight w:val="none"/>
        </w:rPr>
        <w:fldChar w:fldCharType="end"/>
      </w:r>
    </w:p>
    <w:p w14:paraId="2BBC9BBF">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"_Toc256000197" </w:instrText>
      </w:r>
      <w:r>
        <w:rPr>
          <w:b w:val="0"/>
          <w:bCs w:val="0"/>
          <w:color w:val="auto"/>
          <w:highlight w:val="none"/>
        </w:rPr>
        <w:fldChar w:fldCharType="separate"/>
      </w:r>
      <w:r>
        <w:rPr>
          <w:rStyle w:val="28"/>
          <w:rFonts w:ascii="黑体" w:hAnsi="黑体" w:eastAsia="黑体"/>
          <w:b w:val="0"/>
          <w:bCs w:val="0"/>
          <w:color w:val="auto"/>
          <w:highlight w:val="none"/>
        </w:rPr>
        <w:t>第</w:t>
      </w:r>
      <w:r>
        <w:rPr>
          <w:rStyle w:val="28"/>
          <w:rFonts w:hint="eastAsia" w:ascii="黑体" w:hAnsi="黑体" w:eastAsia="黑体"/>
          <w:b w:val="0"/>
          <w:bCs w:val="0"/>
          <w:color w:val="auto"/>
          <w:highlight w:val="none"/>
        </w:rPr>
        <w:t>五</w:t>
      </w:r>
      <w:r>
        <w:rPr>
          <w:rStyle w:val="28"/>
          <w:rFonts w:ascii="黑体" w:hAnsi="黑体" w:eastAsia="黑体"/>
          <w:b w:val="0"/>
          <w:bCs w:val="0"/>
          <w:color w:val="auto"/>
          <w:highlight w:val="none"/>
        </w:rPr>
        <w:t>章</w:t>
      </w:r>
      <w:r>
        <w:rPr>
          <w:rStyle w:val="28"/>
          <w:rFonts w:hint="eastAsia" w:ascii="黑体" w:hAnsi="黑体" w:eastAsia="黑体"/>
          <w:b w:val="0"/>
          <w:bCs w:val="0"/>
          <w:color w:val="auto"/>
          <w:highlight w:val="none"/>
        </w:rPr>
        <w:t xml:space="preserve">  发包人要求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_Toc256000197 \h </w:instrText>
      </w:r>
      <w:r>
        <w:rPr>
          <w:b w:val="0"/>
          <w:bCs w:val="0"/>
          <w:color w:val="auto"/>
          <w:highlight w:val="none"/>
        </w:rPr>
        <w:fldChar w:fldCharType="separate"/>
      </w:r>
      <w:r>
        <w:rPr>
          <w:b w:val="0"/>
          <w:bCs w:val="0"/>
          <w:color w:val="auto"/>
          <w:highlight w:val="none"/>
        </w:rPr>
        <w:t>188</w:t>
      </w:r>
      <w:r>
        <w:rPr>
          <w:b w:val="0"/>
          <w:bCs w:val="0"/>
          <w:color w:val="auto"/>
          <w:highlight w:val="none"/>
        </w:rPr>
        <w:fldChar w:fldCharType="end"/>
      </w:r>
      <w:r>
        <w:rPr>
          <w:b w:val="0"/>
          <w:bCs w:val="0"/>
          <w:color w:val="auto"/>
          <w:highlight w:val="none"/>
        </w:rPr>
        <w:fldChar w:fldCharType="end"/>
      </w:r>
    </w:p>
    <w:p w14:paraId="64A078F8">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"_Toc256000198" </w:instrText>
      </w:r>
      <w:r>
        <w:rPr>
          <w:b w:val="0"/>
          <w:bCs w:val="0"/>
          <w:color w:val="auto"/>
          <w:highlight w:val="none"/>
        </w:rPr>
        <w:fldChar w:fldCharType="separate"/>
      </w:r>
      <w:r>
        <w:rPr>
          <w:rStyle w:val="28"/>
          <w:rFonts w:hint="eastAsia" w:ascii="黑体" w:hAnsi="黑体" w:eastAsia="黑体"/>
          <w:b w:val="0"/>
          <w:bCs w:val="0"/>
          <w:color w:val="auto"/>
          <w:highlight w:val="none"/>
        </w:rPr>
        <w:t>第六章  发包人提供的材料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_Toc256000198 \h </w:instrText>
      </w:r>
      <w:r>
        <w:rPr>
          <w:b w:val="0"/>
          <w:bCs w:val="0"/>
          <w:color w:val="auto"/>
          <w:highlight w:val="none"/>
        </w:rPr>
        <w:fldChar w:fldCharType="separate"/>
      </w:r>
      <w:r>
        <w:rPr>
          <w:b w:val="0"/>
          <w:bCs w:val="0"/>
          <w:color w:val="auto"/>
          <w:highlight w:val="none"/>
        </w:rPr>
        <w:t>213</w:t>
      </w:r>
      <w:r>
        <w:rPr>
          <w:b w:val="0"/>
          <w:bCs w:val="0"/>
          <w:color w:val="auto"/>
          <w:highlight w:val="none"/>
        </w:rPr>
        <w:fldChar w:fldCharType="end"/>
      </w:r>
      <w:r>
        <w:rPr>
          <w:b w:val="0"/>
          <w:bCs w:val="0"/>
          <w:color w:val="auto"/>
          <w:highlight w:val="none"/>
        </w:rPr>
        <w:fldChar w:fldCharType="end"/>
      </w:r>
    </w:p>
    <w:p w14:paraId="64A71E0C">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"_Toc256000199" </w:instrText>
      </w:r>
      <w:r>
        <w:rPr>
          <w:b w:val="0"/>
          <w:bCs w:val="0"/>
          <w:color w:val="auto"/>
          <w:highlight w:val="none"/>
        </w:rPr>
        <w:fldChar w:fldCharType="separate"/>
      </w:r>
      <w:r>
        <w:rPr>
          <w:rStyle w:val="28"/>
          <w:rFonts w:hint="eastAsia" w:ascii="黑体" w:hAnsi="黑体" w:eastAsia="黑体"/>
          <w:b w:val="0"/>
          <w:bCs w:val="0"/>
          <w:color w:val="auto"/>
          <w:highlight w:val="none"/>
        </w:rPr>
        <w:t>第三卷</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_Toc256000199 \h </w:instrText>
      </w:r>
      <w:r>
        <w:rPr>
          <w:b w:val="0"/>
          <w:bCs w:val="0"/>
          <w:color w:val="auto"/>
          <w:highlight w:val="none"/>
        </w:rPr>
        <w:fldChar w:fldCharType="separate"/>
      </w:r>
      <w:r>
        <w:rPr>
          <w:b w:val="0"/>
          <w:bCs w:val="0"/>
          <w:color w:val="auto"/>
          <w:highlight w:val="none"/>
        </w:rPr>
        <w:t>215</w:t>
      </w:r>
      <w:r>
        <w:rPr>
          <w:b w:val="0"/>
          <w:bCs w:val="0"/>
          <w:color w:val="auto"/>
          <w:highlight w:val="none"/>
        </w:rPr>
        <w:fldChar w:fldCharType="end"/>
      </w:r>
      <w:r>
        <w:rPr>
          <w:b w:val="0"/>
          <w:bCs w:val="0"/>
          <w:color w:val="auto"/>
          <w:highlight w:val="none"/>
        </w:rPr>
        <w:fldChar w:fldCharType="end"/>
      </w:r>
    </w:p>
    <w:p w14:paraId="40498FBD">
      <w:pPr>
        <w:pStyle w:val="17"/>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"_Toc256000200" </w:instrText>
      </w:r>
      <w:r>
        <w:rPr>
          <w:b w:val="0"/>
          <w:bCs w:val="0"/>
          <w:color w:val="auto"/>
          <w:highlight w:val="none"/>
        </w:rPr>
        <w:fldChar w:fldCharType="separate"/>
      </w:r>
      <w:r>
        <w:rPr>
          <w:rStyle w:val="28"/>
          <w:rFonts w:ascii="黑体" w:hAnsi="宋体" w:eastAsia="黑体" w:cs="黑体"/>
          <w:b w:val="0"/>
          <w:bCs w:val="0"/>
          <w:color w:val="auto"/>
          <w:highlight w:val="none"/>
        </w:rPr>
        <w:t>第</w:t>
      </w:r>
      <w:r>
        <w:rPr>
          <w:rStyle w:val="28"/>
          <w:rFonts w:hint="eastAsia" w:ascii="黑体" w:hAnsi="宋体" w:eastAsia="黑体" w:cs="黑体"/>
          <w:b w:val="0"/>
          <w:bCs w:val="0"/>
          <w:color w:val="auto"/>
          <w:highlight w:val="none"/>
        </w:rPr>
        <w:t>七</w:t>
      </w:r>
      <w:r>
        <w:rPr>
          <w:rStyle w:val="28"/>
          <w:rFonts w:ascii="黑体" w:hAnsi="宋体" w:eastAsia="黑体" w:cs="黑体"/>
          <w:b w:val="0"/>
          <w:bCs w:val="0"/>
          <w:color w:val="auto"/>
          <w:highlight w:val="none"/>
        </w:rPr>
        <w:t>章  投标文件格式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_Toc256000200 \h </w:instrText>
      </w:r>
      <w:r>
        <w:rPr>
          <w:b w:val="0"/>
          <w:bCs w:val="0"/>
          <w:color w:val="auto"/>
          <w:highlight w:val="none"/>
        </w:rPr>
        <w:fldChar w:fldCharType="separate"/>
      </w:r>
      <w:r>
        <w:rPr>
          <w:b w:val="0"/>
          <w:bCs w:val="0"/>
          <w:color w:val="auto"/>
          <w:highlight w:val="none"/>
        </w:rPr>
        <w:t>216</w:t>
      </w:r>
      <w:r>
        <w:rPr>
          <w:b w:val="0"/>
          <w:bCs w:val="0"/>
          <w:color w:val="auto"/>
          <w:highlight w:val="none"/>
        </w:rPr>
        <w:fldChar w:fldCharType="end"/>
      </w:r>
      <w:r>
        <w:rPr>
          <w:b w:val="0"/>
          <w:bCs w:val="0"/>
          <w:color w:val="auto"/>
          <w:highlight w:val="none"/>
        </w:rPr>
        <w:fldChar w:fldCharType="end"/>
      </w:r>
    </w:p>
    <w:p w14:paraId="67B2F45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"_Toc256000201" </w:instrText>
      </w:r>
      <w:r>
        <w:rPr>
          <w:b w:val="0"/>
          <w:bCs w:val="0"/>
          <w:color w:val="auto"/>
          <w:highlight w:val="none"/>
        </w:rPr>
        <w:fldChar w:fldCharType="separate"/>
      </w:r>
      <w:r>
        <w:rPr>
          <w:rStyle w:val="28"/>
          <w:rFonts w:hint="eastAsia"/>
          <w:b w:val="0"/>
          <w:bCs w:val="0"/>
          <w:color w:val="auto"/>
          <w:highlight w:val="none"/>
        </w:rPr>
        <w:t>目    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_Toc256000201 \h </w:instrText>
      </w:r>
      <w:r>
        <w:rPr>
          <w:b w:val="0"/>
          <w:bCs w:val="0"/>
          <w:color w:val="auto"/>
          <w:highlight w:val="none"/>
        </w:rPr>
        <w:fldChar w:fldCharType="separate"/>
      </w:r>
      <w:r>
        <w:rPr>
          <w:b w:val="0"/>
          <w:bCs w:val="0"/>
          <w:color w:val="auto"/>
          <w:highlight w:val="none"/>
        </w:rPr>
        <w:t>218</w:t>
      </w:r>
      <w:r>
        <w:rPr>
          <w:b w:val="0"/>
          <w:bCs w:val="0"/>
          <w:color w:val="auto"/>
          <w:highlight w:val="none"/>
        </w:rPr>
        <w:fldChar w:fldCharType="end"/>
      </w:r>
      <w:r>
        <w:rPr>
          <w:b w:val="0"/>
          <w:bCs w:val="0"/>
          <w:color w:val="auto"/>
          <w:highlight w:val="none"/>
        </w:rPr>
        <w:fldChar w:fldCharType="end"/>
      </w:r>
    </w:p>
    <w:p w14:paraId="0D93D6F9">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"_Toc256000202" </w:instrText>
      </w:r>
      <w:r>
        <w:rPr>
          <w:b w:val="0"/>
          <w:bCs w:val="0"/>
          <w:color w:val="auto"/>
          <w:highlight w:val="none"/>
        </w:rPr>
        <w:fldChar w:fldCharType="separate"/>
      </w:r>
      <w:r>
        <w:rPr>
          <w:rStyle w:val="28"/>
          <w:rFonts w:ascii="黑体" w:hAnsi="宋体" w:cs="黑体"/>
          <w:b w:val="0"/>
          <w:bCs w:val="0"/>
          <w:color w:val="auto"/>
          <w:highlight w:val="none"/>
        </w:rPr>
        <w:t>一</w:t>
      </w:r>
      <w:r>
        <w:rPr>
          <w:rStyle w:val="28"/>
          <w:rFonts w:hint="eastAsia" w:ascii="黑体" w:hAnsi="宋体" w:cs="黑体"/>
          <w:b w:val="0"/>
          <w:bCs w:val="0"/>
          <w:color w:val="auto"/>
          <w:highlight w:val="none"/>
        </w:rPr>
        <w:t>、投标函及投标函附录等</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_Toc256000202 \h </w:instrText>
      </w:r>
      <w:r>
        <w:rPr>
          <w:b w:val="0"/>
          <w:bCs w:val="0"/>
          <w:color w:val="auto"/>
          <w:highlight w:val="none"/>
        </w:rPr>
        <w:fldChar w:fldCharType="separate"/>
      </w:r>
      <w:r>
        <w:rPr>
          <w:b w:val="0"/>
          <w:bCs w:val="0"/>
          <w:color w:val="auto"/>
          <w:highlight w:val="none"/>
        </w:rPr>
        <w:t>219</w:t>
      </w:r>
      <w:r>
        <w:rPr>
          <w:b w:val="0"/>
          <w:bCs w:val="0"/>
          <w:color w:val="auto"/>
          <w:highlight w:val="none"/>
        </w:rPr>
        <w:fldChar w:fldCharType="end"/>
      </w:r>
      <w:r>
        <w:rPr>
          <w:b w:val="0"/>
          <w:bCs w:val="0"/>
          <w:color w:val="auto"/>
          <w:highlight w:val="none"/>
        </w:rPr>
        <w:fldChar w:fldCharType="end"/>
      </w:r>
    </w:p>
    <w:p w14:paraId="356FD9A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"_Toc256000203"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一</w:t>
      </w:r>
      <w:r>
        <w:rPr>
          <w:rStyle w:val="28"/>
          <w:rFonts w:hint="eastAsia"/>
          <w:b w:val="0"/>
          <w:bCs w:val="0"/>
          <w:color w:val="auto"/>
          <w:highlight w:val="none"/>
        </w:rPr>
        <w:t>）投标函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_Toc256000203 \h </w:instrText>
      </w:r>
      <w:r>
        <w:rPr>
          <w:b w:val="0"/>
          <w:bCs w:val="0"/>
          <w:color w:val="auto"/>
          <w:highlight w:val="none"/>
        </w:rPr>
        <w:fldChar w:fldCharType="separate"/>
      </w:r>
      <w:r>
        <w:rPr>
          <w:b w:val="0"/>
          <w:bCs w:val="0"/>
          <w:color w:val="auto"/>
          <w:highlight w:val="none"/>
        </w:rPr>
        <w:t>220</w:t>
      </w:r>
      <w:r>
        <w:rPr>
          <w:b w:val="0"/>
          <w:bCs w:val="0"/>
          <w:color w:val="auto"/>
          <w:highlight w:val="none"/>
        </w:rPr>
        <w:fldChar w:fldCharType="end"/>
      </w:r>
      <w:r>
        <w:rPr>
          <w:b w:val="0"/>
          <w:bCs w:val="0"/>
          <w:color w:val="auto"/>
          <w:highlight w:val="none"/>
        </w:rPr>
        <w:fldChar w:fldCharType="end"/>
      </w:r>
    </w:p>
    <w:p w14:paraId="457AD50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"_Toc256000204"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二</w:t>
      </w:r>
      <w:r>
        <w:rPr>
          <w:rStyle w:val="28"/>
          <w:rFonts w:hint="eastAsia"/>
          <w:b w:val="0"/>
          <w:bCs w:val="0"/>
          <w:color w:val="auto"/>
          <w:highlight w:val="none"/>
        </w:rPr>
        <w:t>）投标函附录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_Toc256000204 \h </w:instrText>
      </w:r>
      <w:r>
        <w:rPr>
          <w:b w:val="0"/>
          <w:bCs w:val="0"/>
          <w:color w:val="auto"/>
          <w:highlight w:val="none"/>
        </w:rPr>
        <w:fldChar w:fldCharType="separate"/>
      </w:r>
      <w:r>
        <w:rPr>
          <w:b w:val="0"/>
          <w:bCs w:val="0"/>
          <w:color w:val="auto"/>
          <w:highlight w:val="none"/>
        </w:rPr>
        <w:t>222</w:t>
      </w:r>
      <w:r>
        <w:rPr>
          <w:b w:val="0"/>
          <w:bCs w:val="0"/>
          <w:color w:val="auto"/>
          <w:highlight w:val="none"/>
        </w:rPr>
        <w:fldChar w:fldCharType="end"/>
      </w:r>
      <w:r>
        <w:rPr>
          <w:b w:val="0"/>
          <w:bCs w:val="0"/>
          <w:color w:val="auto"/>
          <w:highlight w:val="none"/>
        </w:rPr>
        <w:fldChar w:fldCharType="end"/>
      </w:r>
    </w:p>
    <w:p w14:paraId="5A392FE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"_Toc256000205"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三</w:t>
      </w:r>
      <w:r>
        <w:rPr>
          <w:rStyle w:val="28"/>
          <w:rFonts w:hint="eastAsia"/>
          <w:b w:val="0"/>
          <w:bCs w:val="0"/>
          <w:color w:val="auto"/>
          <w:highlight w:val="none"/>
        </w:rPr>
        <w:t>）告知承诺函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_Toc256000205 \h </w:instrText>
      </w:r>
      <w:r>
        <w:rPr>
          <w:b w:val="0"/>
          <w:bCs w:val="0"/>
          <w:color w:val="auto"/>
          <w:highlight w:val="none"/>
        </w:rPr>
        <w:fldChar w:fldCharType="separate"/>
      </w:r>
      <w:r>
        <w:rPr>
          <w:b w:val="0"/>
          <w:bCs w:val="0"/>
          <w:color w:val="auto"/>
          <w:highlight w:val="none"/>
        </w:rPr>
        <w:t>223</w:t>
      </w:r>
      <w:r>
        <w:rPr>
          <w:b w:val="0"/>
          <w:bCs w:val="0"/>
          <w:color w:val="auto"/>
          <w:highlight w:val="none"/>
        </w:rPr>
        <w:fldChar w:fldCharType="end"/>
      </w:r>
      <w:r>
        <w:rPr>
          <w:b w:val="0"/>
          <w:bCs w:val="0"/>
          <w:color w:val="auto"/>
          <w:highlight w:val="none"/>
        </w:rPr>
        <w:fldChar w:fldCharType="end"/>
      </w:r>
    </w:p>
    <w:p w14:paraId="6AA7C52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"_Toc256000206" </w:instrText>
      </w:r>
      <w:r>
        <w:rPr>
          <w:b w:val="0"/>
          <w:bCs w:val="0"/>
          <w:color w:val="auto"/>
          <w:highlight w:val="none"/>
        </w:rPr>
        <w:fldChar w:fldCharType="separate"/>
      </w:r>
      <w:r>
        <w:rPr>
          <w:rStyle w:val="28"/>
          <w:rFonts w:hint="eastAsia"/>
          <w:b w:val="0"/>
          <w:bCs w:val="0"/>
          <w:color w:val="auto"/>
          <w:highlight w:val="none"/>
        </w:rPr>
        <w:t>（四）声明函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_Toc256000206 \h </w:instrText>
      </w:r>
      <w:r>
        <w:rPr>
          <w:b w:val="0"/>
          <w:bCs w:val="0"/>
          <w:color w:val="auto"/>
          <w:highlight w:val="none"/>
        </w:rPr>
        <w:fldChar w:fldCharType="separate"/>
      </w:r>
      <w:r>
        <w:rPr>
          <w:b w:val="0"/>
          <w:bCs w:val="0"/>
          <w:color w:val="auto"/>
          <w:highlight w:val="none"/>
        </w:rPr>
        <w:t>224</w:t>
      </w:r>
      <w:r>
        <w:rPr>
          <w:b w:val="0"/>
          <w:bCs w:val="0"/>
          <w:color w:val="auto"/>
          <w:highlight w:val="none"/>
        </w:rPr>
        <w:fldChar w:fldCharType="end"/>
      </w:r>
      <w:r>
        <w:rPr>
          <w:b w:val="0"/>
          <w:bCs w:val="0"/>
          <w:color w:val="auto"/>
          <w:highlight w:val="none"/>
        </w:rPr>
        <w:fldChar w:fldCharType="end"/>
      </w:r>
    </w:p>
    <w:p w14:paraId="18CB33E5">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"_Toc256000207" </w:instrText>
      </w:r>
      <w:r>
        <w:rPr>
          <w:b w:val="0"/>
          <w:bCs w:val="0"/>
          <w:color w:val="auto"/>
          <w:highlight w:val="none"/>
        </w:rPr>
        <w:fldChar w:fldCharType="separate"/>
      </w:r>
      <w:r>
        <w:rPr>
          <w:rStyle w:val="28"/>
          <w:rFonts w:ascii="黑体" w:hAnsi="宋体" w:cs="黑体"/>
          <w:b w:val="0"/>
          <w:bCs w:val="0"/>
          <w:color w:val="auto"/>
          <w:highlight w:val="none"/>
        </w:rPr>
        <w:t>二</w:t>
      </w:r>
      <w:r>
        <w:rPr>
          <w:rStyle w:val="28"/>
          <w:rFonts w:hint="eastAsia" w:ascii="黑体" w:hAnsi="宋体" w:cs="黑体"/>
          <w:b w:val="0"/>
          <w:bCs w:val="0"/>
          <w:color w:val="auto"/>
          <w:highlight w:val="none"/>
        </w:rPr>
        <w:t>、法定代表人身份证明或授权委托书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_Toc256000207 \h </w:instrText>
      </w:r>
      <w:r>
        <w:rPr>
          <w:b w:val="0"/>
          <w:bCs w:val="0"/>
          <w:color w:val="auto"/>
          <w:highlight w:val="none"/>
        </w:rPr>
        <w:fldChar w:fldCharType="separate"/>
      </w:r>
      <w:r>
        <w:rPr>
          <w:b w:val="0"/>
          <w:bCs w:val="0"/>
          <w:color w:val="auto"/>
          <w:highlight w:val="none"/>
        </w:rPr>
        <w:t>225</w:t>
      </w:r>
      <w:r>
        <w:rPr>
          <w:b w:val="0"/>
          <w:bCs w:val="0"/>
          <w:color w:val="auto"/>
          <w:highlight w:val="none"/>
        </w:rPr>
        <w:fldChar w:fldCharType="end"/>
      </w:r>
      <w:r>
        <w:rPr>
          <w:b w:val="0"/>
          <w:bCs w:val="0"/>
          <w:color w:val="auto"/>
          <w:highlight w:val="none"/>
        </w:rPr>
        <w:fldChar w:fldCharType="end"/>
      </w:r>
    </w:p>
    <w:p w14:paraId="5D167561">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"_Toc256000208"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一</w:t>
      </w:r>
      <w:r>
        <w:rPr>
          <w:rStyle w:val="28"/>
          <w:rFonts w:hint="eastAsia"/>
          <w:b w:val="0"/>
          <w:bCs w:val="0"/>
          <w:color w:val="auto"/>
          <w:highlight w:val="none"/>
        </w:rPr>
        <w:t>）法定代表人身份证明</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_Toc256000208 \h </w:instrText>
      </w:r>
      <w:r>
        <w:rPr>
          <w:b w:val="0"/>
          <w:bCs w:val="0"/>
          <w:color w:val="auto"/>
          <w:highlight w:val="none"/>
        </w:rPr>
        <w:fldChar w:fldCharType="separate"/>
      </w:r>
      <w:r>
        <w:rPr>
          <w:b w:val="0"/>
          <w:bCs w:val="0"/>
          <w:color w:val="auto"/>
          <w:highlight w:val="none"/>
        </w:rPr>
        <w:t>226</w:t>
      </w:r>
      <w:r>
        <w:rPr>
          <w:b w:val="0"/>
          <w:bCs w:val="0"/>
          <w:color w:val="auto"/>
          <w:highlight w:val="none"/>
        </w:rPr>
        <w:fldChar w:fldCharType="end"/>
      </w:r>
      <w:r>
        <w:rPr>
          <w:b w:val="0"/>
          <w:bCs w:val="0"/>
          <w:color w:val="auto"/>
          <w:highlight w:val="none"/>
        </w:rPr>
        <w:fldChar w:fldCharType="end"/>
      </w:r>
    </w:p>
    <w:p w14:paraId="13FBB19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"_Toc256000209"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二</w:t>
      </w:r>
      <w:r>
        <w:rPr>
          <w:rStyle w:val="28"/>
          <w:rFonts w:hint="eastAsia"/>
          <w:b w:val="0"/>
          <w:bCs w:val="0"/>
          <w:color w:val="auto"/>
          <w:highlight w:val="none"/>
        </w:rPr>
        <w:t>）授权委托书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_Toc256000209 \h </w:instrText>
      </w:r>
      <w:r>
        <w:rPr>
          <w:b w:val="0"/>
          <w:bCs w:val="0"/>
          <w:color w:val="auto"/>
          <w:highlight w:val="none"/>
        </w:rPr>
        <w:fldChar w:fldCharType="separate"/>
      </w:r>
      <w:r>
        <w:rPr>
          <w:b w:val="0"/>
          <w:bCs w:val="0"/>
          <w:color w:val="auto"/>
          <w:highlight w:val="none"/>
        </w:rPr>
        <w:t>227</w:t>
      </w:r>
      <w:r>
        <w:rPr>
          <w:b w:val="0"/>
          <w:bCs w:val="0"/>
          <w:color w:val="auto"/>
          <w:highlight w:val="none"/>
        </w:rPr>
        <w:fldChar w:fldCharType="end"/>
      </w:r>
      <w:r>
        <w:rPr>
          <w:b w:val="0"/>
          <w:bCs w:val="0"/>
          <w:color w:val="auto"/>
          <w:highlight w:val="none"/>
        </w:rPr>
        <w:fldChar w:fldCharType="end"/>
      </w:r>
    </w:p>
    <w:p w14:paraId="06A9EDFD">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"_Toc256000210" </w:instrText>
      </w:r>
      <w:r>
        <w:rPr>
          <w:b w:val="0"/>
          <w:bCs w:val="0"/>
          <w:color w:val="auto"/>
          <w:highlight w:val="none"/>
        </w:rPr>
        <w:fldChar w:fldCharType="separate"/>
      </w:r>
      <w:r>
        <w:rPr>
          <w:rStyle w:val="28"/>
          <w:b w:val="0"/>
          <w:bCs w:val="0"/>
          <w:color w:val="auto"/>
          <w:highlight w:val="none"/>
        </w:rPr>
        <w:t>三</w:t>
      </w:r>
      <w:r>
        <w:rPr>
          <w:rStyle w:val="28"/>
          <w:rFonts w:hint="eastAsia"/>
          <w:b w:val="0"/>
          <w:bCs w:val="0"/>
          <w:color w:val="auto"/>
          <w:highlight w:val="none"/>
        </w:rPr>
        <w:t>、投标保证金</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_Toc256000210 \h </w:instrText>
      </w:r>
      <w:r>
        <w:rPr>
          <w:b w:val="0"/>
          <w:bCs w:val="0"/>
          <w:color w:val="auto"/>
          <w:highlight w:val="none"/>
        </w:rPr>
        <w:fldChar w:fldCharType="separate"/>
      </w:r>
      <w:r>
        <w:rPr>
          <w:b w:val="0"/>
          <w:bCs w:val="0"/>
          <w:color w:val="auto"/>
          <w:highlight w:val="none"/>
        </w:rPr>
        <w:t>228</w:t>
      </w:r>
      <w:r>
        <w:rPr>
          <w:b w:val="0"/>
          <w:bCs w:val="0"/>
          <w:color w:val="auto"/>
          <w:highlight w:val="none"/>
        </w:rPr>
        <w:fldChar w:fldCharType="end"/>
      </w:r>
      <w:r>
        <w:rPr>
          <w:b w:val="0"/>
          <w:bCs w:val="0"/>
          <w:color w:val="auto"/>
          <w:highlight w:val="none"/>
        </w:rPr>
        <w:fldChar w:fldCharType="end"/>
      </w:r>
    </w:p>
    <w:p w14:paraId="02B6F6BB">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"_Toc256000211" </w:instrText>
      </w:r>
      <w:r>
        <w:rPr>
          <w:b w:val="0"/>
          <w:bCs w:val="0"/>
          <w:color w:val="auto"/>
          <w:highlight w:val="none"/>
        </w:rPr>
        <w:fldChar w:fldCharType="separate"/>
      </w:r>
      <w:r>
        <w:rPr>
          <w:rStyle w:val="28"/>
          <w:b w:val="0"/>
          <w:bCs w:val="0"/>
          <w:color w:val="auto"/>
          <w:highlight w:val="none"/>
        </w:rPr>
        <w:t>四</w:t>
      </w:r>
      <w:r>
        <w:rPr>
          <w:rStyle w:val="28"/>
          <w:rFonts w:hint="eastAsia"/>
          <w:b w:val="0"/>
          <w:bCs w:val="0"/>
          <w:color w:val="auto"/>
          <w:highlight w:val="none"/>
        </w:rPr>
        <w:t>、联合体协议书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_Toc256000211 \h </w:instrText>
      </w:r>
      <w:r>
        <w:rPr>
          <w:b w:val="0"/>
          <w:bCs w:val="0"/>
          <w:color w:val="auto"/>
          <w:highlight w:val="none"/>
        </w:rPr>
        <w:fldChar w:fldCharType="separate"/>
      </w:r>
      <w:r>
        <w:rPr>
          <w:b w:val="0"/>
          <w:bCs w:val="0"/>
          <w:color w:val="auto"/>
          <w:highlight w:val="none"/>
        </w:rPr>
        <w:t>229</w:t>
      </w:r>
      <w:r>
        <w:rPr>
          <w:b w:val="0"/>
          <w:bCs w:val="0"/>
          <w:color w:val="auto"/>
          <w:highlight w:val="none"/>
        </w:rPr>
        <w:fldChar w:fldCharType="end"/>
      </w:r>
      <w:r>
        <w:rPr>
          <w:b w:val="0"/>
          <w:bCs w:val="0"/>
          <w:color w:val="auto"/>
          <w:highlight w:val="none"/>
        </w:rPr>
        <w:fldChar w:fldCharType="end"/>
      </w:r>
    </w:p>
    <w:p w14:paraId="4C911893">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"_Toc256000212" </w:instrText>
      </w:r>
      <w:r>
        <w:rPr>
          <w:b w:val="0"/>
          <w:bCs w:val="0"/>
          <w:color w:val="auto"/>
          <w:highlight w:val="none"/>
        </w:rPr>
        <w:fldChar w:fldCharType="separate"/>
      </w:r>
      <w:r>
        <w:rPr>
          <w:rStyle w:val="28"/>
          <w:b w:val="0"/>
          <w:bCs w:val="0"/>
          <w:color w:val="auto"/>
          <w:highlight w:val="none"/>
        </w:rPr>
        <w:t>五</w:t>
      </w:r>
      <w:r>
        <w:rPr>
          <w:rStyle w:val="28"/>
          <w:rFonts w:hint="eastAsia"/>
          <w:b w:val="0"/>
          <w:bCs w:val="0"/>
          <w:color w:val="auto"/>
          <w:highlight w:val="none"/>
        </w:rPr>
        <w:t>、价格清单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_Toc256000212 \h </w:instrText>
      </w:r>
      <w:r>
        <w:rPr>
          <w:b w:val="0"/>
          <w:bCs w:val="0"/>
          <w:color w:val="auto"/>
          <w:highlight w:val="none"/>
        </w:rPr>
        <w:fldChar w:fldCharType="separate"/>
      </w:r>
      <w:r>
        <w:rPr>
          <w:b w:val="0"/>
          <w:bCs w:val="0"/>
          <w:color w:val="auto"/>
          <w:highlight w:val="none"/>
        </w:rPr>
        <w:t>231</w:t>
      </w:r>
      <w:r>
        <w:rPr>
          <w:b w:val="0"/>
          <w:bCs w:val="0"/>
          <w:color w:val="auto"/>
          <w:highlight w:val="none"/>
        </w:rPr>
        <w:fldChar w:fldCharType="end"/>
      </w:r>
      <w:r>
        <w:rPr>
          <w:b w:val="0"/>
          <w:bCs w:val="0"/>
          <w:color w:val="auto"/>
          <w:highlight w:val="none"/>
        </w:rPr>
        <w:fldChar w:fldCharType="end"/>
      </w:r>
    </w:p>
    <w:p w14:paraId="4D0F8C08">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"_Toc256000213" </w:instrText>
      </w:r>
      <w:r>
        <w:rPr>
          <w:b w:val="0"/>
          <w:bCs w:val="0"/>
          <w:color w:val="auto"/>
          <w:highlight w:val="none"/>
        </w:rPr>
        <w:fldChar w:fldCharType="separate"/>
      </w:r>
      <w:r>
        <w:rPr>
          <w:rStyle w:val="28"/>
          <w:b w:val="0"/>
          <w:bCs w:val="0"/>
          <w:color w:val="auto"/>
          <w:highlight w:val="none"/>
        </w:rPr>
        <w:t>六</w:t>
      </w:r>
      <w:r>
        <w:rPr>
          <w:rStyle w:val="28"/>
          <w:rFonts w:hint="eastAsia"/>
          <w:b w:val="0"/>
          <w:bCs w:val="0"/>
          <w:color w:val="auto"/>
          <w:highlight w:val="none"/>
        </w:rPr>
        <w:t>、承包人建议书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_Toc256000213 \h </w:instrText>
      </w:r>
      <w:r>
        <w:rPr>
          <w:b w:val="0"/>
          <w:bCs w:val="0"/>
          <w:color w:val="auto"/>
          <w:highlight w:val="none"/>
        </w:rPr>
        <w:fldChar w:fldCharType="separate"/>
      </w:r>
      <w:r>
        <w:rPr>
          <w:b w:val="0"/>
          <w:bCs w:val="0"/>
          <w:color w:val="auto"/>
          <w:highlight w:val="none"/>
        </w:rPr>
        <w:t>241</w:t>
      </w:r>
      <w:r>
        <w:rPr>
          <w:b w:val="0"/>
          <w:bCs w:val="0"/>
          <w:color w:val="auto"/>
          <w:highlight w:val="none"/>
        </w:rPr>
        <w:fldChar w:fldCharType="end"/>
      </w:r>
      <w:r>
        <w:rPr>
          <w:b w:val="0"/>
          <w:bCs w:val="0"/>
          <w:color w:val="auto"/>
          <w:highlight w:val="none"/>
        </w:rPr>
        <w:fldChar w:fldCharType="end"/>
      </w:r>
    </w:p>
    <w:p w14:paraId="021CA88B">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"_Toc256000214" </w:instrText>
      </w:r>
      <w:r>
        <w:rPr>
          <w:b w:val="0"/>
          <w:bCs w:val="0"/>
          <w:color w:val="auto"/>
          <w:highlight w:val="none"/>
        </w:rPr>
        <w:fldChar w:fldCharType="separate"/>
      </w:r>
      <w:r>
        <w:rPr>
          <w:rStyle w:val="28"/>
          <w:b w:val="0"/>
          <w:bCs w:val="0"/>
          <w:color w:val="auto"/>
          <w:highlight w:val="none"/>
        </w:rPr>
        <w:t>七</w:t>
      </w:r>
      <w:r>
        <w:rPr>
          <w:rStyle w:val="28"/>
          <w:rFonts w:hint="eastAsia"/>
          <w:b w:val="0"/>
          <w:bCs w:val="0"/>
          <w:color w:val="auto"/>
          <w:highlight w:val="none"/>
        </w:rPr>
        <w:t>、承包人实施方案</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_Toc256000214 \h </w:instrText>
      </w:r>
      <w:r>
        <w:rPr>
          <w:b w:val="0"/>
          <w:bCs w:val="0"/>
          <w:color w:val="auto"/>
          <w:highlight w:val="none"/>
        </w:rPr>
        <w:fldChar w:fldCharType="separate"/>
      </w:r>
      <w:r>
        <w:rPr>
          <w:b w:val="0"/>
          <w:bCs w:val="0"/>
          <w:color w:val="auto"/>
          <w:highlight w:val="none"/>
        </w:rPr>
        <w:t>242</w:t>
      </w:r>
      <w:r>
        <w:rPr>
          <w:b w:val="0"/>
          <w:bCs w:val="0"/>
          <w:color w:val="auto"/>
          <w:highlight w:val="none"/>
        </w:rPr>
        <w:fldChar w:fldCharType="end"/>
      </w:r>
      <w:r>
        <w:rPr>
          <w:b w:val="0"/>
          <w:bCs w:val="0"/>
          <w:color w:val="auto"/>
          <w:highlight w:val="none"/>
        </w:rPr>
        <w:fldChar w:fldCharType="end"/>
      </w:r>
    </w:p>
    <w:p w14:paraId="51DF442F">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"_Toc256000215" </w:instrText>
      </w:r>
      <w:r>
        <w:rPr>
          <w:b w:val="0"/>
          <w:bCs w:val="0"/>
          <w:color w:val="auto"/>
          <w:highlight w:val="none"/>
        </w:rPr>
        <w:fldChar w:fldCharType="separate"/>
      </w:r>
      <w:r>
        <w:rPr>
          <w:rStyle w:val="28"/>
          <w:b w:val="0"/>
          <w:bCs w:val="0"/>
          <w:color w:val="auto"/>
          <w:highlight w:val="none"/>
        </w:rPr>
        <w:t>八</w:t>
      </w:r>
      <w:r>
        <w:rPr>
          <w:rStyle w:val="28"/>
          <w:rFonts w:hint="eastAsia"/>
          <w:b w:val="0"/>
          <w:bCs w:val="0"/>
          <w:color w:val="auto"/>
          <w:highlight w:val="none"/>
        </w:rPr>
        <w:t>、资格审查资料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_Toc256000215 \h </w:instrText>
      </w:r>
      <w:r>
        <w:rPr>
          <w:b w:val="0"/>
          <w:bCs w:val="0"/>
          <w:color w:val="auto"/>
          <w:highlight w:val="none"/>
        </w:rPr>
        <w:fldChar w:fldCharType="separate"/>
      </w:r>
      <w:r>
        <w:rPr>
          <w:b w:val="0"/>
          <w:bCs w:val="0"/>
          <w:color w:val="auto"/>
          <w:highlight w:val="none"/>
        </w:rPr>
        <w:t>244</w:t>
      </w:r>
      <w:r>
        <w:rPr>
          <w:b w:val="0"/>
          <w:bCs w:val="0"/>
          <w:color w:val="auto"/>
          <w:highlight w:val="none"/>
        </w:rPr>
        <w:fldChar w:fldCharType="end"/>
      </w:r>
      <w:r>
        <w:rPr>
          <w:b w:val="0"/>
          <w:bCs w:val="0"/>
          <w:color w:val="auto"/>
          <w:highlight w:val="none"/>
        </w:rPr>
        <w:fldChar w:fldCharType="end"/>
      </w:r>
    </w:p>
    <w:p w14:paraId="1B617CA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"_Toc256000216"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一</w:t>
      </w:r>
      <w:r>
        <w:rPr>
          <w:rStyle w:val="28"/>
          <w:rFonts w:hint="eastAsia"/>
          <w:b w:val="0"/>
          <w:bCs w:val="0"/>
          <w:color w:val="auto"/>
          <w:highlight w:val="none"/>
        </w:rPr>
        <w:t>）投标人基本情况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_Toc256000216 \h </w:instrText>
      </w:r>
      <w:r>
        <w:rPr>
          <w:b w:val="0"/>
          <w:bCs w:val="0"/>
          <w:color w:val="auto"/>
          <w:highlight w:val="none"/>
        </w:rPr>
        <w:fldChar w:fldCharType="separate"/>
      </w:r>
      <w:r>
        <w:rPr>
          <w:b w:val="0"/>
          <w:bCs w:val="0"/>
          <w:color w:val="auto"/>
          <w:highlight w:val="none"/>
        </w:rPr>
        <w:t>245</w:t>
      </w:r>
      <w:r>
        <w:rPr>
          <w:b w:val="0"/>
          <w:bCs w:val="0"/>
          <w:color w:val="auto"/>
          <w:highlight w:val="none"/>
        </w:rPr>
        <w:fldChar w:fldCharType="end"/>
      </w:r>
      <w:r>
        <w:rPr>
          <w:b w:val="0"/>
          <w:bCs w:val="0"/>
          <w:color w:val="auto"/>
          <w:highlight w:val="none"/>
        </w:rPr>
        <w:fldChar w:fldCharType="end"/>
      </w:r>
    </w:p>
    <w:p w14:paraId="041DEB8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"_Toc256000217" </w:instrText>
      </w:r>
      <w:r>
        <w:rPr>
          <w:b w:val="0"/>
          <w:bCs w:val="0"/>
          <w:color w:val="auto"/>
          <w:highlight w:val="none"/>
        </w:rPr>
        <w:fldChar w:fldCharType="separate"/>
      </w:r>
      <w:r>
        <w:rPr>
          <w:rStyle w:val="28"/>
          <w:b w:val="0"/>
          <w:bCs w:val="0"/>
          <w:color w:val="auto"/>
          <w:highlight w:val="none"/>
        </w:rPr>
        <w:t>1-1</w:t>
      </w:r>
      <w:r>
        <w:rPr>
          <w:rStyle w:val="28"/>
          <w:rFonts w:hint="eastAsia"/>
          <w:b w:val="0"/>
          <w:bCs w:val="0"/>
          <w:color w:val="auto"/>
          <w:highlight w:val="none"/>
        </w:rPr>
        <w:t xml:space="preserve"> 投标人基本情况表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_Toc256000217 \h </w:instrText>
      </w:r>
      <w:r>
        <w:rPr>
          <w:b w:val="0"/>
          <w:bCs w:val="0"/>
          <w:color w:val="auto"/>
          <w:highlight w:val="none"/>
        </w:rPr>
        <w:fldChar w:fldCharType="separate"/>
      </w:r>
      <w:r>
        <w:rPr>
          <w:b w:val="0"/>
          <w:bCs w:val="0"/>
          <w:color w:val="auto"/>
          <w:highlight w:val="none"/>
        </w:rPr>
        <w:t>246</w:t>
      </w:r>
      <w:r>
        <w:rPr>
          <w:b w:val="0"/>
          <w:bCs w:val="0"/>
          <w:color w:val="auto"/>
          <w:highlight w:val="none"/>
        </w:rPr>
        <w:fldChar w:fldCharType="end"/>
      </w:r>
      <w:r>
        <w:rPr>
          <w:b w:val="0"/>
          <w:bCs w:val="0"/>
          <w:color w:val="auto"/>
          <w:highlight w:val="none"/>
        </w:rPr>
        <w:fldChar w:fldCharType="end"/>
      </w:r>
    </w:p>
    <w:p w14:paraId="4DC68777">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"_Toc256000218" </w:instrText>
      </w:r>
      <w:r>
        <w:rPr>
          <w:b w:val="0"/>
          <w:bCs w:val="0"/>
          <w:color w:val="auto"/>
          <w:highlight w:val="none"/>
        </w:rPr>
        <w:fldChar w:fldCharType="separate"/>
      </w:r>
      <w:r>
        <w:rPr>
          <w:rStyle w:val="28"/>
          <w:b w:val="0"/>
          <w:bCs w:val="0"/>
          <w:color w:val="auto"/>
          <w:highlight w:val="none"/>
        </w:rPr>
        <w:t>1-2</w:t>
      </w:r>
      <w:r>
        <w:rPr>
          <w:rStyle w:val="28"/>
          <w:rFonts w:hint="eastAsia"/>
          <w:b w:val="0"/>
          <w:bCs w:val="0"/>
          <w:color w:val="auto"/>
          <w:highlight w:val="none"/>
        </w:rPr>
        <w:t xml:space="preserve"> 关联单位情况说明</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_Toc256000218 \h </w:instrText>
      </w:r>
      <w:r>
        <w:rPr>
          <w:b w:val="0"/>
          <w:bCs w:val="0"/>
          <w:color w:val="auto"/>
          <w:highlight w:val="none"/>
        </w:rPr>
        <w:fldChar w:fldCharType="separate"/>
      </w:r>
      <w:r>
        <w:rPr>
          <w:b w:val="0"/>
          <w:bCs w:val="0"/>
          <w:color w:val="auto"/>
          <w:highlight w:val="none"/>
        </w:rPr>
        <w:t>247</w:t>
      </w:r>
      <w:r>
        <w:rPr>
          <w:b w:val="0"/>
          <w:bCs w:val="0"/>
          <w:color w:val="auto"/>
          <w:highlight w:val="none"/>
        </w:rPr>
        <w:fldChar w:fldCharType="end"/>
      </w:r>
      <w:r>
        <w:rPr>
          <w:b w:val="0"/>
          <w:bCs w:val="0"/>
          <w:color w:val="auto"/>
          <w:highlight w:val="none"/>
        </w:rPr>
        <w:fldChar w:fldCharType="end"/>
      </w:r>
    </w:p>
    <w:p w14:paraId="729B6D7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"_Toc256000219" </w:instrText>
      </w:r>
      <w:r>
        <w:rPr>
          <w:b w:val="0"/>
          <w:bCs w:val="0"/>
          <w:color w:val="auto"/>
          <w:highlight w:val="none"/>
        </w:rPr>
        <w:fldChar w:fldCharType="separate"/>
      </w:r>
      <w:r>
        <w:rPr>
          <w:rStyle w:val="28"/>
          <w:rFonts w:hint="eastAsia"/>
          <w:b w:val="0"/>
          <w:bCs w:val="0"/>
          <w:color w:val="auto"/>
          <w:highlight w:val="none"/>
        </w:rPr>
        <w:t>1-3 企业在辽基本信息登记单</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_Toc256000219 \h </w:instrText>
      </w:r>
      <w:r>
        <w:rPr>
          <w:b w:val="0"/>
          <w:bCs w:val="0"/>
          <w:color w:val="auto"/>
          <w:highlight w:val="none"/>
        </w:rPr>
        <w:fldChar w:fldCharType="separate"/>
      </w:r>
      <w:r>
        <w:rPr>
          <w:b w:val="0"/>
          <w:bCs w:val="0"/>
          <w:color w:val="auto"/>
          <w:highlight w:val="none"/>
        </w:rPr>
        <w:t>248</w:t>
      </w:r>
      <w:r>
        <w:rPr>
          <w:b w:val="0"/>
          <w:bCs w:val="0"/>
          <w:color w:val="auto"/>
          <w:highlight w:val="none"/>
        </w:rPr>
        <w:fldChar w:fldCharType="end"/>
      </w:r>
      <w:r>
        <w:rPr>
          <w:b w:val="0"/>
          <w:bCs w:val="0"/>
          <w:color w:val="auto"/>
          <w:highlight w:val="none"/>
        </w:rPr>
        <w:fldChar w:fldCharType="end"/>
      </w:r>
    </w:p>
    <w:p w14:paraId="4320BBD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"_Toc256000220" </w:instrText>
      </w:r>
      <w:r>
        <w:rPr>
          <w:b w:val="0"/>
          <w:bCs w:val="0"/>
          <w:color w:val="auto"/>
          <w:highlight w:val="none"/>
        </w:rPr>
        <w:fldChar w:fldCharType="separate"/>
      </w:r>
      <w:r>
        <w:rPr>
          <w:rStyle w:val="28"/>
          <w:b w:val="0"/>
          <w:bCs w:val="0"/>
          <w:color w:val="auto"/>
          <w:highlight w:val="none"/>
        </w:rPr>
        <w:t>1-4</w:t>
      </w:r>
      <w:r>
        <w:rPr>
          <w:rStyle w:val="28"/>
          <w:rFonts w:hint="eastAsia"/>
          <w:b w:val="0"/>
          <w:bCs w:val="0"/>
          <w:color w:val="auto"/>
          <w:highlight w:val="none"/>
        </w:rPr>
        <w:t xml:space="preserve"> 项目管理机构主要人员表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_Toc256000220 \h </w:instrText>
      </w:r>
      <w:r>
        <w:rPr>
          <w:b w:val="0"/>
          <w:bCs w:val="0"/>
          <w:color w:val="auto"/>
          <w:highlight w:val="none"/>
        </w:rPr>
        <w:fldChar w:fldCharType="separate"/>
      </w:r>
      <w:r>
        <w:rPr>
          <w:b w:val="0"/>
          <w:bCs w:val="0"/>
          <w:color w:val="auto"/>
          <w:highlight w:val="none"/>
        </w:rPr>
        <w:t>249</w:t>
      </w:r>
      <w:r>
        <w:rPr>
          <w:b w:val="0"/>
          <w:bCs w:val="0"/>
          <w:color w:val="auto"/>
          <w:highlight w:val="none"/>
        </w:rPr>
        <w:fldChar w:fldCharType="end"/>
      </w:r>
      <w:r>
        <w:rPr>
          <w:b w:val="0"/>
          <w:bCs w:val="0"/>
          <w:color w:val="auto"/>
          <w:highlight w:val="none"/>
        </w:rPr>
        <w:fldChar w:fldCharType="end"/>
      </w:r>
    </w:p>
    <w:p w14:paraId="787011AD">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"_Toc256000221" </w:instrText>
      </w:r>
      <w:r>
        <w:rPr>
          <w:b w:val="0"/>
          <w:bCs w:val="0"/>
          <w:color w:val="auto"/>
          <w:highlight w:val="none"/>
        </w:rPr>
        <w:fldChar w:fldCharType="separate"/>
      </w:r>
      <w:r>
        <w:rPr>
          <w:rStyle w:val="28"/>
          <w:b w:val="0"/>
          <w:bCs w:val="0"/>
          <w:color w:val="auto"/>
          <w:highlight w:val="none"/>
        </w:rPr>
        <w:t>1-5</w:t>
      </w:r>
      <w:r>
        <w:rPr>
          <w:rStyle w:val="28"/>
          <w:rFonts w:hint="eastAsia"/>
          <w:b w:val="0"/>
          <w:bCs w:val="0"/>
          <w:color w:val="auto"/>
          <w:highlight w:val="none"/>
        </w:rPr>
        <w:t xml:space="preserve"> </w:t>
      </w:r>
      <w:r>
        <w:rPr>
          <w:rStyle w:val="28"/>
          <w:b w:val="0"/>
          <w:bCs w:val="0"/>
          <w:color w:val="auto"/>
          <w:highlight w:val="none"/>
        </w:rPr>
        <w:t>主要人员</w:t>
      </w:r>
      <w:r>
        <w:rPr>
          <w:rStyle w:val="28"/>
          <w:rFonts w:hint="eastAsia"/>
          <w:b w:val="0"/>
          <w:bCs w:val="0"/>
          <w:color w:val="auto"/>
          <w:highlight w:val="none"/>
        </w:rPr>
        <w:t>简历表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_Toc256000221 \h </w:instrText>
      </w:r>
      <w:r>
        <w:rPr>
          <w:b w:val="0"/>
          <w:bCs w:val="0"/>
          <w:color w:val="auto"/>
          <w:highlight w:val="none"/>
        </w:rPr>
        <w:fldChar w:fldCharType="separate"/>
      </w:r>
      <w:r>
        <w:rPr>
          <w:b w:val="0"/>
          <w:bCs w:val="0"/>
          <w:color w:val="auto"/>
          <w:highlight w:val="none"/>
        </w:rPr>
        <w:t>250</w:t>
      </w:r>
      <w:r>
        <w:rPr>
          <w:b w:val="0"/>
          <w:bCs w:val="0"/>
          <w:color w:val="auto"/>
          <w:highlight w:val="none"/>
        </w:rPr>
        <w:fldChar w:fldCharType="end"/>
      </w:r>
      <w:r>
        <w:rPr>
          <w:b w:val="0"/>
          <w:bCs w:val="0"/>
          <w:color w:val="auto"/>
          <w:highlight w:val="none"/>
        </w:rPr>
        <w:fldChar w:fldCharType="end"/>
      </w:r>
    </w:p>
    <w:p w14:paraId="466F3E80">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"_Toc256000222" </w:instrText>
      </w:r>
      <w:r>
        <w:rPr>
          <w:b w:val="0"/>
          <w:bCs w:val="0"/>
          <w:color w:val="auto"/>
          <w:highlight w:val="none"/>
        </w:rPr>
        <w:fldChar w:fldCharType="separate"/>
      </w:r>
      <w:r>
        <w:rPr>
          <w:rStyle w:val="28"/>
          <w:b w:val="0"/>
          <w:bCs w:val="0"/>
          <w:color w:val="auto"/>
          <w:highlight w:val="none"/>
        </w:rPr>
        <w:t>1-6</w:t>
      </w:r>
      <w:r>
        <w:rPr>
          <w:rStyle w:val="28"/>
          <w:rFonts w:hint="eastAsia"/>
          <w:b w:val="0"/>
          <w:bCs w:val="0"/>
          <w:color w:val="auto"/>
          <w:highlight w:val="none"/>
        </w:rPr>
        <w:t xml:space="preserve"> </w:t>
      </w:r>
      <w:r>
        <w:rPr>
          <w:rStyle w:val="28"/>
          <w:b w:val="0"/>
          <w:bCs w:val="0"/>
          <w:color w:val="auto"/>
          <w:highlight w:val="none"/>
        </w:rPr>
        <w:t>其他主要项目管理人员简历表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_Toc256000222 \h </w:instrText>
      </w:r>
      <w:r>
        <w:rPr>
          <w:b w:val="0"/>
          <w:bCs w:val="0"/>
          <w:color w:val="auto"/>
          <w:highlight w:val="none"/>
        </w:rPr>
        <w:fldChar w:fldCharType="separate"/>
      </w:r>
      <w:r>
        <w:rPr>
          <w:b w:val="0"/>
          <w:bCs w:val="0"/>
          <w:color w:val="auto"/>
          <w:highlight w:val="none"/>
        </w:rPr>
        <w:t>251</w:t>
      </w:r>
      <w:r>
        <w:rPr>
          <w:b w:val="0"/>
          <w:bCs w:val="0"/>
          <w:color w:val="auto"/>
          <w:highlight w:val="none"/>
        </w:rPr>
        <w:fldChar w:fldCharType="end"/>
      </w:r>
      <w:r>
        <w:rPr>
          <w:b w:val="0"/>
          <w:bCs w:val="0"/>
          <w:color w:val="auto"/>
          <w:highlight w:val="none"/>
        </w:rPr>
        <w:fldChar w:fldCharType="end"/>
      </w:r>
    </w:p>
    <w:p w14:paraId="7F0156A8">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"_Toc256000223" </w:instrText>
      </w:r>
      <w:r>
        <w:rPr>
          <w:b w:val="0"/>
          <w:bCs w:val="0"/>
          <w:color w:val="auto"/>
          <w:highlight w:val="none"/>
        </w:rPr>
        <w:fldChar w:fldCharType="separate"/>
      </w:r>
      <w:r>
        <w:rPr>
          <w:rStyle w:val="28"/>
          <w:b w:val="0"/>
          <w:bCs w:val="0"/>
          <w:color w:val="auto"/>
          <w:highlight w:val="none"/>
        </w:rPr>
        <w:t>1-7</w:t>
      </w:r>
      <w:r>
        <w:rPr>
          <w:rStyle w:val="28"/>
          <w:rFonts w:hint="eastAsia"/>
          <w:b w:val="0"/>
          <w:bCs w:val="0"/>
          <w:color w:val="auto"/>
          <w:highlight w:val="none"/>
        </w:rPr>
        <w:t xml:space="preserve"> 拟投入本项目的主要施工设备表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_Toc256000223 \h </w:instrText>
      </w:r>
      <w:r>
        <w:rPr>
          <w:b w:val="0"/>
          <w:bCs w:val="0"/>
          <w:color w:val="auto"/>
          <w:highlight w:val="none"/>
        </w:rPr>
        <w:fldChar w:fldCharType="separate"/>
      </w:r>
      <w:r>
        <w:rPr>
          <w:b w:val="0"/>
          <w:bCs w:val="0"/>
          <w:color w:val="auto"/>
          <w:highlight w:val="none"/>
        </w:rPr>
        <w:t>252</w:t>
      </w:r>
      <w:r>
        <w:rPr>
          <w:b w:val="0"/>
          <w:bCs w:val="0"/>
          <w:color w:val="auto"/>
          <w:highlight w:val="none"/>
        </w:rPr>
        <w:fldChar w:fldCharType="end"/>
      </w:r>
      <w:r>
        <w:rPr>
          <w:b w:val="0"/>
          <w:bCs w:val="0"/>
          <w:color w:val="auto"/>
          <w:highlight w:val="none"/>
        </w:rPr>
        <w:fldChar w:fldCharType="end"/>
      </w:r>
    </w:p>
    <w:p w14:paraId="5993D76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"_Toc256000224" </w:instrText>
      </w:r>
      <w:r>
        <w:rPr>
          <w:b w:val="0"/>
          <w:bCs w:val="0"/>
          <w:color w:val="auto"/>
          <w:highlight w:val="none"/>
        </w:rPr>
        <w:fldChar w:fldCharType="separate"/>
      </w:r>
      <w:r>
        <w:rPr>
          <w:rStyle w:val="28"/>
          <w:b w:val="0"/>
          <w:bCs w:val="0"/>
          <w:color w:val="auto"/>
          <w:highlight w:val="none"/>
        </w:rPr>
        <w:t>1-8</w:t>
      </w:r>
      <w:r>
        <w:rPr>
          <w:rStyle w:val="28"/>
          <w:rFonts w:hint="eastAsia"/>
          <w:b w:val="0"/>
          <w:bCs w:val="0"/>
          <w:color w:val="auto"/>
          <w:highlight w:val="none"/>
        </w:rPr>
        <w:t xml:space="preserve"> 拟配备本项目的试验和检测仪器设备表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_Toc256000224 \h </w:instrText>
      </w:r>
      <w:r>
        <w:rPr>
          <w:b w:val="0"/>
          <w:bCs w:val="0"/>
          <w:color w:val="auto"/>
          <w:highlight w:val="none"/>
        </w:rPr>
        <w:fldChar w:fldCharType="separate"/>
      </w:r>
      <w:r>
        <w:rPr>
          <w:b w:val="0"/>
          <w:bCs w:val="0"/>
          <w:color w:val="auto"/>
          <w:highlight w:val="none"/>
        </w:rPr>
        <w:t>253</w:t>
      </w:r>
      <w:r>
        <w:rPr>
          <w:b w:val="0"/>
          <w:bCs w:val="0"/>
          <w:color w:val="auto"/>
          <w:highlight w:val="none"/>
        </w:rPr>
        <w:fldChar w:fldCharType="end"/>
      </w:r>
      <w:r>
        <w:rPr>
          <w:b w:val="0"/>
          <w:bCs w:val="0"/>
          <w:color w:val="auto"/>
          <w:highlight w:val="none"/>
        </w:rPr>
        <w:fldChar w:fldCharType="end"/>
      </w:r>
    </w:p>
    <w:p w14:paraId="07515C6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"_Toc256000225"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二</w:t>
      </w:r>
      <w:r>
        <w:rPr>
          <w:rStyle w:val="28"/>
          <w:rFonts w:hint="eastAsia"/>
          <w:b w:val="0"/>
          <w:bCs w:val="0"/>
          <w:color w:val="auto"/>
          <w:highlight w:val="none"/>
        </w:rPr>
        <w:t>）近年财务状况表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_Toc256000225 \h </w:instrText>
      </w:r>
      <w:r>
        <w:rPr>
          <w:b w:val="0"/>
          <w:bCs w:val="0"/>
          <w:color w:val="auto"/>
          <w:highlight w:val="none"/>
        </w:rPr>
        <w:fldChar w:fldCharType="separate"/>
      </w:r>
      <w:r>
        <w:rPr>
          <w:b w:val="0"/>
          <w:bCs w:val="0"/>
          <w:color w:val="auto"/>
          <w:highlight w:val="none"/>
        </w:rPr>
        <w:t>254</w:t>
      </w:r>
      <w:r>
        <w:rPr>
          <w:b w:val="0"/>
          <w:bCs w:val="0"/>
          <w:color w:val="auto"/>
          <w:highlight w:val="none"/>
        </w:rPr>
        <w:fldChar w:fldCharType="end"/>
      </w:r>
      <w:r>
        <w:rPr>
          <w:b w:val="0"/>
          <w:bCs w:val="0"/>
          <w:color w:val="auto"/>
          <w:highlight w:val="none"/>
        </w:rPr>
        <w:fldChar w:fldCharType="end"/>
      </w:r>
    </w:p>
    <w:p w14:paraId="579CB48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"_Toc256000226"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三</w:t>
      </w:r>
      <w:r>
        <w:rPr>
          <w:rStyle w:val="28"/>
          <w:rFonts w:hint="eastAsia"/>
          <w:b w:val="0"/>
          <w:bCs w:val="0"/>
          <w:color w:val="auto"/>
          <w:highlight w:val="none"/>
        </w:rPr>
        <w:t>）近年完成的类似项目情况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_Toc256000226 \h </w:instrText>
      </w:r>
      <w:r>
        <w:rPr>
          <w:b w:val="0"/>
          <w:bCs w:val="0"/>
          <w:color w:val="auto"/>
          <w:highlight w:val="none"/>
        </w:rPr>
        <w:fldChar w:fldCharType="separate"/>
      </w:r>
      <w:r>
        <w:rPr>
          <w:b w:val="0"/>
          <w:bCs w:val="0"/>
          <w:color w:val="auto"/>
          <w:highlight w:val="none"/>
        </w:rPr>
        <w:t>255</w:t>
      </w:r>
      <w:r>
        <w:rPr>
          <w:b w:val="0"/>
          <w:bCs w:val="0"/>
          <w:color w:val="auto"/>
          <w:highlight w:val="none"/>
        </w:rPr>
        <w:fldChar w:fldCharType="end"/>
      </w:r>
      <w:r>
        <w:rPr>
          <w:b w:val="0"/>
          <w:bCs w:val="0"/>
          <w:color w:val="auto"/>
          <w:highlight w:val="none"/>
        </w:rPr>
        <w:fldChar w:fldCharType="end"/>
      </w:r>
    </w:p>
    <w:p w14:paraId="0E88E01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"_Toc256000227"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四</w:t>
      </w:r>
      <w:r>
        <w:rPr>
          <w:rStyle w:val="28"/>
          <w:rFonts w:hint="eastAsia"/>
          <w:b w:val="0"/>
          <w:bCs w:val="0"/>
          <w:color w:val="auto"/>
          <w:highlight w:val="none"/>
        </w:rPr>
        <w:t>）正在施工的和新承接的项目情况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_Toc256000227 \h </w:instrText>
      </w:r>
      <w:r>
        <w:rPr>
          <w:b w:val="0"/>
          <w:bCs w:val="0"/>
          <w:color w:val="auto"/>
          <w:highlight w:val="none"/>
        </w:rPr>
        <w:fldChar w:fldCharType="separate"/>
      </w:r>
      <w:r>
        <w:rPr>
          <w:b w:val="0"/>
          <w:bCs w:val="0"/>
          <w:color w:val="auto"/>
          <w:highlight w:val="none"/>
        </w:rPr>
        <w:t>257</w:t>
      </w:r>
      <w:r>
        <w:rPr>
          <w:b w:val="0"/>
          <w:bCs w:val="0"/>
          <w:color w:val="auto"/>
          <w:highlight w:val="none"/>
        </w:rPr>
        <w:fldChar w:fldCharType="end"/>
      </w:r>
      <w:r>
        <w:rPr>
          <w:b w:val="0"/>
          <w:bCs w:val="0"/>
          <w:color w:val="auto"/>
          <w:highlight w:val="none"/>
        </w:rPr>
        <w:fldChar w:fldCharType="end"/>
      </w:r>
    </w:p>
    <w:p w14:paraId="4D0CDEA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"_Toc256000229"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五</w:t>
      </w:r>
      <w:r>
        <w:rPr>
          <w:rStyle w:val="28"/>
          <w:rFonts w:hint="eastAsia"/>
          <w:b w:val="0"/>
          <w:bCs w:val="0"/>
          <w:color w:val="auto"/>
          <w:highlight w:val="none"/>
        </w:rPr>
        <w:t>）企业信誉情况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_Toc256000229 \h </w:instrText>
      </w:r>
      <w:r>
        <w:rPr>
          <w:b w:val="0"/>
          <w:bCs w:val="0"/>
          <w:color w:val="auto"/>
          <w:highlight w:val="none"/>
        </w:rPr>
        <w:fldChar w:fldCharType="separate"/>
      </w:r>
      <w:r>
        <w:rPr>
          <w:b w:val="0"/>
          <w:bCs w:val="0"/>
          <w:color w:val="auto"/>
          <w:highlight w:val="none"/>
        </w:rPr>
        <w:t>259</w:t>
      </w:r>
      <w:r>
        <w:rPr>
          <w:b w:val="0"/>
          <w:bCs w:val="0"/>
          <w:color w:val="auto"/>
          <w:highlight w:val="none"/>
        </w:rPr>
        <w:fldChar w:fldCharType="end"/>
      </w:r>
      <w:r>
        <w:rPr>
          <w:b w:val="0"/>
          <w:bCs w:val="0"/>
          <w:color w:val="auto"/>
          <w:highlight w:val="none"/>
        </w:rPr>
        <w:fldChar w:fldCharType="end"/>
      </w:r>
    </w:p>
    <w:p w14:paraId="29A71B83">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"_Toc256000230" </w:instrText>
      </w:r>
      <w:r>
        <w:rPr>
          <w:b w:val="0"/>
          <w:bCs w:val="0"/>
          <w:color w:val="auto"/>
          <w:highlight w:val="none"/>
        </w:rPr>
        <w:fldChar w:fldCharType="separate"/>
      </w:r>
      <w:r>
        <w:rPr>
          <w:rStyle w:val="28"/>
          <w:rFonts w:hint="eastAsia" w:ascii="黑体" w:hAnsi="黑体" w:cs="黑体"/>
          <w:b w:val="0"/>
          <w:bCs w:val="0"/>
          <w:color w:val="auto"/>
          <w:highlight w:val="none"/>
        </w:rPr>
        <w:t xml:space="preserve">5-1 </w:t>
      </w:r>
      <w:r>
        <w:rPr>
          <w:rStyle w:val="28"/>
          <w:rFonts w:hint="eastAsia" w:ascii="宋体" w:hAnsi="宋体"/>
          <w:b w:val="0"/>
          <w:bCs w:val="0"/>
          <w:color w:val="auto"/>
          <w:highlight w:val="none"/>
        </w:rPr>
        <w:t>企业信誉声明</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_Toc256000230 \h </w:instrText>
      </w:r>
      <w:r>
        <w:rPr>
          <w:b w:val="0"/>
          <w:bCs w:val="0"/>
          <w:color w:val="auto"/>
          <w:highlight w:val="none"/>
        </w:rPr>
        <w:fldChar w:fldCharType="separate"/>
      </w:r>
      <w:r>
        <w:rPr>
          <w:b w:val="0"/>
          <w:bCs w:val="0"/>
          <w:color w:val="auto"/>
          <w:highlight w:val="none"/>
        </w:rPr>
        <w:t>260</w:t>
      </w:r>
      <w:r>
        <w:rPr>
          <w:b w:val="0"/>
          <w:bCs w:val="0"/>
          <w:color w:val="auto"/>
          <w:highlight w:val="none"/>
        </w:rPr>
        <w:fldChar w:fldCharType="end"/>
      </w:r>
      <w:r>
        <w:rPr>
          <w:b w:val="0"/>
          <w:bCs w:val="0"/>
          <w:color w:val="auto"/>
          <w:highlight w:val="none"/>
        </w:rPr>
        <w:fldChar w:fldCharType="end"/>
      </w:r>
    </w:p>
    <w:p w14:paraId="3CC5B84A">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"_Toc256000231" </w:instrText>
      </w:r>
      <w:r>
        <w:rPr>
          <w:b w:val="0"/>
          <w:bCs w:val="0"/>
          <w:color w:val="auto"/>
          <w:highlight w:val="none"/>
        </w:rPr>
        <w:fldChar w:fldCharType="separate"/>
      </w:r>
      <w:r>
        <w:rPr>
          <w:rStyle w:val="28"/>
          <w:b w:val="0"/>
          <w:bCs w:val="0"/>
          <w:color w:val="auto"/>
          <w:highlight w:val="none"/>
        </w:rPr>
        <w:t>5-2</w:t>
      </w:r>
      <w:r>
        <w:rPr>
          <w:rStyle w:val="28"/>
          <w:rFonts w:hint="eastAsia"/>
          <w:b w:val="0"/>
          <w:bCs w:val="0"/>
          <w:color w:val="auto"/>
          <w:highlight w:val="none"/>
        </w:rPr>
        <w:t xml:space="preserve"> 近年发生的诉讼和仲裁情况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_Toc256000231 \h </w:instrText>
      </w:r>
      <w:r>
        <w:rPr>
          <w:b w:val="0"/>
          <w:bCs w:val="0"/>
          <w:color w:val="auto"/>
          <w:highlight w:val="none"/>
        </w:rPr>
        <w:fldChar w:fldCharType="separate"/>
      </w:r>
      <w:r>
        <w:rPr>
          <w:b w:val="0"/>
          <w:bCs w:val="0"/>
          <w:color w:val="auto"/>
          <w:highlight w:val="none"/>
        </w:rPr>
        <w:t>261</w:t>
      </w:r>
      <w:r>
        <w:rPr>
          <w:b w:val="0"/>
          <w:bCs w:val="0"/>
          <w:color w:val="auto"/>
          <w:highlight w:val="none"/>
        </w:rPr>
        <w:fldChar w:fldCharType="end"/>
      </w:r>
      <w:r>
        <w:rPr>
          <w:b w:val="0"/>
          <w:bCs w:val="0"/>
          <w:color w:val="auto"/>
          <w:highlight w:val="none"/>
        </w:rPr>
        <w:fldChar w:fldCharType="end"/>
      </w:r>
    </w:p>
    <w:p w14:paraId="1394A8CF">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"_Toc256000232" </w:instrText>
      </w:r>
      <w:r>
        <w:rPr>
          <w:b w:val="0"/>
          <w:bCs w:val="0"/>
          <w:color w:val="auto"/>
          <w:highlight w:val="none"/>
        </w:rPr>
        <w:fldChar w:fldCharType="separate"/>
      </w:r>
      <w:r>
        <w:rPr>
          <w:rStyle w:val="28"/>
          <w:b w:val="0"/>
          <w:bCs w:val="0"/>
          <w:color w:val="auto"/>
          <w:highlight w:val="none"/>
        </w:rPr>
        <w:t>5-3</w:t>
      </w:r>
      <w:r>
        <w:rPr>
          <w:rStyle w:val="28"/>
          <w:rFonts w:hint="eastAsia"/>
          <w:b w:val="0"/>
          <w:bCs w:val="0"/>
          <w:color w:val="auto"/>
          <w:highlight w:val="none"/>
        </w:rPr>
        <w:t xml:space="preserve"> 近年投标人工程获奖</w:t>
      </w:r>
      <w:r>
        <w:rPr>
          <w:rStyle w:val="28"/>
          <w:b w:val="0"/>
          <w:bCs w:val="0"/>
          <w:color w:val="auto"/>
          <w:highlight w:val="none"/>
        </w:rPr>
        <w:t>情况表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_Toc256000232 \h </w:instrText>
      </w:r>
      <w:r>
        <w:rPr>
          <w:b w:val="0"/>
          <w:bCs w:val="0"/>
          <w:color w:val="auto"/>
          <w:highlight w:val="none"/>
        </w:rPr>
        <w:fldChar w:fldCharType="separate"/>
      </w:r>
      <w:r>
        <w:rPr>
          <w:b w:val="0"/>
          <w:bCs w:val="0"/>
          <w:color w:val="auto"/>
          <w:highlight w:val="none"/>
        </w:rPr>
        <w:t>262</w:t>
      </w:r>
      <w:r>
        <w:rPr>
          <w:b w:val="0"/>
          <w:bCs w:val="0"/>
          <w:color w:val="auto"/>
          <w:highlight w:val="none"/>
        </w:rPr>
        <w:fldChar w:fldCharType="end"/>
      </w:r>
      <w:r>
        <w:rPr>
          <w:b w:val="0"/>
          <w:bCs w:val="0"/>
          <w:color w:val="auto"/>
          <w:highlight w:val="none"/>
        </w:rPr>
        <w:fldChar w:fldCharType="end"/>
      </w:r>
    </w:p>
    <w:p w14:paraId="0D9AD492">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"_Toc256000233" </w:instrText>
      </w:r>
      <w:r>
        <w:rPr>
          <w:b w:val="0"/>
          <w:bCs w:val="0"/>
          <w:color w:val="auto"/>
          <w:highlight w:val="none"/>
        </w:rPr>
        <w:fldChar w:fldCharType="separate"/>
      </w:r>
      <w:r>
        <w:rPr>
          <w:rStyle w:val="28"/>
          <w:b w:val="0"/>
          <w:bCs w:val="0"/>
          <w:color w:val="auto"/>
          <w:highlight w:val="none"/>
        </w:rPr>
        <w:t>5-4</w:t>
      </w:r>
      <w:r>
        <w:rPr>
          <w:rStyle w:val="28"/>
          <w:rFonts w:hint="eastAsia"/>
          <w:b w:val="0"/>
          <w:bCs w:val="0"/>
          <w:color w:val="auto"/>
          <w:highlight w:val="none"/>
        </w:rPr>
        <w:t xml:space="preserve"> 近年项目经理工程获奖</w:t>
      </w:r>
      <w:r>
        <w:rPr>
          <w:rStyle w:val="28"/>
          <w:b w:val="0"/>
          <w:bCs w:val="0"/>
          <w:color w:val="auto"/>
          <w:highlight w:val="none"/>
        </w:rPr>
        <w:t>情况表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_Toc256000233 \h </w:instrText>
      </w:r>
      <w:r>
        <w:rPr>
          <w:b w:val="0"/>
          <w:bCs w:val="0"/>
          <w:color w:val="auto"/>
          <w:highlight w:val="none"/>
        </w:rPr>
        <w:fldChar w:fldCharType="separate"/>
      </w:r>
      <w:r>
        <w:rPr>
          <w:b w:val="0"/>
          <w:bCs w:val="0"/>
          <w:color w:val="auto"/>
          <w:highlight w:val="none"/>
        </w:rPr>
        <w:t>263</w:t>
      </w:r>
      <w:r>
        <w:rPr>
          <w:b w:val="0"/>
          <w:bCs w:val="0"/>
          <w:color w:val="auto"/>
          <w:highlight w:val="none"/>
        </w:rPr>
        <w:fldChar w:fldCharType="end"/>
      </w:r>
      <w:r>
        <w:rPr>
          <w:b w:val="0"/>
          <w:bCs w:val="0"/>
          <w:color w:val="auto"/>
          <w:highlight w:val="none"/>
        </w:rPr>
        <w:fldChar w:fldCharType="end"/>
      </w:r>
    </w:p>
    <w:p w14:paraId="72E4E8FE">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"_Toc256000234" </w:instrText>
      </w:r>
      <w:r>
        <w:rPr>
          <w:b w:val="0"/>
          <w:bCs w:val="0"/>
          <w:color w:val="auto"/>
          <w:highlight w:val="none"/>
        </w:rPr>
        <w:fldChar w:fldCharType="separate"/>
      </w:r>
      <w:r>
        <w:rPr>
          <w:rStyle w:val="28"/>
          <w:b w:val="0"/>
          <w:bCs w:val="0"/>
          <w:color w:val="auto"/>
          <w:highlight w:val="none"/>
        </w:rPr>
        <w:t>5-5</w:t>
      </w:r>
      <w:r>
        <w:rPr>
          <w:rStyle w:val="28"/>
          <w:rFonts w:hint="eastAsia"/>
          <w:b w:val="0"/>
          <w:bCs w:val="0"/>
          <w:color w:val="auto"/>
          <w:highlight w:val="none"/>
        </w:rPr>
        <w:t xml:space="preserve"> 近年项目经理获表彰</w:t>
      </w:r>
      <w:r>
        <w:rPr>
          <w:rStyle w:val="28"/>
          <w:b w:val="0"/>
          <w:bCs w:val="0"/>
          <w:color w:val="auto"/>
          <w:highlight w:val="none"/>
        </w:rPr>
        <w:t>情况表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_Toc256000234 \h </w:instrText>
      </w:r>
      <w:r>
        <w:rPr>
          <w:b w:val="0"/>
          <w:bCs w:val="0"/>
          <w:color w:val="auto"/>
          <w:highlight w:val="none"/>
        </w:rPr>
        <w:fldChar w:fldCharType="separate"/>
      </w:r>
      <w:r>
        <w:rPr>
          <w:b w:val="0"/>
          <w:bCs w:val="0"/>
          <w:color w:val="auto"/>
          <w:highlight w:val="none"/>
        </w:rPr>
        <w:t>264</w:t>
      </w:r>
      <w:r>
        <w:rPr>
          <w:b w:val="0"/>
          <w:bCs w:val="0"/>
          <w:color w:val="auto"/>
          <w:highlight w:val="none"/>
        </w:rPr>
        <w:fldChar w:fldCharType="end"/>
      </w:r>
      <w:r>
        <w:rPr>
          <w:b w:val="0"/>
          <w:bCs w:val="0"/>
          <w:color w:val="auto"/>
          <w:highlight w:val="none"/>
        </w:rPr>
        <w:fldChar w:fldCharType="end"/>
      </w:r>
    </w:p>
    <w:p w14:paraId="57990AF6">
      <w:pPr>
        <w:pStyle w:val="12"/>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"_Toc256000235" </w:instrText>
      </w:r>
      <w:r>
        <w:rPr>
          <w:b w:val="0"/>
          <w:bCs w:val="0"/>
          <w:color w:val="auto"/>
          <w:highlight w:val="none"/>
        </w:rPr>
        <w:fldChar w:fldCharType="separate"/>
      </w:r>
      <w:r>
        <w:rPr>
          <w:rStyle w:val="28"/>
          <w:rFonts w:hint="eastAsia"/>
          <w:b w:val="0"/>
          <w:bCs w:val="0"/>
          <w:color w:val="auto"/>
          <w:highlight w:val="none"/>
        </w:rPr>
        <w:t>（</w:t>
      </w:r>
      <w:r>
        <w:rPr>
          <w:rStyle w:val="28"/>
          <w:b w:val="0"/>
          <w:bCs w:val="0"/>
          <w:color w:val="auto"/>
          <w:highlight w:val="none"/>
        </w:rPr>
        <w:t>六</w:t>
      </w:r>
      <w:r>
        <w:rPr>
          <w:rStyle w:val="28"/>
          <w:rFonts w:hint="eastAsia"/>
          <w:b w:val="0"/>
          <w:bCs w:val="0"/>
          <w:color w:val="auto"/>
          <w:highlight w:val="none"/>
        </w:rPr>
        <w:t>）承诺书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_Toc256000235 \h </w:instrText>
      </w:r>
      <w:r>
        <w:rPr>
          <w:b w:val="0"/>
          <w:bCs w:val="0"/>
          <w:color w:val="auto"/>
          <w:highlight w:val="none"/>
        </w:rPr>
        <w:fldChar w:fldCharType="separate"/>
      </w:r>
      <w:r>
        <w:rPr>
          <w:b w:val="0"/>
          <w:bCs w:val="0"/>
          <w:color w:val="auto"/>
          <w:highlight w:val="none"/>
        </w:rPr>
        <w:t>265</w:t>
      </w:r>
      <w:r>
        <w:rPr>
          <w:b w:val="0"/>
          <w:bCs w:val="0"/>
          <w:color w:val="auto"/>
          <w:highlight w:val="none"/>
        </w:rPr>
        <w:fldChar w:fldCharType="end"/>
      </w:r>
      <w:r>
        <w:rPr>
          <w:b w:val="0"/>
          <w:bCs w:val="0"/>
          <w:color w:val="auto"/>
          <w:highlight w:val="none"/>
        </w:rPr>
        <w:fldChar w:fldCharType="end"/>
      </w:r>
    </w:p>
    <w:p w14:paraId="109717D1">
      <w:pPr>
        <w:pStyle w:val="18"/>
        <w:tabs>
          <w:tab w:val="right" w:leader="dot" w:pos="8296"/>
        </w:tabs>
        <w:rPr>
          <w:rFonts w:asciiTheme="minorHAnsi" w:hAnsiTheme="minorHAnsi"/>
          <w:b w:val="0"/>
          <w:bCs w:val="0"/>
          <w:color w:val="auto"/>
          <w:sz w:val="22"/>
          <w:highlight w:val="none"/>
        </w:rPr>
      </w:pPr>
      <w:r>
        <w:rPr>
          <w:b w:val="0"/>
          <w:bCs w:val="0"/>
          <w:color w:val="auto"/>
          <w:highlight w:val="none"/>
        </w:rPr>
        <w:fldChar w:fldCharType="begin"/>
      </w:r>
      <w:r>
        <w:rPr>
          <w:b w:val="0"/>
          <w:bCs w:val="0"/>
          <w:color w:val="auto"/>
          <w:highlight w:val="none"/>
        </w:rPr>
        <w:instrText xml:space="preserve"> HYPERLINK \l "_Toc256000236" </w:instrText>
      </w:r>
      <w:r>
        <w:rPr>
          <w:b w:val="0"/>
          <w:bCs w:val="0"/>
          <w:color w:val="auto"/>
          <w:highlight w:val="none"/>
        </w:rPr>
        <w:fldChar w:fldCharType="separate"/>
      </w:r>
      <w:r>
        <w:rPr>
          <w:rStyle w:val="28"/>
          <w:b w:val="0"/>
          <w:bCs w:val="0"/>
          <w:color w:val="auto"/>
          <w:highlight w:val="none"/>
        </w:rPr>
        <w:t>九</w:t>
      </w:r>
      <w:r>
        <w:rPr>
          <w:rStyle w:val="28"/>
          <w:rFonts w:hint="eastAsia"/>
          <w:b w:val="0"/>
          <w:bCs w:val="0"/>
          <w:color w:val="auto"/>
          <w:highlight w:val="none"/>
        </w:rPr>
        <w:t>、其他材料</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_Toc256000236 \h </w:instrText>
      </w:r>
      <w:r>
        <w:rPr>
          <w:b w:val="0"/>
          <w:bCs w:val="0"/>
          <w:color w:val="auto"/>
          <w:highlight w:val="none"/>
        </w:rPr>
        <w:fldChar w:fldCharType="separate"/>
      </w:r>
      <w:r>
        <w:rPr>
          <w:b w:val="0"/>
          <w:bCs w:val="0"/>
          <w:color w:val="auto"/>
          <w:highlight w:val="none"/>
        </w:rPr>
        <w:t>266</w:t>
      </w:r>
      <w:r>
        <w:rPr>
          <w:b w:val="0"/>
          <w:bCs w:val="0"/>
          <w:color w:val="auto"/>
          <w:highlight w:val="none"/>
        </w:rPr>
        <w:fldChar w:fldCharType="end"/>
      </w:r>
      <w:r>
        <w:rPr>
          <w:b w:val="0"/>
          <w:bCs w:val="0"/>
          <w:color w:val="auto"/>
          <w:highlight w:val="none"/>
        </w:rPr>
        <w:fldChar w:fldCharType="end"/>
      </w:r>
    </w:p>
    <w:p w14:paraId="433A839A">
      <w:pPr>
        <w:jc w:val="center"/>
        <w:rPr>
          <w:rFonts w:eastAsia="宋体"/>
          <w:b/>
          <w:color w:val="auto"/>
          <w:sz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宋体"/>
          <w:b w:val="0"/>
          <w:bCs w:val="0"/>
          <w:color w:val="auto"/>
          <w:sz w:val="44"/>
          <w:highlight w:val="none"/>
        </w:rPr>
        <w:fldChar w:fldCharType="end"/>
      </w:r>
      <w:bookmarkEnd w:id="0"/>
    </w:p>
    <w:p w14:paraId="789E28EA">
      <w:pPr>
        <w:ind w:firstLine="435"/>
        <w:jc w:val="center"/>
        <w:rPr>
          <w:rFonts w:hint="eastAsia"/>
          <w:color w:val="auto"/>
          <w:highlight w:val="none"/>
        </w:rPr>
      </w:pPr>
    </w:p>
    <w:p w14:paraId="762BD4DD">
      <w:pPr>
        <w:ind w:firstLine="435"/>
        <w:jc w:val="center"/>
        <w:rPr>
          <w:rFonts w:hint="eastAsia"/>
          <w:color w:val="auto"/>
          <w:highlight w:val="none"/>
        </w:rPr>
      </w:pPr>
    </w:p>
    <w:p w14:paraId="66C28C0A">
      <w:pPr>
        <w:ind w:firstLine="435"/>
        <w:jc w:val="center"/>
        <w:rPr>
          <w:rFonts w:hint="eastAsia"/>
          <w:color w:val="auto"/>
          <w:highlight w:val="none"/>
        </w:rPr>
      </w:pPr>
    </w:p>
    <w:p w14:paraId="7C67725B">
      <w:pPr>
        <w:ind w:firstLine="435"/>
        <w:jc w:val="center"/>
        <w:rPr>
          <w:color w:val="auto"/>
          <w:highlight w:val="none"/>
        </w:rPr>
      </w:pPr>
    </w:p>
    <w:p w14:paraId="14B24287">
      <w:pPr>
        <w:ind w:firstLine="435"/>
        <w:jc w:val="center"/>
        <w:rPr>
          <w:color w:val="auto"/>
          <w:highlight w:val="none"/>
        </w:rPr>
      </w:pPr>
    </w:p>
    <w:p w14:paraId="71CB9C82">
      <w:pPr>
        <w:ind w:firstLine="435"/>
        <w:jc w:val="center"/>
        <w:rPr>
          <w:color w:val="auto"/>
          <w:highlight w:val="none"/>
        </w:rPr>
      </w:pPr>
    </w:p>
    <w:p w14:paraId="723A7E50">
      <w:pPr>
        <w:ind w:firstLine="435"/>
        <w:jc w:val="center"/>
        <w:rPr>
          <w:rFonts w:hint="eastAsia"/>
          <w:color w:val="auto"/>
          <w:highlight w:val="none"/>
        </w:rPr>
      </w:pPr>
    </w:p>
    <w:p w14:paraId="15B6E416">
      <w:pPr>
        <w:ind w:firstLine="435"/>
        <w:jc w:val="center"/>
        <w:rPr>
          <w:rFonts w:hint="eastAsia"/>
          <w:color w:val="auto"/>
          <w:highlight w:val="none"/>
        </w:rPr>
      </w:pPr>
    </w:p>
    <w:p w14:paraId="1BF61E6C">
      <w:pPr>
        <w:ind w:firstLine="435"/>
        <w:jc w:val="center"/>
        <w:rPr>
          <w:rFonts w:hint="eastAsia"/>
          <w:color w:val="auto"/>
          <w:highlight w:val="none"/>
        </w:rPr>
      </w:pPr>
    </w:p>
    <w:p w14:paraId="08B85811">
      <w:pPr>
        <w:ind w:firstLine="435"/>
        <w:jc w:val="center"/>
        <w:rPr>
          <w:rFonts w:hint="eastAsia"/>
          <w:color w:val="auto"/>
          <w:highlight w:val="none"/>
        </w:rPr>
      </w:pPr>
    </w:p>
    <w:p w14:paraId="456CF625">
      <w:pPr>
        <w:ind w:firstLine="435"/>
        <w:jc w:val="center"/>
        <w:rPr>
          <w:rFonts w:hint="eastAsia"/>
          <w:color w:val="auto"/>
          <w:highlight w:val="none"/>
        </w:rPr>
      </w:pPr>
    </w:p>
    <w:p w14:paraId="487A43B4">
      <w:pPr>
        <w:ind w:firstLine="435"/>
        <w:jc w:val="center"/>
        <w:rPr>
          <w:rFonts w:hint="eastAsia"/>
          <w:color w:val="auto"/>
          <w:highlight w:val="none"/>
        </w:rPr>
      </w:pPr>
    </w:p>
    <w:p w14:paraId="0502DBCB">
      <w:pPr>
        <w:ind w:firstLine="435"/>
        <w:jc w:val="center"/>
        <w:rPr>
          <w:rFonts w:hint="eastAsia"/>
          <w:color w:val="auto"/>
          <w:highlight w:val="none"/>
        </w:rPr>
      </w:pPr>
    </w:p>
    <w:p w14:paraId="7279B1E4">
      <w:pPr>
        <w:pStyle w:val="2"/>
        <w:spacing w:before="120" w:after="120" w:line="400" w:lineRule="exact"/>
        <w:jc w:val="center"/>
        <w:rPr>
          <w:rFonts w:hint="eastAsia" w:ascii="黑体" w:hAnsi="黑体" w:eastAsia="黑体"/>
          <w:b w:val="0"/>
          <w:bCs w:val="0"/>
          <w:color w:val="auto"/>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122602606"/>
      <w:bookmarkStart w:id="2" w:name="_Toc256000000"/>
      <w:r>
        <w:rPr>
          <w:rFonts w:hint="eastAsia" w:ascii="黑体" w:hAnsi="黑体" w:eastAsia="黑体"/>
          <w:b w:val="0"/>
          <w:bCs w:val="0"/>
          <w:color w:val="auto"/>
          <w:sz w:val="48"/>
          <w:szCs w:val="48"/>
          <w:highlight w:val="none"/>
        </w:rPr>
        <w:t>第一卷</w:t>
      </w:r>
      <w:bookmarkEnd w:id="1"/>
      <w:bookmarkEnd w:id="2"/>
    </w:p>
    <w:p w14:paraId="07065225">
      <w:pPr>
        <w:rPr>
          <w:rFonts w:hint="eastAsia"/>
          <w:color w:val="auto"/>
          <w:highlight w:val="none"/>
        </w:rPr>
      </w:pPr>
      <w:bookmarkStart w:id="3" w:name="OLE_LINK8"/>
    </w:p>
    <w:p w14:paraId="056CDEBE">
      <w:pPr>
        <w:rPr>
          <w:rFonts w:hint="eastAsia"/>
          <w:color w:val="auto"/>
          <w:highlight w:val="none"/>
        </w:rPr>
      </w:pPr>
    </w:p>
    <w:p w14:paraId="58C41672">
      <w:pPr>
        <w:rPr>
          <w:rFonts w:hint="eastAsia"/>
          <w:color w:val="auto"/>
          <w:highlight w:val="none"/>
        </w:rPr>
      </w:pPr>
    </w:p>
    <w:p w14:paraId="1E531935">
      <w:pPr>
        <w:rPr>
          <w:rFonts w:hint="eastAsia"/>
          <w:color w:val="auto"/>
          <w:highlight w:val="none"/>
        </w:rPr>
      </w:pPr>
    </w:p>
    <w:p w14:paraId="537C3AAD">
      <w:pPr>
        <w:rPr>
          <w:rFonts w:hint="eastAsia"/>
          <w:color w:val="auto"/>
          <w:highlight w:val="none"/>
        </w:rPr>
      </w:pPr>
    </w:p>
    <w:p w14:paraId="18DF0135">
      <w:pPr>
        <w:rPr>
          <w:rFonts w:hint="eastAsia"/>
          <w:color w:val="auto"/>
          <w:highlight w:val="none"/>
        </w:rPr>
      </w:pPr>
    </w:p>
    <w:p w14:paraId="3FC603F3">
      <w:pPr>
        <w:rPr>
          <w:rFonts w:hint="eastAsia"/>
          <w:color w:val="auto"/>
          <w:highlight w:val="none"/>
        </w:rPr>
      </w:pPr>
    </w:p>
    <w:p w14:paraId="7A909467">
      <w:pPr>
        <w:rPr>
          <w:rFonts w:hint="eastAsia"/>
          <w:color w:val="auto"/>
          <w:highlight w:val="none"/>
        </w:rPr>
      </w:pPr>
    </w:p>
    <w:p w14:paraId="5EB8639E">
      <w:pPr>
        <w:rPr>
          <w:rFonts w:hint="eastAsia"/>
          <w:color w:val="auto"/>
          <w:highlight w:val="none"/>
        </w:rPr>
      </w:pPr>
    </w:p>
    <w:p w14:paraId="6B0B8F10">
      <w:pPr>
        <w:rPr>
          <w:rFonts w:hint="eastAsia"/>
          <w:color w:val="auto"/>
          <w:highlight w:val="none"/>
        </w:rPr>
      </w:pPr>
    </w:p>
    <w:p w14:paraId="7789007A">
      <w:pPr>
        <w:rPr>
          <w:rFonts w:hint="eastAsia"/>
          <w:color w:val="auto"/>
          <w:highlight w:val="none"/>
        </w:rPr>
      </w:pPr>
    </w:p>
    <w:p w14:paraId="7FA671E1">
      <w:pPr>
        <w:rPr>
          <w:rFonts w:hint="eastAsia"/>
          <w:color w:val="auto"/>
          <w:highlight w:val="none"/>
        </w:rPr>
      </w:pPr>
    </w:p>
    <w:p w14:paraId="2C559D0A">
      <w:pPr>
        <w:rPr>
          <w:rFonts w:hint="eastAsia"/>
          <w:color w:val="auto"/>
          <w:highlight w:val="none"/>
        </w:rPr>
      </w:pPr>
    </w:p>
    <w:p w14:paraId="4724F7E3">
      <w:pPr>
        <w:rPr>
          <w:rFonts w:hint="eastAsia"/>
          <w:color w:val="auto"/>
          <w:highlight w:val="none"/>
        </w:rPr>
      </w:pPr>
    </w:p>
    <w:p w14:paraId="190E825F">
      <w:pPr>
        <w:rPr>
          <w:rFonts w:hint="eastAsia"/>
          <w:color w:val="auto"/>
          <w:highlight w:val="none"/>
        </w:rPr>
      </w:pPr>
    </w:p>
    <w:p w14:paraId="0D22DCF1">
      <w:pPr>
        <w:rPr>
          <w:rFonts w:hint="eastAsia"/>
          <w:color w:val="auto"/>
          <w:highlight w:val="none"/>
        </w:rPr>
      </w:pPr>
    </w:p>
    <w:p w14:paraId="4C8E0A6A">
      <w:pPr>
        <w:rPr>
          <w:rFonts w:hint="eastAsia"/>
          <w:color w:val="auto"/>
          <w:highlight w:val="none"/>
        </w:rPr>
      </w:pPr>
    </w:p>
    <w:bookmarkEnd w:id="3"/>
    <w:p w14:paraId="230D022D">
      <w:pPr>
        <w:pStyle w:val="2"/>
        <w:spacing w:before="120" w:after="120" w:line="400" w:lineRule="exact"/>
        <w:jc w:val="center"/>
        <w:rPr>
          <w:rFonts w:hint="eastAsia" w:ascii="黑体" w:hAnsi="黑体" w:eastAsia="黑体"/>
          <w:b w:val="0"/>
          <w:bCs w:val="0"/>
          <w:color w:val="auto"/>
          <w:sz w:val="32"/>
          <w:highlight w:val="none"/>
        </w:rPr>
      </w:pPr>
      <w:bookmarkStart w:id="4" w:name="_Toc152264280"/>
      <w:bookmarkStart w:id="5" w:name="_Toc256000001"/>
      <w:r>
        <w:rPr>
          <w:rFonts w:hint="eastAsia" w:ascii="黑体" w:hAnsi="黑体" w:eastAsia="黑体"/>
          <w:b w:val="0"/>
          <w:bCs w:val="0"/>
          <w:color w:val="auto"/>
          <w:sz w:val="32"/>
          <w:highlight w:val="none"/>
        </w:rPr>
        <w:t xml:space="preserve">第一章  </w:t>
      </w:r>
      <w:bookmarkEnd w:id="4"/>
      <w:r>
        <w:rPr>
          <w:rFonts w:hint="eastAsia" w:ascii="黑体" w:hAnsi="黑体" w:eastAsia="黑体"/>
          <w:b w:val="0"/>
          <w:bCs w:val="0"/>
          <w:color w:val="auto"/>
          <w:sz w:val="32"/>
          <w:highlight w:val="none"/>
        </w:rPr>
        <w:t>招标公告</w:t>
      </w:r>
      <w:bookmarkEnd w:id="5"/>
    </w:p>
    <w:p w14:paraId="29EABC7B">
      <w:pP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br w:type="page"/>
      </w:r>
    </w:p>
    <w:p w14:paraId="64BD4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u w:val="single"/>
          <w:lang w:eastAsia="zh-CN"/>
        </w:rPr>
        <w:t>营口国盛轩宇产业开发建设有限公司清洁能源高端装备制造产业基地基础设施配套项目（一标段）EPC工程总承包</w:t>
      </w:r>
      <w:r>
        <w:rPr>
          <w:rFonts w:hint="eastAsia" w:asciiTheme="majorEastAsia" w:hAnsiTheme="majorEastAsia" w:eastAsiaTheme="majorEastAsia" w:cstheme="majorEastAsia"/>
          <w:b/>
          <w:bCs/>
          <w:color w:val="auto"/>
          <w:sz w:val="24"/>
          <w:szCs w:val="32"/>
          <w:highlight w:val="none"/>
        </w:rPr>
        <w:t>（标段名称）</w:t>
      </w:r>
    </w:p>
    <w:p w14:paraId="6CC85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招标公告</w:t>
      </w:r>
    </w:p>
    <w:p w14:paraId="15801A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eastAsia="zh-CN"/>
        </w:rPr>
      </w:pPr>
    </w:p>
    <w:p w14:paraId="474E4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p>
    <w:p w14:paraId="524107F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6" w:name="bookmark6"/>
      <w:bookmarkEnd w:id="6"/>
      <w:r>
        <w:rPr>
          <w:rFonts w:hint="eastAsia" w:asciiTheme="majorEastAsia" w:hAnsiTheme="majorEastAsia" w:eastAsiaTheme="majorEastAsia" w:cstheme="majorEastAsia"/>
          <w:b/>
          <w:bCs/>
          <w:color w:val="auto"/>
          <w:highlight w:val="none"/>
        </w:rPr>
        <w:t>招标条件</w:t>
      </w:r>
    </w:p>
    <w:p w14:paraId="125EEF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本招标项目</w:t>
      </w:r>
      <w:r>
        <w:rPr>
          <w:rFonts w:hint="eastAsia" w:asciiTheme="majorEastAsia" w:hAnsiTheme="majorEastAsia" w:eastAsiaTheme="majorEastAsia" w:cstheme="majorEastAsia"/>
          <w:color w:val="auto"/>
          <w:highlight w:val="none"/>
          <w:u w:val="single"/>
        </w:rPr>
        <w:t xml:space="preserve"> 营口国盛轩宇产业开发建设有限公司清洁能源高端装备制造产业基地基础设施配套项目 </w:t>
      </w:r>
      <w:r>
        <w:rPr>
          <w:rFonts w:hint="eastAsia" w:asciiTheme="majorEastAsia" w:hAnsiTheme="majorEastAsia" w:eastAsiaTheme="majorEastAsia" w:cstheme="majorEastAsia"/>
          <w:color w:val="auto"/>
          <w:highlight w:val="none"/>
        </w:rPr>
        <w:t>（项目名称）已由</w:t>
      </w:r>
      <w:r>
        <w:rPr>
          <w:rFonts w:hint="eastAsia" w:asciiTheme="majorEastAsia" w:hAnsiTheme="majorEastAsia" w:eastAsiaTheme="majorEastAsia" w:cstheme="majorEastAsia"/>
          <w:color w:val="auto"/>
          <w:highlight w:val="none"/>
          <w:u w:val="single"/>
        </w:rPr>
        <w:t xml:space="preserve"> 营口</w:t>
      </w:r>
      <w:r>
        <w:rPr>
          <w:rFonts w:hint="eastAsia" w:asciiTheme="majorEastAsia" w:hAnsiTheme="majorEastAsia" w:eastAsiaTheme="majorEastAsia" w:cstheme="majorEastAsia"/>
          <w:color w:val="auto"/>
          <w:highlight w:val="none"/>
          <w:u w:val="single"/>
          <w:lang w:val="en-US" w:eastAsia="zh-CN"/>
        </w:rPr>
        <w:t>北海</w:t>
      </w:r>
      <w:r>
        <w:rPr>
          <w:rFonts w:hint="eastAsia" w:asciiTheme="majorEastAsia" w:hAnsiTheme="majorEastAsia" w:eastAsiaTheme="majorEastAsia" w:cstheme="majorEastAsia"/>
          <w:color w:val="auto"/>
          <w:highlight w:val="none"/>
          <w:u w:val="single"/>
        </w:rPr>
        <w:t>经济开发区管</w:t>
      </w:r>
      <w:r>
        <w:rPr>
          <w:rFonts w:hint="eastAsia" w:asciiTheme="majorEastAsia" w:hAnsiTheme="majorEastAsia" w:eastAsiaTheme="majorEastAsia" w:cstheme="majorEastAsia"/>
          <w:color w:val="auto"/>
          <w:highlight w:val="none"/>
          <w:u w:val="single"/>
          <w:lang w:val="en-US" w:eastAsia="zh-CN"/>
        </w:rPr>
        <w:t xml:space="preserve">理委员会 </w:t>
      </w:r>
      <w:r>
        <w:rPr>
          <w:rFonts w:hint="eastAsia" w:asciiTheme="majorEastAsia" w:hAnsiTheme="majorEastAsia" w:eastAsiaTheme="majorEastAsia" w:cstheme="majorEastAsia"/>
          <w:color w:val="auto"/>
          <w:highlight w:val="none"/>
        </w:rPr>
        <w:t>（项目审批、核准或备案机关名称）以</w:t>
      </w:r>
      <w:bookmarkStart w:id="7" w:name="OLE_LINK3"/>
      <w:r>
        <w:rPr>
          <w:rFonts w:hint="eastAsia" w:asciiTheme="majorEastAsia" w:hAnsiTheme="majorEastAsia" w:eastAsiaTheme="majorEastAsia" w:cstheme="majorEastAsia"/>
          <w:color w:val="auto"/>
          <w:highlight w:val="none"/>
          <w:u w:val="single"/>
        </w:rPr>
        <w:t xml:space="preserve"> 营北经发备【2025】5号</w:t>
      </w:r>
      <w:bookmarkEnd w:id="7"/>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（批文名称及编号）批准建设，建设资金来自</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企业自筹</w:t>
      </w:r>
      <w:r>
        <w:rPr>
          <w:rFonts w:hint="eastAsia" w:asciiTheme="majorEastAsia" w:hAnsiTheme="majorEastAsia" w:eastAsiaTheme="majorEastAsia" w:cstheme="majorEastAsia"/>
          <w:color w:val="auto"/>
          <w:highlight w:val="none"/>
        </w:rPr>
        <w:t>（资金来源）， 项目出资比例为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100% </w:t>
      </w:r>
      <w:r>
        <w:rPr>
          <w:rFonts w:hint="eastAsia" w:asciiTheme="majorEastAsia" w:hAnsiTheme="majorEastAsia" w:eastAsiaTheme="majorEastAsia" w:cstheme="majorEastAsia"/>
          <w:color w:val="auto"/>
          <w:highlight w:val="none"/>
        </w:rPr>
        <w:t>，招标人为</w:t>
      </w:r>
      <w:r>
        <w:rPr>
          <w:rFonts w:hint="eastAsia" w:asciiTheme="majorEastAsia" w:hAnsiTheme="majorEastAsia" w:eastAsiaTheme="majorEastAsia" w:cstheme="majorEastAsia"/>
          <w:color w:val="auto"/>
          <w:highlight w:val="none"/>
          <w:u w:val="single"/>
        </w:rPr>
        <w:t xml:space="preserve"> 营口国盛轩宇产业开发建设有限公司</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，招标代理机构为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辽宁咨发工程招标咨询服务有限公司</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。项目已具备招标条件，现对该项目进行公开招标。</w:t>
      </w:r>
    </w:p>
    <w:p w14:paraId="21440A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8" w:name="bookmark9"/>
      <w:bookmarkEnd w:id="8"/>
      <w:bookmarkStart w:id="9" w:name="bookmark8"/>
      <w:bookmarkEnd w:id="9"/>
      <w:r>
        <w:rPr>
          <w:rFonts w:hint="eastAsia" w:asciiTheme="majorEastAsia" w:hAnsiTheme="majorEastAsia" w:eastAsiaTheme="majorEastAsia" w:cstheme="majorEastAsia"/>
          <w:b/>
          <w:bCs/>
          <w:color w:val="auto"/>
          <w:kern w:val="2"/>
          <w:sz w:val="21"/>
          <w:szCs w:val="24"/>
          <w:highlight w:val="none"/>
          <w:lang w:val="en-US" w:eastAsia="zh-CN" w:bidi="ar-SA"/>
        </w:rPr>
        <w:t>2.</w:t>
      </w:r>
      <w:r>
        <w:rPr>
          <w:rFonts w:hint="eastAsia" w:asciiTheme="majorEastAsia" w:hAnsiTheme="majorEastAsia" w:eastAsiaTheme="majorEastAsia" w:cstheme="majorEastAsia"/>
          <w:b/>
          <w:bCs/>
          <w:color w:val="auto"/>
          <w:highlight w:val="none"/>
        </w:rPr>
        <w:t>项目概况与招标范围</w:t>
      </w:r>
    </w:p>
    <w:p w14:paraId="4CA85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bookmarkStart w:id="10" w:name="OLE_LINK15"/>
      <w:r>
        <w:rPr>
          <w:rFonts w:hint="eastAsia" w:asciiTheme="majorEastAsia" w:hAnsiTheme="majorEastAsia" w:eastAsiaTheme="majorEastAsia" w:cstheme="majorEastAsia"/>
          <w:color w:val="auto"/>
          <w:highlight w:val="none"/>
        </w:rPr>
        <w:t>2.1</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项目概况</w:t>
      </w:r>
    </w:p>
    <w:p w14:paraId="0A61F9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建设地点：</w:t>
      </w:r>
      <w:r>
        <w:rPr>
          <w:rFonts w:hint="eastAsia" w:asciiTheme="majorEastAsia" w:hAnsiTheme="majorEastAsia" w:eastAsiaTheme="majorEastAsia" w:cstheme="majorEastAsia"/>
          <w:color w:val="auto"/>
          <w:highlight w:val="none"/>
          <w:u w:val="single"/>
        </w:rPr>
        <w:t xml:space="preserve"> 辽宁省营口市北海新区滨海公路以西，辽东湾以东。</w:t>
      </w:r>
      <w:r>
        <w:rPr>
          <w:rFonts w:hint="eastAsia" w:asciiTheme="majorEastAsia" w:hAnsiTheme="majorEastAsia" w:eastAsiaTheme="majorEastAsia" w:cstheme="majorEastAsia"/>
          <w:color w:val="auto"/>
          <w:highlight w:val="none"/>
        </w:rPr>
        <w:t xml:space="preserve"> </w:t>
      </w:r>
    </w:p>
    <w:p w14:paraId="288AB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建设规模：</w:t>
      </w:r>
      <w:bookmarkStart w:id="11" w:name="OLE_LINK24"/>
      <w:r>
        <w:rPr>
          <w:rFonts w:hint="eastAsia" w:asciiTheme="majorEastAsia" w:hAnsiTheme="majorEastAsia" w:eastAsiaTheme="majorEastAsia" w:cstheme="majorEastAsia"/>
          <w:color w:val="auto"/>
          <w:highlight w:val="none"/>
          <w:u w:val="single"/>
        </w:rPr>
        <w:t xml:space="preserve"> </w:t>
      </w:r>
      <w:bookmarkEnd w:id="11"/>
      <w:r>
        <w:rPr>
          <w:rFonts w:hint="eastAsia" w:asciiTheme="majorEastAsia" w:hAnsiTheme="majorEastAsia" w:eastAsiaTheme="majorEastAsia" w:cstheme="majorEastAsia"/>
          <w:color w:val="auto"/>
          <w:highlight w:val="none"/>
          <w:u w:val="single"/>
        </w:rPr>
        <w:t>规划用地面积64168㎡（96.25亩），总建筑面积16297.99㎡，规划建设原材料存放区、制造车间、防腐车间、宿舍食堂及相关道路、绿化、堆场等。其中：制造车间建筑面积10390.25㎡，建筑高度24.65m，地上一层；防腐车间建筑面积1911.52㎡，建筑高度17.45m，地上一层；宿舍食堂办公建筑面积3996.22㎡，建筑高度13.60m，地上三层；钢结构最大跨度：制造车间钢结构最大单跨度约36m。</w:t>
      </w:r>
    </w:p>
    <w:p w14:paraId="79397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招标范围</w:t>
      </w:r>
    </w:p>
    <w:p w14:paraId="4E7004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标段划分：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1</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标段；是否兼投：</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否</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；是否兼中：</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否</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w:t>
      </w:r>
    </w:p>
    <w:p w14:paraId="1A75A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计划工期/服务/供货：</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730</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w:t>
      </w:r>
    </w:p>
    <w:p w14:paraId="284861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rPr>
        <w:t>计划开工/服务开始/供货开始日期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2025年**月**日</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；计划竣工/服务结束/供货结束日期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202</w:t>
      </w:r>
      <w:r>
        <w:rPr>
          <w:rFonts w:hint="eastAsia" w:asciiTheme="majorEastAsia" w:hAnsiTheme="majorEastAsia" w:eastAsiaTheme="majorEastAsia" w:cstheme="majorEastAsia"/>
          <w:color w:val="auto"/>
          <w:highlight w:val="none"/>
          <w:u w:val="single"/>
          <w:lang w:val="en-US" w:eastAsia="zh-CN"/>
        </w:rPr>
        <w:t xml:space="preserve">7年**月**日 </w:t>
      </w:r>
      <w:r>
        <w:rPr>
          <w:rFonts w:hint="eastAsia" w:asciiTheme="majorEastAsia" w:hAnsiTheme="majorEastAsia" w:eastAsiaTheme="majorEastAsia" w:cstheme="majorEastAsia"/>
          <w:color w:val="auto"/>
          <w:highlight w:val="none"/>
          <w:lang w:val="en-US" w:eastAsia="zh-CN"/>
        </w:rPr>
        <w:t>；</w:t>
      </w:r>
    </w:p>
    <w:p w14:paraId="27031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rPr>
        <w:t>标段名称：</w:t>
      </w:r>
      <w:r>
        <w:rPr>
          <w:rFonts w:hint="eastAsia" w:asciiTheme="majorEastAsia" w:hAnsiTheme="majorEastAsia" w:eastAsiaTheme="majorEastAsia" w:cstheme="majorEastAsia"/>
          <w:color w:val="auto"/>
          <w:highlight w:val="none"/>
          <w:u w:val="single"/>
          <w:lang w:eastAsia="zh-CN"/>
        </w:rPr>
        <w:t>营口国盛轩宇产业开发建设有限公司清洁能源高端装备制造产业基地基础设施配套项目（一标段）EPC工程总承包</w:t>
      </w:r>
    </w:p>
    <w:p w14:paraId="13795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lang w:val="en-US" w:eastAsia="zh-CN"/>
        </w:rPr>
        <w:t>标段编号：</w:t>
      </w:r>
      <w:r>
        <w:rPr>
          <w:rFonts w:hint="eastAsia" w:asciiTheme="majorEastAsia" w:hAnsiTheme="majorEastAsia" w:eastAsiaTheme="majorEastAsia" w:cstheme="majorEastAsia"/>
          <w:color w:val="auto"/>
          <w:highlight w:val="none"/>
          <w:u w:val="single"/>
          <w:lang w:val="en-US" w:eastAsia="zh-CN"/>
        </w:rPr>
        <w:t xml:space="preserve">                                </w:t>
      </w:r>
    </w:p>
    <w:p w14:paraId="64A8C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标段招标范围：</w:t>
      </w:r>
    </w:p>
    <w:p w14:paraId="565BB0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施工图设计范围：包含但不限于建设范围内施工图设计，地基处理、场平设计、产业园施工图设计（含建筑、结构、给排水系统、水消防工程、暖通工程、电气工程、弱电工程专项设计）、景观设计及施工图预算编制，现场设代、配合实验、验收等；</w:t>
      </w:r>
    </w:p>
    <w:p w14:paraId="4B4B7C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rPr>
        <w:t>建安工程及室外配套工程范围：包含不限于基础工程（含桩基础、独立基础等）、土建工程、装修工程、安装工程（钢结构安装、给排水系统、水消防工程、暖通工程、电气工程、弱电工程）、室外配套工程（道路工程、电力工程、弱电工程、照明工程、控制工程、消防报警工程、给水外线工程、雨污水外线工程、消防外线工程)、专项工程（地基处理、降排水、基坑支护等）建筑施工图所示的全部工程内容。</w:t>
      </w:r>
    </w:p>
    <w:bookmarkEnd w:id="10"/>
    <w:p w14:paraId="73660D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标段类别</w:t>
      </w:r>
      <w:r>
        <w:rPr>
          <w:rFonts w:hint="eastAsia" w:asciiTheme="majorEastAsia" w:hAnsiTheme="majorEastAsia" w:eastAsiaTheme="majorEastAsia" w:cstheme="majorEastAsia"/>
          <w:color w:val="auto"/>
          <w:highlight w:val="none"/>
          <w:u w:val="none"/>
        </w:rPr>
        <w:t>：</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工程类-工程总承包（EPC）</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；标段合同估算价</w:t>
      </w:r>
      <w:r>
        <w:rPr>
          <w:rFonts w:hint="eastAsia" w:asciiTheme="majorEastAsia" w:hAnsiTheme="majorEastAsia" w:eastAsiaTheme="majorEastAsia" w:cstheme="majorEastAsia"/>
          <w:color w:val="auto"/>
          <w:highlight w:val="none"/>
          <w:u w:val="none"/>
        </w:rPr>
        <w:t>：</w:t>
      </w:r>
      <w:r>
        <w:rPr>
          <w:rFonts w:hint="eastAsia" w:ascii="宋体" w:hAnsi="宋体" w:eastAsia="宋体" w:cs="宋体"/>
          <w:color w:val="auto"/>
          <w:highlight w:val="none"/>
          <w:u w:val="single"/>
          <w:lang w:val="en-US" w:eastAsia="zh-CN"/>
        </w:rPr>
        <w:t xml:space="preserve"> 12841.99</w:t>
      </w:r>
      <w:r>
        <w:rPr>
          <w:rFonts w:hint="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万元。</w:t>
      </w:r>
    </w:p>
    <w:p w14:paraId="60C21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保证金金额：</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50</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万元；投标保证金缴纳方式：</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现金、保函（保险）</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3D444D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 其他：</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281F4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2" w:name="bookmark10"/>
      <w:bookmarkEnd w:id="12"/>
      <w:bookmarkStart w:id="13" w:name="bookmark11"/>
      <w:bookmarkEnd w:id="13"/>
      <w:r>
        <w:rPr>
          <w:rFonts w:hint="eastAsia" w:asciiTheme="majorEastAsia" w:hAnsiTheme="majorEastAsia" w:eastAsiaTheme="majorEastAsia" w:cstheme="majorEastAsia"/>
          <w:b/>
          <w:bCs/>
          <w:color w:val="auto"/>
          <w:highlight w:val="none"/>
        </w:rPr>
        <w:t>3.投标人资格要求</w:t>
      </w:r>
    </w:p>
    <w:p w14:paraId="6DE4A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 本次招标要求投标人须具备</w:t>
      </w:r>
      <w:r>
        <w:rPr>
          <w:rFonts w:hint="eastAsia" w:asciiTheme="majorEastAsia" w:hAnsiTheme="majorEastAsia" w:eastAsiaTheme="majorEastAsia" w:cstheme="majorEastAsia"/>
          <w:b w:val="0"/>
          <w:bCs w:val="0"/>
          <w:color w:val="auto"/>
          <w:highlight w:val="none"/>
        </w:rPr>
        <w:t xml:space="preserve"> [施工总承包·建筑工程·建筑工程</w:t>
      </w:r>
      <w:r>
        <w:rPr>
          <w:rFonts w:hint="eastAsia" w:asciiTheme="majorEastAsia" w:hAnsiTheme="majorEastAsia" w:eastAsiaTheme="majorEastAsia" w:cstheme="majorEastAsia"/>
          <w:b w:val="0"/>
          <w:bCs w:val="0"/>
          <w:color w:val="auto"/>
          <w:highlight w:val="none"/>
        </w:rPr>
        <w:t>二</w:t>
      </w:r>
      <w:r>
        <w:rPr>
          <w:rFonts w:hint="eastAsia" w:asciiTheme="majorEastAsia" w:hAnsiTheme="majorEastAsia" w:eastAsiaTheme="majorEastAsia" w:cstheme="majorEastAsia"/>
          <w:b w:val="0"/>
          <w:bCs w:val="0"/>
          <w:color w:val="auto"/>
          <w:highlight w:val="none"/>
        </w:rPr>
        <w:t>级](含)以上并且([设计·综合类资质·工程设计综合资质](含)以上或者[设计·行业资质·建筑行业·建筑行业甲级]或者[设计·专业资质·建筑行业（建筑工程）·建筑行业（建筑工程）甲级])，并在人员、设备、资金等方面具有相应的设计、施工能力。</w:t>
      </w:r>
      <w:r>
        <w:rPr>
          <w:rFonts w:hint="eastAsia" w:asciiTheme="majorEastAsia" w:hAnsiTheme="majorEastAsia" w:eastAsiaTheme="majorEastAsia" w:cstheme="majorEastAsia"/>
          <w:color w:val="auto"/>
          <w:highlight w:val="none"/>
          <w:lang w:val="en-US" w:eastAsia="zh-CN"/>
        </w:rPr>
        <w:t>其中，</w:t>
      </w:r>
      <w:r>
        <w:rPr>
          <w:rFonts w:hint="eastAsia" w:asciiTheme="majorEastAsia" w:hAnsiTheme="majorEastAsia" w:eastAsiaTheme="majorEastAsia" w:cstheme="majorEastAsia"/>
          <w:color w:val="auto"/>
          <w:highlight w:val="none"/>
        </w:rPr>
        <w:t>投标人拟派项目经理须具备</w:t>
      </w:r>
      <w:r>
        <w:rPr>
          <w:rFonts w:hint="eastAsia"/>
          <w:color w:val="auto"/>
          <w:highlight w:val="none"/>
          <w:u w:val="single"/>
        </w:rPr>
        <w:t>[注册一级建造师</w:t>
      </w:r>
      <w:r>
        <w:rPr>
          <w:rFonts w:hint="eastAsia" w:eastAsia="宋体"/>
          <w:color w:val="auto"/>
          <w:highlight w:val="none"/>
          <w:u w:val="single"/>
        </w:rPr>
        <w:t>·建筑工程</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执业资格，具备有效的安全生产考核合格证书</w:t>
      </w:r>
      <w:bookmarkStart w:id="14" w:name="OLE_LINK1"/>
      <w:r>
        <w:rPr>
          <w:rFonts w:hint="eastAsia" w:asciiTheme="majorEastAsia" w:hAnsiTheme="majorEastAsia" w:eastAsiaTheme="majorEastAsia" w:cstheme="majorEastAsia"/>
          <w:color w:val="auto"/>
          <w:highlight w:val="none"/>
        </w:rPr>
        <w:t>（B证）</w:t>
      </w:r>
      <w:bookmarkEnd w:id="14"/>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无在建工程</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施工负责人须具备</w:t>
      </w:r>
      <w:r>
        <w:rPr>
          <w:rFonts w:hint="eastAsia" w:asciiTheme="majorEastAsia" w:hAnsiTheme="majorEastAsia" w:eastAsiaTheme="majorEastAsia" w:cstheme="majorEastAsia"/>
          <w:color w:val="auto"/>
          <w:highlight w:val="none"/>
          <w:u w:val="single"/>
          <w:lang w:val="en-US" w:eastAsia="zh-CN"/>
        </w:rPr>
        <w:t>[注册一级建造师·建筑工程]</w:t>
      </w:r>
      <w:r>
        <w:rPr>
          <w:rFonts w:hint="eastAsia" w:asciiTheme="majorEastAsia" w:hAnsiTheme="majorEastAsia" w:eastAsiaTheme="majorEastAsia" w:cstheme="majorEastAsia"/>
          <w:color w:val="auto"/>
          <w:highlight w:val="none"/>
          <w:u w:val="single"/>
        </w:rPr>
        <w:t>]</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执业资格，具备有效的安全生产考核合格证书（B证）</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无在建工程</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设计负责人须具备</w:t>
      </w:r>
      <w:r>
        <w:rPr>
          <w:rFonts w:hint="eastAsia" w:ascii="Times New Roman" w:hAnsi="Times New Roman" w:cs="Times New Roman"/>
          <w:color w:val="auto"/>
          <w:highlight w:val="none"/>
          <w:u w:val="single"/>
        </w:rPr>
        <w:t>[注册一级建筑师]</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w:t>
      </w:r>
      <w:r>
        <w:rPr>
          <w:rFonts w:hint="eastAsia" w:ascii="宋体" w:hAnsi="宋体" w:cs="宋体"/>
          <w:color w:val="auto"/>
          <w:sz w:val="24"/>
          <w:szCs w:val="24"/>
          <w:highlight w:val="none"/>
        </w:rPr>
        <w:t>，</w:t>
      </w:r>
      <w:r>
        <w:rPr>
          <w:rFonts w:hint="eastAsia" w:ascii="宋体" w:hAnsi="宋体" w:cs="宋体"/>
          <w:color w:val="auto"/>
          <w:sz w:val="21"/>
          <w:szCs w:val="21"/>
          <w:highlight w:val="none"/>
        </w:rPr>
        <w:t>且具</w:t>
      </w:r>
      <w:r>
        <w:rPr>
          <w:rFonts w:hint="eastAsia" w:ascii="宋体" w:hAnsi="宋体" w:cs="宋体"/>
          <w:color w:val="auto"/>
          <w:sz w:val="21"/>
          <w:szCs w:val="21"/>
          <w:highlight w:val="none"/>
        </w:rPr>
        <w:t>有高级</w:t>
      </w:r>
      <w:r>
        <w:rPr>
          <w:rFonts w:hint="eastAsia" w:ascii="宋体" w:hAnsi="宋体" w:cs="宋体"/>
          <w:color w:val="auto"/>
          <w:sz w:val="21"/>
          <w:szCs w:val="21"/>
          <w:highlight w:val="none"/>
        </w:rPr>
        <w:t>及以上职称</w:t>
      </w:r>
      <w:r>
        <w:rPr>
          <w:rFonts w:hint="eastAsia" w:ascii="宋体" w:hAnsi="宋体" w:cs="宋体"/>
          <w:color w:val="auto"/>
          <w:sz w:val="24"/>
          <w:szCs w:val="24"/>
          <w:highlight w:val="none"/>
          <w:lang w:eastAsia="zh-CN"/>
        </w:rPr>
        <w:t>。</w:t>
      </w:r>
    </w:p>
    <w:p w14:paraId="471FC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 本次招标</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b/>
          <w:bCs/>
          <w:color w:val="auto"/>
          <w:highlight w:val="none"/>
          <w:u w:val="single"/>
          <w:lang w:val="en-US" w:eastAsia="zh-CN"/>
        </w:rPr>
        <w:t xml:space="preserve">接受 </w:t>
      </w:r>
      <w:r>
        <w:rPr>
          <w:rFonts w:hint="eastAsia" w:asciiTheme="majorEastAsia" w:hAnsiTheme="majorEastAsia" w:eastAsiaTheme="majorEastAsia" w:cstheme="majorEastAsia"/>
          <w:color w:val="auto"/>
          <w:highlight w:val="none"/>
        </w:rPr>
        <w:t>（接受或不接受）联合体投标。联合体投标的，应满足下列要求：</w:t>
      </w:r>
      <w:r>
        <w:rPr>
          <w:rFonts w:hint="eastAsia" w:asciiTheme="majorEastAsia" w:hAnsiTheme="majorEastAsia" w:eastAsiaTheme="majorEastAsia" w:cstheme="majorEastAsia"/>
          <w:color w:val="auto"/>
          <w:spacing w:val="-3"/>
          <w:highlight w:val="none"/>
          <w:u w:val="single" w:color="auto"/>
          <w:lang w:eastAsia="zh-CN"/>
        </w:rPr>
        <w:t>（</w:t>
      </w:r>
      <w:r>
        <w:rPr>
          <w:rFonts w:hint="eastAsia" w:asciiTheme="majorEastAsia" w:hAnsiTheme="majorEastAsia" w:eastAsiaTheme="majorEastAsia" w:cstheme="majorEastAsia"/>
          <w:color w:val="auto"/>
          <w:spacing w:val="-3"/>
          <w:highlight w:val="none"/>
          <w:u w:val="single" w:color="auto"/>
          <w:lang w:val="en-US" w:eastAsia="zh-CN"/>
        </w:rPr>
        <w:t>1</w:t>
      </w:r>
      <w:r>
        <w:rPr>
          <w:rFonts w:hint="eastAsia" w:asciiTheme="majorEastAsia" w:hAnsiTheme="majorEastAsia" w:eastAsiaTheme="majorEastAsia" w:cstheme="majorEastAsia"/>
          <w:color w:val="auto"/>
          <w:spacing w:val="-3"/>
          <w:highlight w:val="none"/>
          <w:u w:val="single" w:color="auto"/>
          <w:lang w:eastAsia="zh-CN"/>
        </w:rPr>
        <w:t>）投标时须提交联合体协议，载明联合体投标代表的牵头人，本项目联合体牵头人应为具备施工总承包资质的一方。（</w:t>
      </w:r>
      <w:r>
        <w:rPr>
          <w:rFonts w:hint="eastAsia" w:asciiTheme="majorEastAsia" w:hAnsiTheme="majorEastAsia" w:eastAsiaTheme="majorEastAsia" w:cstheme="majorEastAsia"/>
          <w:color w:val="auto"/>
          <w:spacing w:val="-3"/>
          <w:highlight w:val="none"/>
          <w:u w:val="single" w:color="auto"/>
          <w:lang w:val="en-US" w:eastAsia="zh-CN"/>
        </w:rPr>
        <w:t>2</w:t>
      </w:r>
      <w:r>
        <w:rPr>
          <w:rFonts w:hint="eastAsia" w:asciiTheme="majorEastAsia" w:hAnsiTheme="majorEastAsia" w:eastAsiaTheme="majorEastAsia" w:cstheme="majorEastAsia"/>
          <w:color w:val="auto"/>
          <w:spacing w:val="-3"/>
          <w:highlight w:val="none"/>
          <w:u w:val="single" w:color="auto"/>
          <w:lang w:eastAsia="zh-CN"/>
        </w:rPr>
        <w:t>）联合体投标组成成员不超过2家（含）。（</w:t>
      </w:r>
      <w:r>
        <w:rPr>
          <w:rFonts w:hint="eastAsia" w:asciiTheme="majorEastAsia" w:hAnsiTheme="majorEastAsia" w:eastAsiaTheme="majorEastAsia" w:cstheme="majorEastAsia"/>
          <w:color w:val="auto"/>
          <w:spacing w:val="-3"/>
          <w:highlight w:val="none"/>
          <w:u w:val="single" w:color="auto"/>
          <w:lang w:val="en-US" w:eastAsia="zh-CN"/>
        </w:rPr>
        <w:t>3</w:t>
      </w:r>
      <w:r>
        <w:rPr>
          <w:rFonts w:hint="eastAsia" w:asciiTheme="majorEastAsia" w:hAnsiTheme="majorEastAsia" w:eastAsiaTheme="majorEastAsia" w:cstheme="majorEastAsia"/>
          <w:color w:val="auto"/>
          <w:spacing w:val="-3"/>
          <w:highlight w:val="none"/>
          <w:u w:val="single" w:color="auto"/>
          <w:lang w:eastAsia="zh-CN"/>
        </w:rPr>
        <w:t>）设计单位和施工单位组成联合体的，应当在联合体协议中明确联合体成员单位的工作范围、责任和权利。联合体各方应当共同与招标人签订工程总承包合同，就工程总承包项目承担连带责任。（</w:t>
      </w:r>
      <w:r>
        <w:rPr>
          <w:rFonts w:hint="eastAsia" w:asciiTheme="majorEastAsia" w:hAnsiTheme="majorEastAsia" w:eastAsiaTheme="majorEastAsia" w:cstheme="majorEastAsia"/>
          <w:color w:val="auto"/>
          <w:spacing w:val="-3"/>
          <w:highlight w:val="none"/>
          <w:u w:val="single" w:color="auto"/>
          <w:lang w:val="en-US" w:eastAsia="zh-CN"/>
        </w:rPr>
        <w:t>4</w:t>
      </w:r>
      <w:r>
        <w:rPr>
          <w:rFonts w:hint="eastAsia" w:asciiTheme="majorEastAsia" w:hAnsiTheme="majorEastAsia" w:eastAsiaTheme="majorEastAsia" w:cstheme="majorEastAsia"/>
          <w:color w:val="auto"/>
          <w:spacing w:val="-3"/>
          <w:highlight w:val="none"/>
          <w:u w:val="single" w:color="auto"/>
          <w:lang w:eastAsia="zh-CN"/>
        </w:rPr>
        <w:t>）联合体各方不得再以自己名义单独或参加其他联合体在本招标项目中投标。</w:t>
      </w:r>
    </w:p>
    <w:p w14:paraId="35458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color="auto"/>
        </w:rPr>
      </w:pPr>
      <w:r>
        <w:rPr>
          <w:rFonts w:hint="eastAsia" w:asciiTheme="majorEastAsia" w:hAnsiTheme="majorEastAsia" w:eastAsiaTheme="majorEastAsia" w:cstheme="majorEastAsia"/>
          <w:color w:val="auto"/>
          <w:highlight w:val="none"/>
        </w:rPr>
        <w:t>3.3 其他要求：</w:t>
      </w:r>
      <w:r>
        <w:rPr>
          <w:rFonts w:hint="eastAsia" w:asciiTheme="majorEastAsia" w:hAnsiTheme="majorEastAsia" w:eastAsiaTheme="majorEastAsia" w:cstheme="majorEastAsia"/>
          <w:color w:val="auto"/>
          <w:spacing w:val="2"/>
          <w:highlight w:val="none"/>
          <w:u w:val="single" w:color="auto"/>
        </w:rPr>
        <w:t>人员要求：（1）项目总负责人（EPC项目经理）要求：1）具有建筑工程专业一级注册建造师资格；2）具备有效的安全生产考核合格证书</w:t>
      </w:r>
      <w:r>
        <w:rPr>
          <w:rFonts w:hint="eastAsia" w:asciiTheme="majorEastAsia" w:hAnsiTheme="majorEastAsia" w:eastAsiaTheme="majorEastAsia" w:cstheme="majorEastAsia"/>
          <w:color w:val="auto"/>
          <w:highlight w:val="none"/>
          <w:u w:val="single"/>
        </w:rPr>
        <w:t>（B证）</w:t>
      </w:r>
      <w:r>
        <w:rPr>
          <w:rFonts w:hint="eastAsia" w:asciiTheme="majorEastAsia" w:hAnsiTheme="majorEastAsia" w:eastAsiaTheme="majorEastAsia" w:cstheme="majorEastAsia"/>
          <w:color w:val="auto"/>
          <w:spacing w:val="2"/>
          <w:highlight w:val="none"/>
          <w:u w:val="single" w:color="auto"/>
        </w:rPr>
        <w:t>；3）无在建工程（二次刷卡验证结果为通过）。（2）设计负责人要求：1）具有一级注册建筑师资格，且具有高级及以上职称。（3）施工负责人要求：1）具有建筑工程专业一级注册建造师资格；2）具备有效的安全生产考核合格证书</w:t>
      </w:r>
      <w:r>
        <w:rPr>
          <w:rFonts w:hint="eastAsia" w:asciiTheme="majorEastAsia" w:hAnsiTheme="majorEastAsia" w:eastAsiaTheme="majorEastAsia" w:cstheme="majorEastAsia"/>
          <w:color w:val="auto"/>
          <w:highlight w:val="none"/>
          <w:u w:val="single"/>
        </w:rPr>
        <w:t>（B证）</w:t>
      </w:r>
      <w:r>
        <w:rPr>
          <w:rFonts w:hint="eastAsia" w:asciiTheme="majorEastAsia" w:hAnsiTheme="majorEastAsia" w:eastAsiaTheme="majorEastAsia" w:cstheme="majorEastAsia"/>
          <w:color w:val="auto"/>
          <w:spacing w:val="2"/>
          <w:highlight w:val="none"/>
          <w:u w:val="single" w:color="auto"/>
        </w:rPr>
        <w:t>；3）无在建工程；4）施工负责人可由项目总负责人（EPC项目经理）兼任。</w:t>
      </w:r>
      <w:r>
        <w:rPr>
          <w:rFonts w:hint="eastAsia" w:asciiTheme="majorEastAsia" w:hAnsiTheme="majorEastAsia" w:eastAsiaTheme="majorEastAsia" w:cstheme="majorEastAsia"/>
          <w:color w:val="auto"/>
          <w:spacing w:val="5"/>
          <w:highlight w:val="none"/>
          <w:u w:val="single" w:color="auto"/>
        </w:rPr>
        <w:t>其他要求：</w:t>
      </w:r>
      <w:r>
        <w:rPr>
          <w:rFonts w:hint="eastAsia" w:asciiTheme="majorEastAsia" w:hAnsiTheme="majorEastAsia" w:eastAsiaTheme="majorEastAsia" w:cstheme="majorEastAsia"/>
          <w:color w:val="auto"/>
          <w:spacing w:val="2"/>
          <w:highlight w:val="none"/>
          <w:u w:val="single" w:color="auto"/>
          <w:lang w:eastAsia="zh-CN"/>
        </w:rPr>
        <w:t>（</w:t>
      </w:r>
      <w:r>
        <w:rPr>
          <w:rFonts w:hint="eastAsia" w:asciiTheme="majorEastAsia" w:hAnsiTheme="majorEastAsia" w:eastAsiaTheme="majorEastAsia" w:cstheme="majorEastAsia"/>
          <w:color w:val="auto"/>
          <w:spacing w:val="2"/>
          <w:highlight w:val="none"/>
          <w:u w:val="single" w:color="auto"/>
          <w:lang w:val="en-US" w:eastAsia="zh-CN"/>
        </w:rPr>
        <w:t>1</w:t>
      </w:r>
      <w:r>
        <w:rPr>
          <w:rFonts w:hint="eastAsia" w:asciiTheme="majorEastAsia" w:hAnsiTheme="majorEastAsia" w:eastAsiaTheme="majorEastAsia" w:cstheme="majorEastAsia"/>
          <w:color w:val="auto"/>
          <w:spacing w:val="2"/>
          <w:highlight w:val="none"/>
          <w:u w:val="single" w:color="auto"/>
          <w:lang w:eastAsia="zh-CN"/>
        </w:rPr>
        <w:t>）</w:t>
      </w:r>
      <w:r>
        <w:rPr>
          <w:rFonts w:hint="eastAsia" w:asciiTheme="majorEastAsia" w:hAnsiTheme="majorEastAsia" w:eastAsiaTheme="majorEastAsia" w:cstheme="majorEastAsia"/>
          <w:color w:val="auto"/>
          <w:spacing w:val="2"/>
          <w:highlight w:val="none"/>
          <w:u w:val="single" w:color="auto"/>
        </w:rPr>
        <w:t>施工单位须具备有效的安全生产许可证</w:t>
      </w:r>
      <w:r>
        <w:rPr>
          <w:rFonts w:hint="eastAsia" w:asciiTheme="majorEastAsia" w:hAnsiTheme="majorEastAsia" w:eastAsiaTheme="majorEastAsia" w:cstheme="majorEastAsia"/>
          <w:color w:val="auto"/>
          <w:spacing w:val="2"/>
          <w:highlight w:val="none"/>
          <w:u w:val="single" w:color="auto"/>
          <w:lang w:eastAsia="zh-CN"/>
        </w:rPr>
        <w:t>。</w:t>
      </w:r>
    </w:p>
    <w:p w14:paraId="70896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3.4 是否允许互跨专业承接同等级业务：</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w:t>
      </w:r>
      <w:r>
        <w:rPr>
          <w:rFonts w:hint="eastAsia" w:asciiTheme="majorEastAsia" w:hAnsiTheme="majorEastAsia" w:eastAsiaTheme="majorEastAsia" w:cstheme="majorEastAsia"/>
          <w:color w:val="auto"/>
          <w:kern w:val="2"/>
          <w:sz w:val="21"/>
          <w:szCs w:val="24"/>
          <w:highlight w:val="none"/>
          <w:u w:val="single"/>
          <w:lang w:val="en-US" w:eastAsia="zh-CN" w:bidi="ar-SA"/>
        </w:rPr>
        <w:t>否</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w:t>
      </w:r>
      <w:r>
        <w:rPr>
          <w:rFonts w:hint="eastAsia" w:asciiTheme="majorEastAsia" w:hAnsiTheme="majorEastAsia" w:eastAsiaTheme="majorEastAsia" w:cstheme="majorEastAsia"/>
          <w:color w:val="auto"/>
          <w:kern w:val="2"/>
          <w:sz w:val="21"/>
          <w:szCs w:val="24"/>
          <w:highlight w:val="none"/>
          <w:lang w:val="en-US" w:eastAsia="zh-CN" w:bidi="ar-SA"/>
        </w:rPr>
        <w:t xml:space="preserve">。     </w:t>
      </w:r>
    </w:p>
    <w:p w14:paraId="72D54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3.5 需联合体投标，且联合体中中小企业合同份额占总合同额30%以上：</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w:t>
      </w:r>
      <w:r>
        <w:rPr>
          <w:rFonts w:hint="eastAsia" w:asciiTheme="majorEastAsia" w:hAnsiTheme="majorEastAsia" w:eastAsiaTheme="majorEastAsia" w:cstheme="majorEastAsia"/>
          <w:color w:val="auto"/>
          <w:kern w:val="2"/>
          <w:sz w:val="21"/>
          <w:szCs w:val="24"/>
          <w:highlight w:val="none"/>
          <w:u w:val="single"/>
          <w:lang w:val="en-US" w:eastAsia="zh-CN" w:bidi="ar-SA"/>
        </w:rPr>
        <w:t>否</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w:t>
      </w:r>
      <w:r>
        <w:rPr>
          <w:rFonts w:hint="eastAsia" w:asciiTheme="majorEastAsia" w:hAnsiTheme="majorEastAsia" w:eastAsiaTheme="majorEastAsia" w:cstheme="majorEastAsia"/>
          <w:color w:val="auto"/>
          <w:kern w:val="2"/>
          <w:sz w:val="21"/>
          <w:szCs w:val="24"/>
          <w:highlight w:val="none"/>
          <w:lang w:val="en-US" w:eastAsia="zh-CN" w:bidi="ar-SA"/>
        </w:rPr>
        <w:t>。</w:t>
      </w:r>
    </w:p>
    <w:p w14:paraId="214BD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5" w:name="bookmark12"/>
      <w:bookmarkEnd w:id="15"/>
      <w:bookmarkStart w:id="16" w:name="bookmark13"/>
      <w:bookmarkEnd w:id="16"/>
      <w:r>
        <w:rPr>
          <w:rFonts w:hint="eastAsia" w:asciiTheme="majorEastAsia" w:hAnsiTheme="majorEastAsia" w:eastAsiaTheme="majorEastAsia" w:cstheme="majorEastAsia"/>
          <w:b/>
          <w:bCs/>
          <w:color w:val="auto"/>
          <w:highlight w:val="none"/>
        </w:rPr>
        <w:t>4.招标文件的获取</w:t>
      </w:r>
    </w:p>
    <w:p w14:paraId="7F83BB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4.1  凡有意参加投标者（若为联合体投标，指联合体所有成员），应当在主体信息库进 行注册登记（具体参见主体信息库注册操作指南）。</w:t>
      </w:r>
    </w:p>
    <w:p w14:paraId="1283A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4.2 完成注册登记后，请于</w:t>
      </w:r>
      <w:r>
        <w:rPr>
          <w:rFonts w:hint="eastAsia" w:asciiTheme="majorEastAsia" w:hAnsiTheme="majorEastAsia" w:eastAsiaTheme="majorEastAsia" w:cstheme="majorEastAsia"/>
          <w:color w:val="auto"/>
          <w:highlight w:val="none"/>
          <w:u w:val="none"/>
        </w:rPr>
        <w:t xml:space="preserve"> 2025年</w:t>
      </w:r>
      <w:r>
        <w:rPr>
          <w:rFonts w:hint="eastAsia" w:asciiTheme="majorEastAsia" w:hAnsiTheme="majorEastAsia" w:eastAsiaTheme="majorEastAsia" w:cstheme="majorEastAsia"/>
          <w:color w:val="auto"/>
          <w:highlight w:val="none"/>
          <w:u w:val="none"/>
          <w:lang w:val="en-US" w:eastAsia="zh-CN"/>
        </w:rPr>
        <w:t>5</w:t>
      </w:r>
      <w:r>
        <w:rPr>
          <w:rFonts w:hint="eastAsia" w:asciiTheme="majorEastAsia" w:hAnsiTheme="majorEastAsia" w:eastAsiaTheme="majorEastAsia" w:cstheme="majorEastAsia"/>
          <w:color w:val="auto"/>
          <w:highlight w:val="none"/>
          <w:u w:val="none"/>
        </w:rPr>
        <w:t>月</w:t>
      </w:r>
      <w:r>
        <w:rPr>
          <w:rFonts w:hint="eastAsia" w:asciiTheme="majorEastAsia" w:hAnsiTheme="majorEastAsia" w:eastAsiaTheme="majorEastAsia" w:cstheme="majorEastAsia"/>
          <w:color w:val="auto"/>
          <w:highlight w:val="none"/>
          <w:u w:val="none"/>
          <w:lang w:val="en-US" w:eastAsia="zh-CN"/>
        </w:rPr>
        <w:t>**</w:t>
      </w:r>
      <w:r>
        <w:rPr>
          <w:rFonts w:hint="eastAsia" w:asciiTheme="majorEastAsia" w:hAnsiTheme="majorEastAsia" w:eastAsiaTheme="majorEastAsia" w:cstheme="majorEastAsia"/>
          <w:color w:val="auto"/>
          <w:highlight w:val="none"/>
          <w:u w:val="none"/>
        </w:rPr>
        <w:t>日08时00分至2025年</w:t>
      </w:r>
      <w:r>
        <w:rPr>
          <w:rFonts w:hint="eastAsia" w:asciiTheme="majorEastAsia" w:hAnsiTheme="majorEastAsia" w:eastAsiaTheme="majorEastAsia" w:cstheme="majorEastAsia"/>
          <w:color w:val="auto"/>
          <w:highlight w:val="none"/>
          <w:u w:val="none"/>
          <w:lang w:val="en-US" w:eastAsia="zh-CN"/>
        </w:rPr>
        <w:t>5</w:t>
      </w:r>
      <w:r>
        <w:rPr>
          <w:rFonts w:hint="eastAsia" w:asciiTheme="majorEastAsia" w:hAnsiTheme="majorEastAsia" w:eastAsiaTheme="majorEastAsia" w:cstheme="majorEastAsia"/>
          <w:color w:val="auto"/>
          <w:highlight w:val="none"/>
          <w:u w:val="none"/>
        </w:rPr>
        <w:t>月</w:t>
      </w:r>
      <w:r>
        <w:rPr>
          <w:rFonts w:hint="eastAsia" w:asciiTheme="majorEastAsia" w:hAnsiTheme="majorEastAsia" w:eastAsiaTheme="majorEastAsia" w:cstheme="majorEastAsia"/>
          <w:color w:val="auto"/>
          <w:highlight w:val="none"/>
          <w:u w:val="none"/>
          <w:lang w:val="en-US" w:eastAsia="zh-CN"/>
        </w:rPr>
        <w:t>**</w:t>
      </w:r>
      <w:r>
        <w:rPr>
          <w:rFonts w:hint="eastAsia" w:asciiTheme="majorEastAsia" w:hAnsiTheme="majorEastAsia" w:eastAsiaTheme="majorEastAsia" w:cstheme="majorEastAsia"/>
          <w:color w:val="auto"/>
          <w:highlight w:val="none"/>
          <w:u w:val="none"/>
        </w:rPr>
        <w:t>日1</w:t>
      </w:r>
      <w:r>
        <w:rPr>
          <w:rFonts w:hint="eastAsia" w:asciiTheme="majorEastAsia" w:hAnsiTheme="majorEastAsia" w:eastAsiaTheme="majorEastAsia" w:cstheme="majorEastAsia"/>
          <w:color w:val="auto"/>
          <w:highlight w:val="none"/>
          <w:u w:val="none"/>
          <w:lang w:val="en-US" w:eastAsia="zh-CN"/>
        </w:rPr>
        <w:t>7</w:t>
      </w:r>
      <w:r>
        <w:rPr>
          <w:rFonts w:hint="eastAsia" w:asciiTheme="majorEastAsia" w:hAnsiTheme="majorEastAsia" w:eastAsiaTheme="majorEastAsia" w:cstheme="majorEastAsia"/>
          <w:color w:val="auto"/>
          <w:highlight w:val="none"/>
          <w:u w:val="none"/>
        </w:rPr>
        <w:t>时00分止</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北京时间、下同</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通过</w:t>
      </w:r>
      <w:r>
        <w:rPr>
          <w:rFonts w:hint="eastAsia" w:asciiTheme="majorEastAsia" w:hAnsiTheme="majorEastAsia" w:eastAsiaTheme="majorEastAsia" w:cstheme="majorEastAsia"/>
          <w:color w:val="auto"/>
          <w:highlight w:val="none"/>
          <w:u w:val="single"/>
        </w:rPr>
        <w:t>辽宁工程咨询招投标交易平台</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投标盲盒工具</w:t>
      </w:r>
      <w:r>
        <w:rPr>
          <w:rFonts w:hint="eastAsia" w:asciiTheme="majorEastAsia" w:hAnsiTheme="majorEastAsia" w:eastAsiaTheme="majorEastAsia" w:cstheme="majorEastAsia"/>
          <w:color w:val="auto"/>
          <w:highlight w:val="none"/>
          <w:u w:val="single"/>
        </w:rPr>
        <w:fldChar w:fldCharType="begin"/>
      </w:r>
      <w:r>
        <w:rPr>
          <w:rFonts w:hint="eastAsia" w:asciiTheme="majorEastAsia" w:hAnsiTheme="majorEastAsia" w:eastAsiaTheme="majorEastAsia" w:cstheme="majorEastAsia"/>
          <w:color w:val="auto"/>
          <w:highlight w:val="none"/>
          <w:u w:val="single"/>
        </w:rPr>
        <w:instrText xml:space="preserve"> HYPERLINK "https://nxbox.Inzb.com:8888/#/login" </w:instrText>
      </w:r>
      <w:r>
        <w:rPr>
          <w:rFonts w:hint="eastAsia" w:asciiTheme="majorEastAsia" w:hAnsiTheme="majorEastAsia" w:eastAsiaTheme="majorEastAsia" w:cstheme="majorEastAsia"/>
          <w:color w:val="auto"/>
          <w:highlight w:val="none"/>
          <w:u w:val="single"/>
        </w:rPr>
        <w:fldChar w:fldCharType="separate"/>
      </w:r>
      <w:r>
        <w:rPr>
          <w:rFonts w:hint="eastAsia" w:asciiTheme="majorEastAsia" w:hAnsiTheme="majorEastAsia" w:eastAsiaTheme="majorEastAsia" w:cstheme="majorEastAsia"/>
          <w:color w:val="auto"/>
          <w:highlight w:val="none"/>
          <w:u w:val="single"/>
        </w:rPr>
        <w:t>https://nxbox.Inzb.com:8888/#/login</w:t>
      </w:r>
      <w:r>
        <w:rPr>
          <w:rFonts w:hint="eastAsia" w:asciiTheme="majorEastAsia" w:hAnsiTheme="majorEastAsia" w:eastAsiaTheme="majorEastAsia" w:cstheme="majorEastAsia"/>
          <w:color w:val="auto"/>
          <w:highlight w:val="none"/>
          <w:u w:val="single"/>
        </w:rPr>
        <w:fldChar w:fldCharType="end"/>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 xml:space="preserve"> 在所投标段进行资格确认并下载招标文件。联合体投标的，由联合体牵头人下载招标文件。</w:t>
      </w:r>
    </w:p>
    <w:p w14:paraId="33764D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p>
    <w:p w14:paraId="55768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7" w:name="bookmark14"/>
      <w:bookmarkEnd w:id="17"/>
      <w:bookmarkStart w:id="18" w:name="bookmark15"/>
      <w:bookmarkEnd w:id="18"/>
      <w:r>
        <w:rPr>
          <w:rFonts w:hint="eastAsia" w:asciiTheme="majorEastAsia" w:hAnsiTheme="majorEastAsia" w:eastAsiaTheme="majorEastAsia" w:cstheme="majorEastAsia"/>
          <w:b/>
          <w:bCs/>
          <w:color w:val="auto"/>
          <w:highlight w:val="none"/>
        </w:rPr>
        <w:t>5.投标文件的递交</w:t>
      </w:r>
    </w:p>
    <w:p w14:paraId="1B995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5.1 投标文件递交截止时间为：2025年06月**日09:30。</w:t>
      </w:r>
    </w:p>
    <w:p w14:paraId="2372CD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5.2 投标人应当在投标截止时间前，通过辽宁工程咨询招投标交易平台（投标盲盒工具</w:t>
      </w: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https://nxbox.Inzb.com:8888/#/1</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 xml:space="preserve"> </w:t>
      </w: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ogin</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241EE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5.3开标地点：</w:t>
      </w:r>
      <w:r>
        <w:rPr>
          <w:rFonts w:hint="default" w:ascii="Arial" w:hAnsi="Arial" w:cs="Arial" w:eastAsiaTheme="majorEastAsia"/>
          <w:b w:val="0"/>
          <w:bCs w:val="0"/>
          <w:color w:val="auto"/>
          <w:highlight w:val="none"/>
          <w:u w:val="single"/>
          <w:lang w:val="en-US" w:eastAsia="zh-CN"/>
        </w:rPr>
        <w:t>辽宁省工程建设项目数字化开评标系统</w:t>
      </w:r>
      <w:r>
        <w:rPr>
          <w:rFonts w:hint="default" w:ascii="Arial" w:hAnsi="Arial" w:cs="Arial" w:eastAsiaTheme="majorEastAsia"/>
          <w:b w:val="0"/>
          <w:bCs w:val="0"/>
          <w:color w:val="auto"/>
          <w:highlight w:val="none"/>
          <w:u w:val="single"/>
          <w:lang w:val="en-US" w:eastAsia="zh-CN"/>
        </w:rPr>
        <w:fldChar w:fldCharType="begin"/>
      </w:r>
      <w:r>
        <w:rPr>
          <w:rFonts w:hint="default" w:ascii="Arial" w:hAnsi="Arial" w:cs="Arial" w:eastAsiaTheme="majorEastAsia"/>
          <w:b w:val="0"/>
          <w:bCs w:val="0"/>
          <w:color w:val="auto"/>
          <w:highlight w:val="none"/>
          <w:u w:val="single"/>
          <w:lang w:val="en-US" w:eastAsia="zh-CN"/>
        </w:rPr>
        <w:instrText xml:space="preserve"> HYPERLINK "https://dts.Inzb.com:8888/zjt-bid/。5.4" </w:instrText>
      </w:r>
      <w:r>
        <w:rPr>
          <w:rFonts w:hint="default" w:ascii="Arial" w:hAnsi="Arial" w:cs="Arial" w:eastAsiaTheme="majorEastAsia"/>
          <w:b w:val="0"/>
          <w:bCs w:val="0"/>
          <w:color w:val="auto"/>
          <w:highlight w:val="none"/>
          <w:u w:val="single"/>
          <w:lang w:val="en-US" w:eastAsia="zh-CN"/>
        </w:rPr>
        <w:fldChar w:fldCharType="separate"/>
      </w:r>
      <w:r>
        <w:rPr>
          <w:rFonts w:hint="default" w:ascii="Arial" w:hAnsi="Arial" w:cs="Arial" w:eastAsiaTheme="majorEastAsia"/>
          <w:b w:val="0"/>
          <w:bCs w:val="0"/>
          <w:color w:val="auto"/>
          <w:highlight w:val="none"/>
          <w:u w:val="single"/>
          <w:lang w:val="en-US" w:eastAsia="zh-CN"/>
        </w:rPr>
        <w:t>https://dts.Inzb.com:8888/zjt-bid/。</w:t>
      </w:r>
      <w:r>
        <w:rPr>
          <w:rFonts w:hint="default" w:ascii="Arial" w:hAnsi="Arial" w:cs="Arial" w:eastAsiaTheme="majorEastAsia"/>
          <w:b w:val="0"/>
          <w:bCs w:val="0"/>
          <w:color w:val="auto"/>
          <w:highlight w:val="none"/>
          <w:u w:val="single"/>
          <w:lang w:val="en-US" w:eastAsia="zh-CN"/>
        </w:rPr>
        <w:fldChar w:fldCharType="end"/>
      </w:r>
    </w:p>
    <w:p w14:paraId="3DEC7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5.4</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开标方式：</w:t>
      </w:r>
      <w:r>
        <w:rPr>
          <w:rFonts w:hint="eastAsia" w:asciiTheme="majorEastAsia" w:hAnsiTheme="majorEastAsia" w:eastAsiaTheme="majorEastAsia" w:cstheme="majorEastAsia"/>
          <w:b w:val="0"/>
          <w:bCs w:val="0"/>
          <w:color w:val="auto"/>
          <w:highlight w:val="none"/>
          <w:u w:val="single"/>
          <w:lang w:val="en-US" w:eastAsia="zh-CN"/>
        </w:rPr>
        <w:t>远程不见面</w:t>
      </w:r>
      <w:r>
        <w:rPr>
          <w:rFonts w:hint="eastAsia" w:asciiTheme="majorEastAsia" w:hAnsiTheme="majorEastAsia" w:eastAsiaTheme="majorEastAsia" w:cstheme="majorEastAsia"/>
          <w:b w:val="0"/>
          <w:bCs w:val="0"/>
          <w:color w:val="auto"/>
          <w:highlight w:val="none"/>
          <w:lang w:val="en-US" w:eastAsia="zh-CN"/>
        </w:rPr>
        <w:t>。</w:t>
      </w:r>
    </w:p>
    <w:p w14:paraId="16CE5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9" w:name="bookmark16"/>
      <w:bookmarkEnd w:id="19"/>
      <w:bookmarkStart w:id="20" w:name="bookmark17"/>
      <w:bookmarkEnd w:id="20"/>
      <w:r>
        <w:rPr>
          <w:rFonts w:hint="eastAsia" w:asciiTheme="majorEastAsia" w:hAnsiTheme="majorEastAsia" w:eastAsiaTheme="majorEastAsia" w:cstheme="majorEastAsia"/>
          <w:b/>
          <w:bCs/>
          <w:color w:val="auto"/>
          <w:highlight w:val="none"/>
        </w:rPr>
        <w:t>6.投标相关事宜</w:t>
      </w:r>
    </w:p>
    <w:p w14:paraId="4010FB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ab/>
      </w:r>
      <w:r>
        <w:rPr>
          <w:rFonts w:hint="eastAsia" w:asciiTheme="majorEastAsia" w:hAnsiTheme="majorEastAsia" w:eastAsiaTheme="majorEastAsia" w:cstheme="majorEastAsia"/>
          <w:color w:val="auto"/>
          <w:highlight w:val="none"/>
        </w:rPr>
        <w:t>。</w:t>
      </w:r>
    </w:p>
    <w:p w14:paraId="348DE5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bookmarkStart w:id="21" w:name="bookmark18"/>
      <w:bookmarkEnd w:id="21"/>
      <w:bookmarkStart w:id="22" w:name="bookmark19"/>
      <w:bookmarkEnd w:id="22"/>
      <w:r>
        <w:rPr>
          <w:rFonts w:hint="eastAsia" w:asciiTheme="majorEastAsia" w:hAnsiTheme="majorEastAsia" w:eastAsiaTheme="majorEastAsia" w:cstheme="majorEastAsia"/>
          <w:b/>
          <w:bCs/>
          <w:color w:val="auto"/>
          <w:highlight w:val="none"/>
        </w:rPr>
        <w:t>7.评标办法</w:t>
      </w:r>
    </w:p>
    <w:p w14:paraId="25BB5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本次招标评标办法采用</w:t>
      </w:r>
      <w:r>
        <w:rPr>
          <w:rFonts w:hint="eastAsia" w:asciiTheme="majorEastAsia" w:hAnsiTheme="majorEastAsia" w:eastAsiaTheme="majorEastAsia" w:cstheme="majorEastAsia"/>
          <w:color w:val="auto"/>
          <w:highlight w:val="none"/>
          <w:u w:val="single"/>
        </w:rPr>
        <w:t xml:space="preserve"> 综合评估法</w:t>
      </w:r>
      <w:r>
        <w:rPr>
          <w:rFonts w:hint="eastAsia" w:asciiTheme="majorEastAsia" w:hAnsiTheme="majorEastAsia" w:eastAsiaTheme="majorEastAsia" w:cstheme="majorEastAsia"/>
          <w:color w:val="auto"/>
          <w:highlight w:val="none"/>
        </w:rPr>
        <w:t>。</w:t>
      </w:r>
    </w:p>
    <w:p w14:paraId="6BF827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3" w:name="bookmark21"/>
      <w:bookmarkEnd w:id="23"/>
      <w:bookmarkStart w:id="24" w:name="bookmark20"/>
      <w:bookmarkEnd w:id="24"/>
      <w:r>
        <w:rPr>
          <w:rFonts w:hint="eastAsia" w:asciiTheme="majorEastAsia" w:hAnsiTheme="majorEastAsia" w:eastAsiaTheme="majorEastAsia" w:cstheme="majorEastAsia"/>
          <w:b/>
          <w:bCs/>
          <w:color w:val="auto"/>
          <w:highlight w:val="none"/>
        </w:rPr>
        <w:t>8.发布公告的媒介</w:t>
      </w:r>
    </w:p>
    <w:p w14:paraId="4D981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strike w:val="0"/>
          <w:dstrike w:val="0"/>
          <w:color w:val="auto"/>
          <w:highlight w:val="none"/>
          <w:u w:val="none"/>
          <w:lang w:val="en-US"/>
        </w:rPr>
      </w:pPr>
      <w:r>
        <w:rPr>
          <w:rFonts w:hint="eastAsia" w:asciiTheme="majorEastAsia" w:hAnsiTheme="majorEastAsia" w:eastAsiaTheme="majorEastAsia" w:cstheme="majorEastAsia"/>
          <w:color w:val="auto"/>
          <w:highlight w:val="none"/>
          <w:u w:val="none"/>
        </w:rPr>
        <w:t>辽宁建设工程信息网、辽宁省招标投标监管网</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lang w:val="en-US" w:eastAsia="zh-CN"/>
        </w:rPr>
        <w:t>中国招标投标公共服务</w:t>
      </w:r>
      <w:r>
        <w:rPr>
          <w:rFonts w:hint="eastAsia" w:asciiTheme="majorEastAsia" w:hAnsiTheme="majorEastAsia" w:eastAsiaTheme="majorEastAsia" w:cstheme="majorEastAsia"/>
          <w:strike w:val="0"/>
          <w:dstrike w:val="0"/>
          <w:color w:val="auto"/>
          <w:highlight w:val="none"/>
          <w:u w:val="none"/>
          <w:lang w:val="en-US" w:eastAsia="zh-CN"/>
        </w:rPr>
        <w:t>平台</w:t>
      </w:r>
      <w:r>
        <w:rPr>
          <w:rFonts w:hint="eastAsia" w:asciiTheme="majorEastAsia" w:hAnsiTheme="majorEastAsia" w:eastAsiaTheme="majorEastAsia" w:cstheme="majorEastAsia"/>
          <w:strike w:val="0"/>
          <w:dstrike w:val="0"/>
          <w:color w:val="auto"/>
          <w:spacing w:val="-1"/>
          <w:highlight w:val="none"/>
          <w:u w:val="none"/>
          <w:lang w:val="en-US" w:eastAsia="zh-CN"/>
        </w:rPr>
        <w:t>。</w:t>
      </w:r>
    </w:p>
    <w:p w14:paraId="5435B6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5" w:name="bookmark23"/>
      <w:bookmarkEnd w:id="25"/>
      <w:bookmarkStart w:id="26" w:name="bookmark22"/>
      <w:bookmarkEnd w:id="26"/>
      <w:r>
        <w:rPr>
          <w:rFonts w:hint="eastAsia" w:asciiTheme="majorEastAsia" w:hAnsiTheme="majorEastAsia" w:eastAsiaTheme="majorEastAsia" w:cstheme="majorEastAsia"/>
          <w:b/>
          <w:bCs/>
          <w:color w:val="auto"/>
          <w:highlight w:val="none"/>
        </w:rPr>
        <w:t>9.监督信息</w:t>
      </w:r>
    </w:p>
    <w:p w14:paraId="0D4A27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rPr>
        <w:t>1.监督部门：</w:t>
      </w:r>
      <w:r>
        <w:rPr>
          <w:rFonts w:hint="eastAsia" w:asciiTheme="majorEastAsia" w:hAnsiTheme="majorEastAsia" w:eastAsiaTheme="majorEastAsia" w:cstheme="majorEastAsia"/>
          <w:color w:val="auto"/>
          <w:highlight w:val="none"/>
          <w:u w:val="none"/>
          <w:lang w:val="en-US" w:eastAsia="zh-CN"/>
        </w:rPr>
        <w:t>营口北海经济开发区管理委员会规划建设局</w:t>
      </w:r>
      <w:r>
        <w:rPr>
          <w:rFonts w:hint="eastAsia" w:asciiTheme="majorEastAsia" w:hAnsiTheme="majorEastAsia" w:eastAsiaTheme="majorEastAsia" w:cstheme="majorEastAsia"/>
          <w:color w:val="auto"/>
          <w:highlight w:val="none"/>
          <w:u w:val="none"/>
        </w:rPr>
        <w:t>，负责人：</w:t>
      </w:r>
      <w:r>
        <w:rPr>
          <w:rFonts w:hint="eastAsia" w:asciiTheme="majorEastAsia" w:hAnsiTheme="majorEastAsia" w:eastAsiaTheme="majorEastAsia" w:cstheme="majorEastAsia"/>
          <w:color w:val="auto"/>
          <w:highlight w:val="none"/>
          <w:u w:val="none"/>
          <w:lang w:val="en-US" w:eastAsia="zh-CN"/>
        </w:rPr>
        <w:t>苏先生</w:t>
      </w:r>
      <w:r>
        <w:rPr>
          <w:rFonts w:hint="eastAsia" w:asciiTheme="majorEastAsia" w:hAnsiTheme="majorEastAsia" w:eastAsiaTheme="majorEastAsia" w:cstheme="majorEastAsia"/>
          <w:color w:val="auto"/>
          <w:highlight w:val="none"/>
          <w:u w:val="none"/>
        </w:rPr>
        <w:t xml:space="preserve">，联系方式：0417-6578077。 </w:t>
      </w:r>
    </w:p>
    <w:p w14:paraId="4AEDB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2.招标负责人：</w:t>
      </w:r>
      <w:r>
        <w:rPr>
          <w:rFonts w:hint="eastAsia" w:asciiTheme="majorEastAsia" w:hAnsiTheme="majorEastAsia" w:eastAsiaTheme="majorEastAsia" w:cstheme="majorEastAsia"/>
          <w:color w:val="auto"/>
          <w:highlight w:val="none"/>
          <w:lang w:val="en-US" w:eastAsia="zh-CN"/>
        </w:rPr>
        <w:t>赵阳</w:t>
      </w:r>
      <w:r>
        <w:rPr>
          <w:rFonts w:hint="eastAsia" w:asciiTheme="majorEastAsia" w:hAnsiTheme="majorEastAsia" w:eastAsiaTheme="majorEastAsia" w:cstheme="majorEastAsia"/>
          <w:color w:val="auto"/>
          <w:highlight w:val="none"/>
        </w:rPr>
        <w:t>，联系方式：</w:t>
      </w:r>
      <w:r>
        <w:rPr>
          <w:rFonts w:hint="eastAsia" w:asciiTheme="majorEastAsia" w:hAnsiTheme="majorEastAsia" w:eastAsiaTheme="majorEastAsia" w:cstheme="majorEastAsia"/>
          <w:color w:val="auto"/>
          <w:highlight w:val="none"/>
          <w:lang w:val="en-US" w:eastAsia="zh-CN"/>
        </w:rPr>
        <w:t>18241762575</w:t>
      </w:r>
    </w:p>
    <w:p w14:paraId="481EA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7" w:name="bookmark25"/>
      <w:bookmarkEnd w:id="27"/>
      <w:bookmarkStart w:id="28" w:name="bookmark24"/>
      <w:bookmarkEnd w:id="28"/>
      <w:r>
        <w:rPr>
          <w:rFonts w:hint="eastAsia" w:asciiTheme="majorEastAsia" w:hAnsiTheme="majorEastAsia" w:eastAsiaTheme="majorEastAsia" w:cstheme="majorEastAsia"/>
          <w:b/>
          <w:bCs/>
          <w:color w:val="auto"/>
          <w:highlight w:val="none"/>
        </w:rPr>
        <w:t>10.联系方式</w:t>
      </w:r>
    </w:p>
    <w:p w14:paraId="4F4A14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招标人：</w:t>
      </w:r>
      <w:r>
        <w:rPr>
          <w:rFonts w:hint="eastAsia" w:asciiTheme="majorEastAsia" w:hAnsiTheme="majorEastAsia" w:eastAsiaTheme="majorEastAsia" w:cstheme="majorEastAsia"/>
          <w:color w:val="auto"/>
          <w:highlight w:val="none"/>
          <w:lang w:eastAsia="zh-CN"/>
        </w:rPr>
        <w:t>营口国盛轩宇产业开发建设有限公司</w:t>
      </w:r>
      <w:r>
        <w:rPr>
          <w:rFonts w:hint="eastAsia" w:asciiTheme="majorEastAsia" w:hAnsiTheme="majorEastAsia" w:eastAsiaTheme="majorEastAsia" w:cstheme="majorEastAsia"/>
          <w:color w:val="auto"/>
          <w:highlight w:val="none"/>
        </w:rPr>
        <w:t xml:space="preserve">                          </w:t>
      </w:r>
    </w:p>
    <w:p w14:paraId="34C18D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地址：</w:t>
      </w:r>
      <w:r>
        <w:rPr>
          <w:rFonts w:hint="eastAsia" w:asciiTheme="majorEastAsia" w:hAnsiTheme="majorEastAsia" w:eastAsiaTheme="majorEastAsia" w:cstheme="majorEastAsia"/>
          <w:color w:val="auto"/>
          <w:highlight w:val="none"/>
          <w:lang w:val="en-US" w:eastAsia="zh-CN"/>
        </w:rPr>
        <w:t>辽宁省营口市北海经开区管委会办公楼10楼办公室103</w:t>
      </w:r>
      <w:r>
        <w:rPr>
          <w:rFonts w:hint="eastAsia" w:asciiTheme="majorEastAsia" w:hAnsiTheme="majorEastAsia" w:eastAsiaTheme="majorEastAsia" w:cstheme="majorEastAsia"/>
          <w:color w:val="auto"/>
          <w:highlight w:val="none"/>
        </w:rPr>
        <w:t xml:space="preserve">                             </w:t>
      </w:r>
    </w:p>
    <w:p w14:paraId="487C05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邮编：</w:t>
      </w:r>
      <w:r>
        <w:rPr>
          <w:rFonts w:hint="eastAsia" w:asciiTheme="majorEastAsia" w:hAnsiTheme="majorEastAsia" w:eastAsiaTheme="majorEastAsia" w:cstheme="majorEastAsia"/>
          <w:color w:val="auto"/>
          <w:highlight w:val="none"/>
          <w:u w:val="none"/>
          <w:lang w:val="en-US" w:eastAsia="zh-CN"/>
        </w:rPr>
        <w:t>/</w:t>
      </w:r>
    </w:p>
    <w:p w14:paraId="7D700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联系人：</w:t>
      </w:r>
      <w:r>
        <w:rPr>
          <w:rFonts w:hint="eastAsia" w:asciiTheme="majorEastAsia" w:hAnsiTheme="majorEastAsia" w:eastAsiaTheme="majorEastAsia" w:cstheme="majorEastAsia"/>
          <w:color w:val="auto"/>
          <w:highlight w:val="none"/>
          <w:lang w:val="en-US" w:eastAsia="zh-CN"/>
        </w:rPr>
        <w:t>赵阳</w:t>
      </w:r>
    </w:p>
    <w:p w14:paraId="2A3C1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电话：</w:t>
      </w:r>
      <w:r>
        <w:rPr>
          <w:rFonts w:hint="eastAsia" w:asciiTheme="majorEastAsia" w:hAnsiTheme="majorEastAsia" w:eastAsiaTheme="majorEastAsia" w:cstheme="majorEastAsia"/>
          <w:color w:val="auto"/>
          <w:highlight w:val="none"/>
          <w:lang w:val="en-US" w:eastAsia="zh-CN"/>
        </w:rPr>
        <w:t>18241762575</w:t>
      </w:r>
    </w:p>
    <w:p w14:paraId="431D87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电子邮件：/</w:t>
      </w:r>
    </w:p>
    <w:p w14:paraId="316342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招标代理机构：</w:t>
      </w:r>
      <w:r>
        <w:rPr>
          <w:rFonts w:hint="eastAsia" w:asciiTheme="majorEastAsia" w:hAnsiTheme="majorEastAsia" w:eastAsiaTheme="majorEastAsia" w:cstheme="majorEastAsia"/>
          <w:color w:val="auto"/>
          <w:highlight w:val="none"/>
          <w:lang w:val="en-US" w:eastAsia="zh-CN"/>
        </w:rPr>
        <w:t>辽宁咨发工程招标咨询服务有限公司</w:t>
      </w:r>
    </w:p>
    <w:p w14:paraId="2FF71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地址：沈阳市沈河区青年北大街51号银河国际大厦A座1207室</w:t>
      </w:r>
    </w:p>
    <w:p w14:paraId="524A4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联系人：</w:t>
      </w:r>
      <w:r>
        <w:rPr>
          <w:rFonts w:hint="eastAsia" w:asciiTheme="majorEastAsia" w:hAnsiTheme="majorEastAsia" w:eastAsiaTheme="majorEastAsia" w:cstheme="majorEastAsia"/>
          <w:color w:val="auto"/>
          <w:highlight w:val="none"/>
          <w:lang w:val="en-US" w:eastAsia="zh-CN"/>
        </w:rPr>
        <w:t>由春红、赵奇、薛晓东</w:t>
      </w:r>
    </w:p>
    <w:p w14:paraId="46F7F2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电话：</w:t>
      </w:r>
      <w:r>
        <w:rPr>
          <w:rFonts w:hint="eastAsia" w:asciiTheme="majorEastAsia" w:hAnsiTheme="majorEastAsia" w:eastAsiaTheme="majorEastAsia" w:cstheme="majorEastAsia"/>
          <w:color w:val="auto"/>
          <w:highlight w:val="none"/>
          <w:lang w:val="en-US" w:eastAsia="zh-CN"/>
        </w:rPr>
        <w:t>024-31679592-8889</w:t>
      </w:r>
    </w:p>
    <w:p w14:paraId="570B71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电子邮件：zfzbyb@163.com</w:t>
      </w:r>
    </w:p>
    <w:p w14:paraId="6FD67BE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default" w:ascii="Arial" w:hAnsi="Arial" w:eastAsia="宋体" w:cs="Arial"/>
          <w:color w:val="auto"/>
          <w:highlight w:val="none"/>
        </w:rPr>
        <w:t xml:space="preserve">                                         </w:t>
      </w:r>
      <w:r>
        <w:rPr>
          <w:color w:val="auto"/>
          <w:highlight w:val="none"/>
        </w:rPr>
        <w:t xml:space="preserve">           </w:t>
      </w:r>
    </w:p>
    <w:p w14:paraId="507708B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sectPr>
          <w:footerReference r:id="rId5" w:type="default"/>
          <w:pgSz w:w="11907" w:h="16839"/>
          <w:pgMar w:top="1431" w:right="1785" w:bottom="1151" w:left="1785" w:header="0" w:footer="990" w:gutter="0"/>
          <w:pgBorders>
            <w:top w:val="none" w:sz="0" w:space="0"/>
            <w:left w:val="none" w:sz="0" w:space="0"/>
            <w:bottom w:val="none" w:sz="0" w:space="0"/>
            <w:right w:val="none" w:sz="0" w:space="0"/>
          </w:pgBorders>
          <w:cols w:space="720" w:num="1"/>
        </w:sectPr>
      </w:pPr>
    </w:p>
    <w:p w14:paraId="4AE8BB31">
      <w:pPr>
        <w:rPr>
          <w:rFonts w:hint="eastAsia"/>
          <w:color w:val="auto"/>
          <w:highlight w:val="none"/>
        </w:rPr>
      </w:pPr>
      <w:bookmarkStart w:id="29" w:name="_Toc152265814"/>
      <w:bookmarkStart w:id="30" w:name="_Toc256000002"/>
    </w:p>
    <w:p w14:paraId="1526434A">
      <w:pPr>
        <w:rPr>
          <w:rFonts w:hint="eastAsia"/>
          <w:color w:val="auto"/>
          <w:highlight w:val="none"/>
        </w:rPr>
      </w:pPr>
    </w:p>
    <w:p w14:paraId="550AB8D6">
      <w:pPr>
        <w:rPr>
          <w:rFonts w:hint="eastAsia"/>
          <w:color w:val="auto"/>
          <w:highlight w:val="none"/>
        </w:rPr>
      </w:pPr>
    </w:p>
    <w:p w14:paraId="721A81B3">
      <w:pPr>
        <w:rPr>
          <w:rFonts w:hint="eastAsia"/>
          <w:color w:val="auto"/>
          <w:highlight w:val="none"/>
        </w:rPr>
      </w:pPr>
    </w:p>
    <w:p w14:paraId="13520612">
      <w:pPr>
        <w:rPr>
          <w:rFonts w:hint="eastAsia"/>
          <w:color w:val="auto"/>
          <w:highlight w:val="none"/>
        </w:rPr>
      </w:pPr>
    </w:p>
    <w:p w14:paraId="6CE59AFF">
      <w:pPr>
        <w:rPr>
          <w:rFonts w:hint="eastAsia"/>
          <w:color w:val="auto"/>
          <w:highlight w:val="none"/>
        </w:rPr>
      </w:pPr>
    </w:p>
    <w:p w14:paraId="1233E6E5">
      <w:pPr>
        <w:rPr>
          <w:rFonts w:hint="eastAsia"/>
          <w:color w:val="auto"/>
          <w:highlight w:val="none"/>
        </w:rPr>
      </w:pPr>
    </w:p>
    <w:p w14:paraId="47689D9D">
      <w:pPr>
        <w:rPr>
          <w:rFonts w:hint="eastAsia"/>
          <w:color w:val="auto"/>
          <w:highlight w:val="none"/>
        </w:rPr>
      </w:pPr>
    </w:p>
    <w:p w14:paraId="00AFA2CA">
      <w:pPr>
        <w:rPr>
          <w:rFonts w:hint="eastAsia"/>
          <w:color w:val="auto"/>
          <w:highlight w:val="none"/>
        </w:rPr>
      </w:pPr>
    </w:p>
    <w:p w14:paraId="51D5F4D9">
      <w:pPr>
        <w:rPr>
          <w:rFonts w:hint="eastAsia"/>
          <w:color w:val="auto"/>
          <w:highlight w:val="none"/>
        </w:rPr>
      </w:pPr>
    </w:p>
    <w:p w14:paraId="5C9DAB90">
      <w:pPr>
        <w:rPr>
          <w:rFonts w:hint="eastAsia"/>
          <w:color w:val="auto"/>
          <w:highlight w:val="none"/>
        </w:rPr>
      </w:pPr>
    </w:p>
    <w:p w14:paraId="467A2570">
      <w:pPr>
        <w:rPr>
          <w:rFonts w:hint="eastAsia"/>
          <w:color w:val="auto"/>
          <w:highlight w:val="none"/>
        </w:rPr>
      </w:pPr>
    </w:p>
    <w:p w14:paraId="77A50B63">
      <w:pPr>
        <w:rPr>
          <w:rFonts w:hint="eastAsia"/>
          <w:color w:val="auto"/>
          <w:highlight w:val="none"/>
        </w:rPr>
      </w:pPr>
    </w:p>
    <w:p w14:paraId="0429552F">
      <w:pPr>
        <w:rPr>
          <w:rFonts w:hint="eastAsia"/>
          <w:color w:val="auto"/>
          <w:highlight w:val="none"/>
        </w:rPr>
      </w:pPr>
    </w:p>
    <w:p w14:paraId="2B6A6878">
      <w:pPr>
        <w:rPr>
          <w:rFonts w:hint="eastAsia"/>
          <w:color w:val="auto"/>
          <w:highlight w:val="none"/>
        </w:rPr>
      </w:pPr>
    </w:p>
    <w:p w14:paraId="46FD312A">
      <w:pPr>
        <w:pStyle w:val="2"/>
        <w:spacing w:before="120" w:after="120" w:line="400" w:lineRule="exact"/>
        <w:jc w:val="center"/>
        <w:rPr>
          <w:rFonts w:hint="default" w:eastAsia="黑体"/>
          <w:color w:val="auto"/>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29"/>
      <w:r>
        <w:rPr>
          <w:rFonts w:hint="eastAsia" w:ascii="黑体" w:hAnsi="黑体" w:eastAsia="黑体"/>
          <w:b w:val="0"/>
          <w:bCs w:val="0"/>
          <w:color w:val="auto"/>
          <w:sz w:val="32"/>
          <w:highlight w:val="none"/>
          <w:lang w:val="en-US" w:eastAsia="zh-CN"/>
        </w:rPr>
        <w:t>投标人须知</w:t>
      </w:r>
      <w:bookmarkEnd w:id="30"/>
    </w:p>
    <w:p w14:paraId="54639297">
      <w:pPr>
        <w:jc w:val="center"/>
        <w:rPr>
          <w:rFonts w:hint="eastAsia" w:ascii="黑体" w:hAnsi="黑体" w:eastAsia="黑体" w:cs="黑体"/>
          <w:color w:val="auto"/>
          <w:sz w:val="32"/>
          <w:szCs w:val="32"/>
          <w:highlight w:val="none"/>
        </w:rPr>
      </w:pPr>
      <w:bookmarkStart w:id="31" w:name="_Toc152264301"/>
      <w:bookmarkStart w:id="32" w:name="_Hlk144975830"/>
      <w:bookmarkStart w:id="33" w:name="_Hlk144977074"/>
      <w:bookmarkStart w:id="34" w:name="_Toc165804275"/>
      <w:r>
        <w:rPr>
          <w:rFonts w:hint="eastAsia" w:ascii="黑体" w:hAnsi="黑体" w:eastAsia="黑体" w:cs="黑体"/>
          <w:color w:val="auto"/>
          <w:sz w:val="32"/>
          <w:szCs w:val="32"/>
          <w:highlight w:val="none"/>
        </w:rPr>
        <w:t>第二章  投标人须知</w:t>
      </w:r>
      <w:bookmarkEnd w:id="31"/>
    </w:p>
    <w:p w14:paraId="590E2F29">
      <w:pPr>
        <w:pStyle w:val="30"/>
        <w:jc w:val="center"/>
        <w:rPr>
          <w:color w:val="auto"/>
          <w:highlight w:val="none"/>
        </w:rPr>
      </w:pPr>
      <w:bookmarkStart w:id="35" w:name="_Toc256000003"/>
      <w:bookmarkStart w:id="36" w:name="_Toc152264302"/>
      <w:r>
        <w:rPr>
          <w:rFonts w:hint="eastAsia"/>
          <w:color w:val="auto"/>
          <w:highlight w:val="none"/>
        </w:rPr>
        <w:t>投标人须知前附表</w:t>
      </w:r>
      <w:bookmarkEnd w:id="32"/>
      <w:bookmarkEnd w:id="35"/>
      <w:bookmarkEnd w:id="36"/>
    </w:p>
    <w:tbl>
      <w:tblPr>
        <w:tblStyle w:val="23"/>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334"/>
        <w:gridCol w:w="5436"/>
      </w:tblGrid>
      <w:tr w14:paraId="3599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031465F5">
            <w:pPr>
              <w:spacing w:line="320" w:lineRule="exact"/>
              <w:jc w:val="center"/>
              <w:rPr>
                <w:b/>
                <w:color w:val="auto"/>
                <w:highlight w:val="none"/>
              </w:rPr>
            </w:pPr>
            <w:r>
              <w:rPr>
                <w:rFonts w:hint="eastAsia"/>
                <w:b/>
                <w:color w:val="auto"/>
                <w:highlight w:val="none"/>
              </w:rPr>
              <w:t>条款号</w:t>
            </w:r>
          </w:p>
        </w:tc>
        <w:tc>
          <w:tcPr>
            <w:tcW w:w="2334" w:type="dxa"/>
            <w:vAlign w:val="center"/>
          </w:tcPr>
          <w:p w14:paraId="679BCB22">
            <w:pPr>
              <w:spacing w:line="320" w:lineRule="exact"/>
              <w:jc w:val="center"/>
              <w:rPr>
                <w:b/>
                <w:color w:val="auto"/>
                <w:highlight w:val="none"/>
              </w:rPr>
            </w:pPr>
            <w:r>
              <w:rPr>
                <w:rFonts w:hint="eastAsia"/>
                <w:b/>
                <w:color w:val="auto"/>
                <w:highlight w:val="none"/>
              </w:rPr>
              <w:t>条  款  名  称</w:t>
            </w:r>
          </w:p>
        </w:tc>
        <w:tc>
          <w:tcPr>
            <w:tcW w:w="5436" w:type="dxa"/>
            <w:vAlign w:val="center"/>
          </w:tcPr>
          <w:p w14:paraId="4F6D4787">
            <w:pPr>
              <w:spacing w:line="320" w:lineRule="exact"/>
              <w:jc w:val="center"/>
              <w:rPr>
                <w:b/>
                <w:color w:val="auto"/>
                <w:highlight w:val="none"/>
              </w:rPr>
            </w:pPr>
            <w:r>
              <w:rPr>
                <w:rFonts w:hint="eastAsia"/>
                <w:b/>
                <w:color w:val="auto"/>
                <w:highlight w:val="none"/>
              </w:rPr>
              <w:t>编  列  内  容</w:t>
            </w:r>
          </w:p>
        </w:tc>
      </w:tr>
      <w:tr w14:paraId="2856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EAD2FC7">
            <w:pPr>
              <w:spacing w:line="320" w:lineRule="exact"/>
              <w:jc w:val="center"/>
              <w:rPr>
                <w:color w:val="auto"/>
                <w:highlight w:val="none"/>
              </w:rPr>
            </w:pPr>
            <w:r>
              <w:rPr>
                <w:rFonts w:hint="eastAsia"/>
                <w:color w:val="auto"/>
                <w:highlight w:val="none"/>
              </w:rPr>
              <w:t>1.1.2</w:t>
            </w:r>
          </w:p>
        </w:tc>
        <w:tc>
          <w:tcPr>
            <w:tcW w:w="2334" w:type="dxa"/>
            <w:vAlign w:val="center"/>
          </w:tcPr>
          <w:p w14:paraId="223CA022">
            <w:pPr>
              <w:spacing w:line="320" w:lineRule="exact"/>
              <w:jc w:val="center"/>
              <w:rPr>
                <w:color w:val="auto"/>
                <w:highlight w:val="none"/>
              </w:rPr>
            </w:pPr>
            <w:r>
              <w:rPr>
                <w:rFonts w:hint="eastAsia"/>
                <w:color w:val="auto"/>
                <w:highlight w:val="none"/>
              </w:rPr>
              <w:t>招标人</w:t>
            </w:r>
          </w:p>
        </w:tc>
        <w:tc>
          <w:tcPr>
            <w:tcW w:w="5436" w:type="dxa"/>
            <w:vAlign w:val="center"/>
          </w:tcPr>
          <w:p w14:paraId="2D0B962C">
            <w:pPr>
              <w:spacing w:line="320" w:lineRule="exact"/>
              <w:jc w:val="left"/>
              <w:rPr>
                <w:rFonts w:hint="eastAsia"/>
                <w:color w:val="auto"/>
                <w:highlight w:val="none"/>
                <w:lang w:eastAsia="zh-CN"/>
              </w:rPr>
            </w:pPr>
            <w:r>
              <w:rPr>
                <w:rFonts w:hint="eastAsia"/>
                <w:color w:val="auto"/>
                <w:highlight w:val="none"/>
                <w:lang w:eastAsia="zh-CN"/>
              </w:rPr>
              <w:t>名称：营口国盛轩宇产业开发建设有限公司</w:t>
            </w:r>
          </w:p>
          <w:p w14:paraId="738C2091">
            <w:pPr>
              <w:spacing w:line="320" w:lineRule="exact"/>
              <w:jc w:val="left"/>
              <w:rPr>
                <w:rFonts w:hint="eastAsia"/>
                <w:color w:val="auto"/>
                <w:highlight w:val="none"/>
                <w:lang w:eastAsia="zh-CN"/>
              </w:rPr>
            </w:pPr>
            <w:r>
              <w:rPr>
                <w:rFonts w:hint="eastAsia"/>
                <w:color w:val="auto"/>
                <w:highlight w:val="none"/>
                <w:lang w:eastAsia="zh-CN"/>
              </w:rPr>
              <w:t>地址：</w:t>
            </w:r>
            <w:r>
              <w:rPr>
                <w:rFonts w:hint="eastAsia" w:asciiTheme="majorEastAsia" w:hAnsiTheme="majorEastAsia" w:eastAsiaTheme="majorEastAsia" w:cstheme="majorEastAsia"/>
                <w:color w:val="auto"/>
                <w:highlight w:val="none"/>
                <w:lang w:val="en-US" w:eastAsia="zh-CN"/>
              </w:rPr>
              <w:t>辽宁省营口市北海经开区管委会办公楼10楼办公室103</w:t>
            </w:r>
          </w:p>
          <w:p w14:paraId="05AEAE12">
            <w:pPr>
              <w:spacing w:line="320" w:lineRule="exact"/>
              <w:jc w:val="left"/>
              <w:rPr>
                <w:color w:val="auto"/>
                <w:highlight w:val="none"/>
              </w:rPr>
            </w:pPr>
            <w:r>
              <w:rPr>
                <w:rFonts w:hint="eastAsia"/>
                <w:color w:val="auto"/>
                <w:highlight w:val="none"/>
              </w:rPr>
              <w:t>联系人：</w:t>
            </w:r>
            <w:r>
              <w:rPr>
                <w:rFonts w:hint="eastAsia" w:asciiTheme="majorEastAsia" w:hAnsiTheme="majorEastAsia" w:eastAsiaTheme="majorEastAsia" w:cstheme="majorEastAsia"/>
                <w:color w:val="auto"/>
                <w:highlight w:val="none"/>
                <w:lang w:val="en-US" w:eastAsia="zh-CN"/>
              </w:rPr>
              <w:t>赵阳</w:t>
            </w:r>
          </w:p>
          <w:p w14:paraId="335270B2">
            <w:pPr>
              <w:spacing w:line="320" w:lineRule="exact"/>
              <w:jc w:val="left"/>
              <w:rPr>
                <w:color w:val="auto"/>
                <w:highlight w:val="none"/>
              </w:rPr>
            </w:pPr>
            <w:r>
              <w:rPr>
                <w:rFonts w:hint="eastAsia"/>
                <w:color w:val="auto"/>
                <w:highlight w:val="none"/>
              </w:rPr>
              <w:t>电话：</w:t>
            </w:r>
            <w:r>
              <w:rPr>
                <w:rFonts w:hint="eastAsia" w:asciiTheme="majorEastAsia" w:hAnsiTheme="majorEastAsia" w:eastAsiaTheme="majorEastAsia" w:cstheme="majorEastAsia"/>
                <w:color w:val="auto"/>
                <w:highlight w:val="none"/>
                <w:lang w:val="en-US" w:eastAsia="zh-CN"/>
              </w:rPr>
              <w:t>18241762575</w:t>
            </w:r>
          </w:p>
          <w:p w14:paraId="34AFF52B">
            <w:pPr>
              <w:spacing w:line="320" w:lineRule="exact"/>
              <w:jc w:val="left"/>
              <w:rPr>
                <w:color w:val="auto"/>
                <w:highlight w:val="none"/>
              </w:rPr>
            </w:pPr>
            <w:r>
              <w:rPr>
                <w:rFonts w:hint="eastAsia"/>
                <w:color w:val="auto"/>
                <w:highlight w:val="none"/>
              </w:rPr>
              <w:t>电子邮件：/</w:t>
            </w:r>
          </w:p>
          <w:p w14:paraId="233DC979">
            <w:pPr>
              <w:spacing w:line="320" w:lineRule="exact"/>
              <w:jc w:val="left"/>
              <w:rPr>
                <w:color w:val="auto"/>
                <w:highlight w:val="none"/>
              </w:rPr>
            </w:pPr>
            <w:r>
              <w:rPr>
                <w:rFonts w:hint="eastAsia"/>
                <w:color w:val="auto"/>
                <w:highlight w:val="none"/>
              </w:rPr>
              <w:t>项目负责人姓名及联系方式：</w:t>
            </w:r>
          </w:p>
          <w:p w14:paraId="0ACB9AA6">
            <w:pPr>
              <w:spacing w:line="320" w:lineRule="exact"/>
              <w:jc w:val="left"/>
              <w:rPr>
                <w:color w:val="auto"/>
                <w:highlight w:val="none"/>
              </w:rPr>
            </w:pPr>
            <w:r>
              <w:rPr>
                <w:rFonts w:hint="eastAsia"/>
                <w:color w:val="auto"/>
                <w:highlight w:val="none"/>
              </w:rPr>
              <w:t>姓名：</w:t>
            </w:r>
            <w:r>
              <w:rPr>
                <w:rFonts w:hint="eastAsia" w:asciiTheme="majorEastAsia" w:hAnsiTheme="majorEastAsia" w:eastAsiaTheme="majorEastAsia" w:cstheme="majorEastAsia"/>
                <w:color w:val="auto"/>
                <w:highlight w:val="none"/>
                <w:lang w:val="en-US" w:eastAsia="zh-CN"/>
              </w:rPr>
              <w:t>赵阳</w:t>
            </w:r>
            <w:r>
              <w:rPr>
                <w:rFonts w:hint="eastAsia"/>
                <w:color w:val="auto"/>
                <w:highlight w:val="none"/>
              </w:rPr>
              <w:t xml:space="preserve">      电话：</w:t>
            </w:r>
            <w:r>
              <w:rPr>
                <w:rFonts w:hint="eastAsia" w:asciiTheme="majorEastAsia" w:hAnsiTheme="majorEastAsia" w:eastAsiaTheme="majorEastAsia" w:cstheme="majorEastAsia"/>
                <w:color w:val="auto"/>
                <w:highlight w:val="none"/>
                <w:lang w:val="en-US" w:eastAsia="zh-CN"/>
              </w:rPr>
              <w:t>18241762575</w:t>
            </w:r>
          </w:p>
        </w:tc>
      </w:tr>
      <w:tr w14:paraId="64DE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29CDEBDD">
            <w:pPr>
              <w:spacing w:line="320" w:lineRule="exact"/>
              <w:jc w:val="center"/>
              <w:rPr>
                <w:color w:val="auto"/>
                <w:highlight w:val="none"/>
              </w:rPr>
            </w:pPr>
            <w:r>
              <w:rPr>
                <w:rFonts w:hint="eastAsia"/>
                <w:color w:val="auto"/>
                <w:highlight w:val="none"/>
              </w:rPr>
              <w:t>1.1.3</w:t>
            </w:r>
          </w:p>
        </w:tc>
        <w:tc>
          <w:tcPr>
            <w:tcW w:w="2334" w:type="dxa"/>
            <w:vAlign w:val="center"/>
          </w:tcPr>
          <w:p w14:paraId="69F2BA94">
            <w:pPr>
              <w:spacing w:line="320" w:lineRule="exact"/>
              <w:jc w:val="center"/>
              <w:rPr>
                <w:color w:val="auto"/>
                <w:highlight w:val="none"/>
              </w:rPr>
            </w:pPr>
            <w:r>
              <w:rPr>
                <w:rFonts w:hint="eastAsia"/>
                <w:color w:val="auto"/>
                <w:highlight w:val="none"/>
              </w:rPr>
              <w:t>招标代理机构</w:t>
            </w:r>
          </w:p>
        </w:tc>
        <w:tc>
          <w:tcPr>
            <w:tcW w:w="5436" w:type="dxa"/>
            <w:vAlign w:val="center"/>
          </w:tcPr>
          <w:p w14:paraId="07F985E9">
            <w:pPr>
              <w:spacing w:line="320" w:lineRule="exact"/>
              <w:jc w:val="left"/>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辽宁咨发工程招标咨询服务有限公司</w:t>
            </w:r>
          </w:p>
          <w:p w14:paraId="03DFEA02">
            <w:pPr>
              <w:spacing w:line="320" w:lineRule="exact"/>
              <w:jc w:val="left"/>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沈阳市沈河区青年北大街51号银河国际大厦A座1207室</w:t>
            </w:r>
          </w:p>
          <w:p w14:paraId="51C69421">
            <w:pPr>
              <w:spacing w:line="320" w:lineRule="exact"/>
              <w:jc w:val="left"/>
              <w:rPr>
                <w:rFonts w:hint="eastAsia" w:eastAsia="宋体"/>
                <w:color w:val="auto"/>
                <w:highlight w:val="none"/>
                <w:lang w:eastAsia="zh-CN"/>
              </w:rPr>
            </w:pPr>
            <w:r>
              <w:rPr>
                <w:rFonts w:hint="eastAsia"/>
                <w:color w:val="auto"/>
                <w:highlight w:val="none"/>
              </w:rPr>
              <w:t>联系人：</w:t>
            </w:r>
            <w:r>
              <w:rPr>
                <w:rFonts w:hint="eastAsia"/>
                <w:color w:val="auto"/>
                <w:highlight w:val="none"/>
                <w:lang w:val="en-US" w:eastAsia="zh-CN"/>
              </w:rPr>
              <w:t>由春红、赵奇、薛晓东</w:t>
            </w:r>
          </w:p>
          <w:p w14:paraId="789B8FD0">
            <w:pPr>
              <w:spacing w:line="320" w:lineRule="exact"/>
              <w:jc w:val="left"/>
              <w:rPr>
                <w:rFonts w:hint="eastAsia" w:eastAsia="宋体"/>
                <w:color w:val="auto"/>
                <w:highlight w:val="none"/>
                <w:lang w:val="en-US" w:eastAsia="zh-CN"/>
              </w:rPr>
            </w:pPr>
            <w:r>
              <w:rPr>
                <w:rFonts w:hint="eastAsia"/>
                <w:color w:val="auto"/>
                <w:highlight w:val="none"/>
              </w:rPr>
              <w:t>电话：</w:t>
            </w:r>
            <w:r>
              <w:rPr>
                <w:rFonts w:hint="eastAsia"/>
                <w:color w:val="auto"/>
                <w:highlight w:val="none"/>
                <w:lang w:eastAsia="zh-CN"/>
              </w:rPr>
              <w:t>024-31679592-8889</w:t>
            </w:r>
          </w:p>
          <w:p w14:paraId="2193B5C9">
            <w:pPr>
              <w:spacing w:line="320" w:lineRule="exact"/>
              <w:jc w:val="left"/>
              <w:rPr>
                <w:color w:val="auto"/>
                <w:highlight w:val="none"/>
              </w:rPr>
            </w:pPr>
            <w:r>
              <w:rPr>
                <w:rFonts w:hint="eastAsia"/>
                <w:color w:val="auto"/>
                <w:highlight w:val="none"/>
              </w:rPr>
              <w:t>电子邮件：</w:t>
            </w:r>
            <w:r>
              <w:rPr>
                <w:rFonts w:hint="eastAsia" w:asciiTheme="majorEastAsia" w:hAnsiTheme="majorEastAsia" w:eastAsiaTheme="majorEastAsia" w:cstheme="majorEastAsia"/>
                <w:color w:val="auto"/>
                <w:highlight w:val="none"/>
                <w:lang w:val="en-US" w:eastAsia="zh-CN"/>
              </w:rPr>
              <w:t>zfzbyb@163.com</w:t>
            </w:r>
          </w:p>
          <w:p w14:paraId="48902588">
            <w:pPr>
              <w:spacing w:line="320" w:lineRule="exact"/>
              <w:jc w:val="left"/>
              <w:rPr>
                <w:b/>
                <w:bCs/>
                <w:color w:val="auto"/>
                <w:highlight w:val="none"/>
              </w:rPr>
            </w:pPr>
            <w:r>
              <w:rPr>
                <w:rFonts w:hint="eastAsia"/>
                <w:color w:val="auto"/>
                <w:highlight w:val="none"/>
              </w:rPr>
              <w:t>项目负责人姓名及联系方式：</w:t>
            </w:r>
          </w:p>
          <w:p w14:paraId="09AEDCC1">
            <w:pPr>
              <w:spacing w:line="320" w:lineRule="exact"/>
              <w:jc w:val="left"/>
              <w:rPr>
                <w:rFonts w:hint="eastAsia" w:eastAsia="宋体"/>
                <w:color w:val="auto"/>
                <w:highlight w:val="none"/>
                <w:lang w:eastAsia="zh-CN"/>
              </w:rPr>
            </w:pPr>
            <w:r>
              <w:rPr>
                <w:rFonts w:hint="eastAsia"/>
                <w:color w:val="auto"/>
                <w:highlight w:val="none"/>
              </w:rPr>
              <w:t>姓名：</w:t>
            </w:r>
            <w:r>
              <w:rPr>
                <w:rFonts w:hint="eastAsia"/>
                <w:color w:val="auto"/>
                <w:highlight w:val="none"/>
                <w:lang w:val="en-US" w:eastAsia="zh-CN"/>
              </w:rPr>
              <w:t>由春红、赵奇、薛晓东</w:t>
            </w:r>
            <w:r>
              <w:rPr>
                <w:rFonts w:hint="eastAsia"/>
                <w:color w:val="auto"/>
                <w:highlight w:val="none"/>
              </w:rPr>
              <w:t xml:space="preserve">  电话：</w:t>
            </w:r>
            <w:r>
              <w:rPr>
                <w:rFonts w:hint="eastAsia"/>
                <w:color w:val="auto"/>
                <w:highlight w:val="none"/>
                <w:lang w:eastAsia="zh-CN"/>
              </w:rPr>
              <w:t>024-31679592-8889</w:t>
            </w:r>
          </w:p>
        </w:tc>
      </w:tr>
      <w:tr w14:paraId="510C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291480B">
            <w:pPr>
              <w:spacing w:line="320" w:lineRule="exact"/>
              <w:jc w:val="center"/>
              <w:rPr>
                <w:color w:val="auto"/>
                <w:highlight w:val="none"/>
              </w:rPr>
            </w:pPr>
            <w:r>
              <w:rPr>
                <w:rFonts w:hint="eastAsia"/>
                <w:color w:val="auto"/>
                <w:highlight w:val="none"/>
              </w:rPr>
              <w:t>1.1.4</w:t>
            </w:r>
          </w:p>
        </w:tc>
        <w:tc>
          <w:tcPr>
            <w:tcW w:w="2334" w:type="dxa"/>
            <w:vAlign w:val="center"/>
          </w:tcPr>
          <w:p w14:paraId="2265B27E">
            <w:pPr>
              <w:spacing w:line="320" w:lineRule="exact"/>
              <w:jc w:val="center"/>
              <w:rPr>
                <w:color w:val="auto"/>
                <w:highlight w:val="none"/>
              </w:rPr>
            </w:pPr>
            <w:bookmarkStart w:id="37" w:name="_Hlk154489467"/>
            <w:r>
              <w:rPr>
                <w:rFonts w:hint="eastAsia" w:ascii="宋体" w:hAnsi="宋体"/>
                <w:color w:val="auto"/>
                <w:szCs w:val="21"/>
                <w:highlight w:val="none"/>
              </w:rPr>
              <w:t>标段</w:t>
            </w:r>
            <w:bookmarkEnd w:id="37"/>
            <w:r>
              <w:rPr>
                <w:rFonts w:hint="eastAsia"/>
                <w:color w:val="auto"/>
                <w:highlight w:val="none"/>
              </w:rPr>
              <w:t>项目名称</w:t>
            </w:r>
          </w:p>
        </w:tc>
        <w:tc>
          <w:tcPr>
            <w:tcW w:w="5436" w:type="dxa"/>
            <w:vAlign w:val="center"/>
          </w:tcPr>
          <w:p w14:paraId="7AD5042C">
            <w:pPr>
              <w:spacing w:line="320" w:lineRule="exact"/>
              <w:jc w:val="left"/>
              <w:rPr>
                <w:rFonts w:hint="eastAsia" w:eastAsia="宋体"/>
                <w:color w:val="auto"/>
                <w:highlight w:val="none"/>
                <w:lang w:eastAsia="zh-CN"/>
              </w:rPr>
            </w:pPr>
            <w:r>
              <w:rPr>
                <w:rFonts w:hint="eastAsia"/>
                <w:color w:val="auto"/>
                <w:highlight w:val="none"/>
                <w:lang w:eastAsia="zh-CN"/>
              </w:rPr>
              <w:t>营口国盛轩宇产业开发建设有限公司清洁能源高端装备制造产业基地基础设施配套项目（一标段）EPC工程总承包</w:t>
            </w:r>
          </w:p>
        </w:tc>
      </w:tr>
      <w:tr w14:paraId="1A37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0ADFC20">
            <w:pPr>
              <w:spacing w:line="320" w:lineRule="exact"/>
              <w:jc w:val="center"/>
              <w:rPr>
                <w:color w:val="auto"/>
                <w:highlight w:val="none"/>
              </w:rPr>
            </w:pPr>
            <w:r>
              <w:rPr>
                <w:rFonts w:hint="eastAsia"/>
                <w:color w:val="auto"/>
                <w:highlight w:val="none"/>
              </w:rPr>
              <w:t>1.1.5</w:t>
            </w:r>
          </w:p>
        </w:tc>
        <w:tc>
          <w:tcPr>
            <w:tcW w:w="2334" w:type="dxa"/>
            <w:vAlign w:val="center"/>
          </w:tcPr>
          <w:p w14:paraId="765B8470">
            <w:pPr>
              <w:spacing w:line="320" w:lineRule="exact"/>
              <w:jc w:val="center"/>
              <w:rPr>
                <w:color w:val="auto"/>
                <w:highlight w:val="none"/>
              </w:rPr>
            </w:pPr>
            <w:r>
              <w:rPr>
                <w:rFonts w:hint="eastAsia"/>
                <w:color w:val="auto"/>
                <w:highlight w:val="none"/>
              </w:rPr>
              <w:t>建设地点</w:t>
            </w:r>
          </w:p>
        </w:tc>
        <w:tc>
          <w:tcPr>
            <w:tcW w:w="5436" w:type="dxa"/>
            <w:vAlign w:val="center"/>
          </w:tcPr>
          <w:p w14:paraId="72BB2CEE">
            <w:pPr>
              <w:spacing w:line="320" w:lineRule="exact"/>
              <w:jc w:val="left"/>
              <w:rPr>
                <w:color w:val="auto"/>
                <w:highlight w:val="none"/>
              </w:rPr>
            </w:pPr>
            <w:r>
              <w:rPr>
                <w:rFonts w:hint="eastAsia" w:asciiTheme="majorEastAsia" w:hAnsiTheme="majorEastAsia" w:eastAsiaTheme="majorEastAsia" w:cstheme="majorEastAsia"/>
                <w:color w:val="auto"/>
                <w:highlight w:val="none"/>
                <w:u w:val="none"/>
              </w:rPr>
              <w:t>辽宁省营口市北海新区滨海公路以西，辽东湾以东</w:t>
            </w:r>
          </w:p>
        </w:tc>
      </w:tr>
      <w:tr w14:paraId="0792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0D472BB">
            <w:pPr>
              <w:spacing w:line="320" w:lineRule="exact"/>
              <w:jc w:val="center"/>
              <w:rPr>
                <w:color w:val="auto"/>
                <w:highlight w:val="none"/>
              </w:rPr>
            </w:pPr>
            <w:r>
              <w:rPr>
                <w:rFonts w:hint="eastAsia"/>
                <w:color w:val="auto"/>
                <w:highlight w:val="none"/>
              </w:rPr>
              <w:t>1.1.6</w:t>
            </w:r>
          </w:p>
        </w:tc>
        <w:tc>
          <w:tcPr>
            <w:tcW w:w="2334" w:type="dxa"/>
            <w:vAlign w:val="center"/>
          </w:tcPr>
          <w:p w14:paraId="253E6593">
            <w:pPr>
              <w:spacing w:line="320" w:lineRule="exact"/>
              <w:jc w:val="center"/>
              <w:rPr>
                <w:color w:val="auto"/>
                <w:highlight w:val="none"/>
              </w:rPr>
            </w:pPr>
            <w:r>
              <w:rPr>
                <w:color w:val="auto"/>
                <w:szCs w:val="21"/>
                <w:highlight w:val="none"/>
              </w:rPr>
              <w:t>项目建设规模</w:t>
            </w:r>
          </w:p>
        </w:tc>
        <w:tc>
          <w:tcPr>
            <w:tcW w:w="5436" w:type="dxa"/>
            <w:vAlign w:val="center"/>
          </w:tcPr>
          <w:p w14:paraId="5B2C330F">
            <w:pPr>
              <w:spacing w:line="320" w:lineRule="exact"/>
              <w:jc w:val="left"/>
              <w:rPr>
                <w:rFonts w:hint="eastAsia" w:eastAsia="宋体"/>
                <w:color w:val="auto"/>
                <w:highlight w:val="none"/>
                <w:lang w:eastAsia="zh-CN"/>
              </w:rPr>
            </w:pPr>
            <w:r>
              <w:rPr>
                <w:rFonts w:hint="eastAsia" w:asciiTheme="majorEastAsia" w:hAnsiTheme="majorEastAsia" w:eastAsiaTheme="majorEastAsia" w:cstheme="majorEastAsia"/>
                <w:color w:val="auto"/>
                <w:highlight w:val="none"/>
                <w:u w:val="none"/>
              </w:rPr>
              <w:t>规划用地面积64168㎡（96.25亩），总建筑面积16297.99㎡，规划建设原材料存放区、制造车间、防腐车间、宿舍食堂及相关道路、绿化、堆场等。其中：制造车间建筑面积10390.25㎡，建筑高度24.65m，地上一层；防腐车间建筑面积1911.52㎡，建筑高度17.45m，地上一层；宿舍食堂办公建筑面积3996.22㎡，建筑高度13.60m，地上三层；钢结构最大跨度：制造车间钢结构最大单跨度约36m。</w:t>
            </w:r>
          </w:p>
        </w:tc>
      </w:tr>
      <w:tr w14:paraId="0557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7491A6D">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7</w:t>
            </w:r>
          </w:p>
        </w:tc>
        <w:tc>
          <w:tcPr>
            <w:tcW w:w="2334" w:type="dxa"/>
            <w:vAlign w:val="center"/>
          </w:tcPr>
          <w:p w14:paraId="787E3F46">
            <w:pPr>
              <w:spacing w:line="320" w:lineRule="exact"/>
              <w:jc w:val="center"/>
              <w:rPr>
                <w:color w:val="auto"/>
                <w:highlight w:val="none"/>
              </w:rPr>
            </w:pPr>
            <w:r>
              <w:rPr>
                <w:rFonts w:hint="eastAsia"/>
                <w:color w:val="auto"/>
                <w:highlight w:val="none"/>
              </w:rPr>
              <w:t>项目投资估算</w:t>
            </w:r>
          </w:p>
        </w:tc>
        <w:tc>
          <w:tcPr>
            <w:tcW w:w="5436" w:type="dxa"/>
            <w:vAlign w:val="center"/>
          </w:tcPr>
          <w:p w14:paraId="11973C1B">
            <w:pPr>
              <w:spacing w:line="320" w:lineRule="exact"/>
              <w:jc w:val="left"/>
              <w:rPr>
                <w:color w:val="auto"/>
                <w:highlight w:val="none"/>
              </w:rPr>
            </w:pPr>
            <w:r>
              <w:rPr>
                <w:rFonts w:hint="eastAsia"/>
                <w:color w:val="auto"/>
                <w:highlight w:val="none"/>
                <w:lang w:val="en-US" w:eastAsia="zh-CN"/>
              </w:rPr>
              <w:t>120903.85</w:t>
            </w:r>
            <w:r>
              <w:rPr>
                <w:rFonts w:hint="eastAsia"/>
                <w:color w:val="auto"/>
                <w:highlight w:val="none"/>
              </w:rPr>
              <w:t>万元</w:t>
            </w:r>
          </w:p>
        </w:tc>
      </w:tr>
      <w:tr w14:paraId="7B8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EB39902">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8</w:t>
            </w:r>
          </w:p>
        </w:tc>
        <w:tc>
          <w:tcPr>
            <w:tcW w:w="2334" w:type="dxa"/>
            <w:vAlign w:val="center"/>
          </w:tcPr>
          <w:p w14:paraId="52770283">
            <w:pPr>
              <w:spacing w:line="320" w:lineRule="exact"/>
              <w:jc w:val="center"/>
              <w:rPr>
                <w:color w:val="auto"/>
                <w:highlight w:val="none"/>
              </w:rPr>
            </w:pPr>
            <w:r>
              <w:rPr>
                <w:rFonts w:hint="eastAsia"/>
                <w:color w:val="auto"/>
                <w:highlight w:val="none"/>
              </w:rPr>
              <w:t>电子交易系统</w:t>
            </w:r>
          </w:p>
        </w:tc>
        <w:tc>
          <w:tcPr>
            <w:tcW w:w="5436" w:type="dxa"/>
            <w:vAlign w:val="center"/>
          </w:tcPr>
          <w:p w14:paraId="24B8041F">
            <w:pPr>
              <w:spacing w:line="320" w:lineRule="exact"/>
              <w:jc w:val="left"/>
              <w:rPr>
                <w:color w:val="auto"/>
                <w:highlight w:val="none"/>
              </w:rPr>
            </w:pPr>
            <w:r>
              <w:rPr>
                <w:rFonts w:hint="eastAsia"/>
                <w:color w:val="auto"/>
                <w:highlight w:val="none"/>
              </w:rPr>
              <w:t>辽宁省房屋建筑和市政工程电子交易系统（工程咨询）</w:t>
            </w:r>
          </w:p>
        </w:tc>
      </w:tr>
      <w:tr w14:paraId="2BD2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5538B8E">
            <w:pPr>
              <w:spacing w:line="320" w:lineRule="exact"/>
              <w:jc w:val="center"/>
              <w:rPr>
                <w:color w:val="auto"/>
                <w:highlight w:val="none"/>
              </w:rPr>
            </w:pPr>
            <w:r>
              <w:rPr>
                <w:rFonts w:hint="eastAsia"/>
                <w:color w:val="auto"/>
                <w:highlight w:val="none"/>
              </w:rPr>
              <w:t>1.2.1</w:t>
            </w:r>
          </w:p>
        </w:tc>
        <w:tc>
          <w:tcPr>
            <w:tcW w:w="2334" w:type="dxa"/>
            <w:vAlign w:val="center"/>
          </w:tcPr>
          <w:p w14:paraId="58BB67D5">
            <w:pPr>
              <w:spacing w:line="320" w:lineRule="exact"/>
              <w:jc w:val="center"/>
              <w:rPr>
                <w:color w:val="auto"/>
                <w:highlight w:val="none"/>
              </w:rPr>
            </w:pPr>
            <w:r>
              <w:rPr>
                <w:rFonts w:hint="eastAsia"/>
                <w:color w:val="auto"/>
                <w:highlight w:val="none"/>
              </w:rPr>
              <w:t>资金来源及比例</w:t>
            </w:r>
          </w:p>
        </w:tc>
        <w:tc>
          <w:tcPr>
            <w:tcW w:w="5436" w:type="dxa"/>
            <w:vAlign w:val="center"/>
          </w:tcPr>
          <w:p w14:paraId="072B21B9">
            <w:pPr>
              <w:spacing w:line="320" w:lineRule="exact"/>
              <w:jc w:val="left"/>
              <w:rPr>
                <w:color w:val="auto"/>
                <w:highlight w:val="none"/>
              </w:rPr>
            </w:pPr>
            <w:r>
              <w:rPr>
                <w:rFonts w:hint="eastAsia"/>
                <w:color w:val="auto"/>
                <w:highlight w:val="none"/>
                <w:lang w:val="en-US" w:eastAsia="zh-CN"/>
              </w:rPr>
              <w:t>企业自筹</w:t>
            </w:r>
            <w:r>
              <w:rPr>
                <w:rFonts w:hint="eastAsia"/>
                <w:color w:val="auto"/>
                <w:highlight w:val="none"/>
                <w:lang w:eastAsia="zh-CN"/>
              </w:rPr>
              <w:t>；</w:t>
            </w:r>
            <w:r>
              <w:rPr>
                <w:rFonts w:hint="eastAsia"/>
                <w:color w:val="auto"/>
                <w:highlight w:val="none"/>
                <w:lang w:val="en-US" w:eastAsia="zh-CN"/>
              </w:rPr>
              <w:t>100%</w:t>
            </w:r>
          </w:p>
        </w:tc>
      </w:tr>
      <w:tr w14:paraId="6802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627AAC2">
            <w:pPr>
              <w:spacing w:line="320" w:lineRule="exact"/>
              <w:jc w:val="center"/>
              <w:rPr>
                <w:color w:val="auto"/>
                <w:highlight w:val="none"/>
              </w:rPr>
            </w:pPr>
            <w:r>
              <w:rPr>
                <w:rFonts w:hint="eastAsia"/>
                <w:color w:val="auto"/>
                <w:highlight w:val="none"/>
              </w:rPr>
              <w:t>1</w:t>
            </w:r>
            <w:r>
              <w:rPr>
                <w:color w:val="auto"/>
                <w:highlight w:val="none"/>
              </w:rPr>
              <w:t>.2.</w:t>
            </w:r>
            <w:r>
              <w:rPr>
                <w:rFonts w:hint="eastAsia"/>
                <w:color w:val="auto"/>
                <w:highlight w:val="none"/>
              </w:rPr>
              <w:t>2</w:t>
            </w:r>
          </w:p>
        </w:tc>
        <w:tc>
          <w:tcPr>
            <w:tcW w:w="2334" w:type="dxa"/>
            <w:vAlign w:val="center"/>
          </w:tcPr>
          <w:p w14:paraId="72336E1E">
            <w:pPr>
              <w:spacing w:line="320" w:lineRule="exact"/>
              <w:jc w:val="center"/>
              <w:rPr>
                <w:color w:val="auto"/>
                <w:highlight w:val="none"/>
              </w:rPr>
            </w:pPr>
            <w:r>
              <w:rPr>
                <w:rFonts w:hint="eastAsia"/>
                <w:color w:val="auto"/>
                <w:highlight w:val="none"/>
              </w:rPr>
              <w:t>标段合同估算价</w:t>
            </w:r>
          </w:p>
        </w:tc>
        <w:tc>
          <w:tcPr>
            <w:tcW w:w="5436" w:type="dxa"/>
            <w:vAlign w:val="center"/>
          </w:tcPr>
          <w:p w14:paraId="52647231">
            <w:pPr>
              <w:spacing w:line="320" w:lineRule="exact"/>
              <w:jc w:val="left"/>
              <w:rPr>
                <w:color w:val="auto"/>
                <w:highlight w:val="none"/>
              </w:rPr>
            </w:pPr>
            <w:r>
              <w:rPr>
                <w:rFonts w:hint="eastAsia"/>
                <w:color w:val="auto"/>
                <w:highlight w:val="none"/>
                <w:u w:val="single"/>
                <w:lang w:val="en-US" w:eastAsia="zh-CN"/>
              </w:rPr>
              <w:t>12841.99</w:t>
            </w:r>
            <w:r>
              <w:rPr>
                <w:rFonts w:hint="eastAsia"/>
                <w:color w:val="auto"/>
                <w:highlight w:val="none"/>
                <w:u w:val="none"/>
              </w:rPr>
              <w:t>万元</w:t>
            </w:r>
          </w:p>
        </w:tc>
      </w:tr>
      <w:tr w14:paraId="6665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2E636C7">
            <w:pPr>
              <w:spacing w:line="320" w:lineRule="exact"/>
              <w:jc w:val="center"/>
              <w:rPr>
                <w:color w:val="auto"/>
                <w:highlight w:val="none"/>
              </w:rPr>
            </w:pPr>
            <w:r>
              <w:rPr>
                <w:rFonts w:hint="eastAsia"/>
                <w:color w:val="auto"/>
                <w:highlight w:val="none"/>
              </w:rPr>
              <w:t>1.2.3</w:t>
            </w:r>
          </w:p>
        </w:tc>
        <w:tc>
          <w:tcPr>
            <w:tcW w:w="2334" w:type="dxa"/>
            <w:vAlign w:val="center"/>
          </w:tcPr>
          <w:p w14:paraId="071D698B">
            <w:pPr>
              <w:spacing w:line="320" w:lineRule="exact"/>
              <w:jc w:val="center"/>
              <w:rPr>
                <w:color w:val="auto"/>
                <w:highlight w:val="none"/>
              </w:rPr>
            </w:pPr>
            <w:r>
              <w:rPr>
                <w:rFonts w:hint="eastAsia"/>
                <w:color w:val="auto"/>
                <w:highlight w:val="none"/>
              </w:rPr>
              <w:t>资金落实情况</w:t>
            </w:r>
          </w:p>
        </w:tc>
        <w:tc>
          <w:tcPr>
            <w:tcW w:w="5436" w:type="dxa"/>
            <w:vAlign w:val="center"/>
          </w:tcPr>
          <w:p w14:paraId="0339B792">
            <w:pPr>
              <w:spacing w:line="320" w:lineRule="exact"/>
              <w:jc w:val="left"/>
              <w:rPr>
                <w:color w:val="auto"/>
                <w:highlight w:val="none"/>
              </w:rPr>
            </w:pPr>
            <w:r>
              <w:rPr>
                <w:rFonts w:hint="eastAsia"/>
                <w:color w:val="auto"/>
                <w:highlight w:val="none"/>
              </w:rPr>
              <w:t>已落实</w:t>
            </w:r>
          </w:p>
        </w:tc>
      </w:tr>
      <w:tr w14:paraId="3E5D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3597CEA1">
            <w:pPr>
              <w:spacing w:line="320" w:lineRule="exact"/>
              <w:jc w:val="center"/>
              <w:rPr>
                <w:color w:val="auto"/>
                <w:highlight w:val="none"/>
              </w:rPr>
            </w:pPr>
            <w:r>
              <w:rPr>
                <w:rFonts w:hint="eastAsia"/>
                <w:color w:val="auto"/>
                <w:highlight w:val="none"/>
              </w:rPr>
              <w:t>1.3.1</w:t>
            </w:r>
          </w:p>
        </w:tc>
        <w:tc>
          <w:tcPr>
            <w:tcW w:w="2334" w:type="dxa"/>
            <w:vAlign w:val="center"/>
          </w:tcPr>
          <w:p w14:paraId="4FBA697B">
            <w:pPr>
              <w:spacing w:line="320" w:lineRule="exact"/>
              <w:jc w:val="center"/>
              <w:rPr>
                <w:color w:val="auto"/>
                <w:highlight w:val="none"/>
              </w:rPr>
            </w:pPr>
            <w:r>
              <w:rPr>
                <w:rFonts w:hint="eastAsia"/>
                <w:color w:val="auto"/>
                <w:highlight w:val="none"/>
              </w:rPr>
              <w:t>招标范围</w:t>
            </w:r>
          </w:p>
        </w:tc>
        <w:tc>
          <w:tcPr>
            <w:tcW w:w="5436" w:type="dxa"/>
            <w:vAlign w:val="center"/>
          </w:tcPr>
          <w:p w14:paraId="3AAB1920">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b/>
                <w:bCs/>
                <w:color w:val="auto"/>
                <w:highlight w:val="none"/>
                <w:u w:val="none"/>
              </w:rPr>
              <w:t>施工图设计范围</w:t>
            </w:r>
            <w:r>
              <w:rPr>
                <w:rFonts w:hint="eastAsia" w:asciiTheme="majorEastAsia" w:hAnsiTheme="majorEastAsia" w:eastAsiaTheme="majorEastAsia" w:cstheme="majorEastAsia"/>
                <w:color w:val="auto"/>
                <w:highlight w:val="none"/>
                <w:u w:val="none"/>
              </w:rPr>
              <w:t>：包含但不限于建设范围内施工图设计，地基处理、场平设计、产业园施工图设计（含建筑、结构、给排水系统、水消防工程、暖通工程、电气工程、弱电工程专项设计）、景观设计及施工图预算编制，现场设代、配合实验、验收等；</w:t>
            </w:r>
          </w:p>
          <w:p w14:paraId="7945C06E">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b/>
                <w:bCs/>
                <w:color w:val="auto"/>
                <w:highlight w:val="none"/>
                <w:u w:val="none"/>
              </w:rPr>
              <w:t>建安工程及室外配套工程范围</w:t>
            </w:r>
            <w:r>
              <w:rPr>
                <w:rFonts w:hint="eastAsia" w:asciiTheme="majorEastAsia" w:hAnsiTheme="majorEastAsia" w:eastAsiaTheme="majorEastAsia" w:cstheme="majorEastAsia"/>
                <w:color w:val="auto"/>
                <w:highlight w:val="none"/>
                <w:u w:val="none"/>
              </w:rPr>
              <w:t>：包含不限于基础工程（含桩基础、独立基础等）、土建工程、装修工程、安装工程（钢结构安装、给排水系统、水消防工程、暖通工程、电气工程、弱电工程）、室外配套工程（道路工程、电力工程、弱电工程、照明工程、控制工程、消防报警工程、给水外线工程、雨污水外线工程、消防外线工程)、专项工程（地基处理、降排水、基坑支护等）建筑施工图所示的全部工程内容。</w:t>
            </w:r>
          </w:p>
          <w:p w14:paraId="23FB6C3A">
            <w:pPr>
              <w:spacing w:line="320" w:lineRule="exact"/>
              <w:jc w:val="left"/>
              <w:rPr>
                <w:color w:val="auto"/>
                <w:highlight w:val="none"/>
                <w:u w:val="single"/>
              </w:rPr>
            </w:pPr>
            <w:r>
              <w:rPr>
                <w:rFonts w:hint="eastAsia"/>
                <w:color w:val="auto"/>
                <w:highlight w:val="none"/>
              </w:rPr>
              <w:t>关于招标范围的详细说明见</w:t>
            </w:r>
            <w:r>
              <w:rPr>
                <w:color w:val="auto"/>
                <w:szCs w:val="21"/>
                <w:highlight w:val="none"/>
              </w:rPr>
              <w:t>第五章“发包人要求”</w:t>
            </w:r>
            <w:r>
              <w:rPr>
                <w:rFonts w:hint="eastAsia"/>
                <w:color w:val="auto"/>
                <w:szCs w:val="21"/>
                <w:highlight w:val="none"/>
              </w:rPr>
              <w:t>。</w:t>
            </w:r>
          </w:p>
        </w:tc>
      </w:tr>
      <w:tr w14:paraId="4E4C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5E64F3D5">
            <w:pPr>
              <w:spacing w:line="320" w:lineRule="exact"/>
              <w:jc w:val="center"/>
              <w:rPr>
                <w:color w:val="auto"/>
                <w:highlight w:val="none"/>
              </w:rPr>
            </w:pPr>
            <w:r>
              <w:rPr>
                <w:rFonts w:hint="eastAsia"/>
                <w:color w:val="auto"/>
                <w:highlight w:val="none"/>
              </w:rPr>
              <w:t>1.3.2</w:t>
            </w:r>
          </w:p>
        </w:tc>
        <w:tc>
          <w:tcPr>
            <w:tcW w:w="2334" w:type="dxa"/>
            <w:vAlign w:val="center"/>
          </w:tcPr>
          <w:p w14:paraId="782B09C2">
            <w:pPr>
              <w:spacing w:line="320" w:lineRule="exact"/>
              <w:jc w:val="center"/>
              <w:rPr>
                <w:color w:val="auto"/>
                <w:highlight w:val="none"/>
              </w:rPr>
            </w:pPr>
            <w:r>
              <w:rPr>
                <w:rFonts w:hint="eastAsia"/>
                <w:color w:val="auto"/>
                <w:highlight w:val="none"/>
              </w:rPr>
              <w:t>计划工期</w:t>
            </w:r>
          </w:p>
        </w:tc>
        <w:tc>
          <w:tcPr>
            <w:tcW w:w="5436" w:type="dxa"/>
            <w:vAlign w:val="center"/>
          </w:tcPr>
          <w:p w14:paraId="1B91BF2E">
            <w:pPr>
              <w:spacing w:line="320" w:lineRule="exact"/>
              <w:jc w:val="left"/>
              <w:rPr>
                <w:color w:val="auto"/>
                <w:highlight w:val="none"/>
              </w:rPr>
            </w:pPr>
            <w:r>
              <w:rPr>
                <w:rFonts w:hint="eastAsia"/>
                <w:color w:val="auto"/>
                <w:highlight w:val="none"/>
              </w:rPr>
              <w:t>计划工期：</w:t>
            </w:r>
            <w:r>
              <w:rPr>
                <w:rFonts w:hint="eastAsia"/>
                <w:color w:val="auto"/>
                <w:highlight w:val="none"/>
                <w:u w:val="single"/>
                <w:lang w:val="en-US" w:eastAsia="zh-CN"/>
              </w:rPr>
              <w:t xml:space="preserve"> </w:t>
            </w:r>
            <w:r>
              <w:rPr>
                <w:rFonts w:hint="eastAsia"/>
                <w:color w:val="auto"/>
                <w:highlight w:val="none"/>
                <w:u w:val="single"/>
                <w:lang w:val="en-US" w:eastAsia="zh-CN"/>
              </w:rPr>
              <w:t>730</w:t>
            </w:r>
            <w:r>
              <w:rPr>
                <w:rFonts w:hint="eastAsia"/>
                <w:color w:val="auto"/>
                <w:highlight w:val="none"/>
                <w:u w:val="single"/>
                <w:lang w:val="en-US" w:eastAsia="zh-CN"/>
              </w:rPr>
              <w:t xml:space="preserve"> </w:t>
            </w:r>
            <w:r>
              <w:rPr>
                <w:rFonts w:hint="eastAsia"/>
                <w:color w:val="auto"/>
                <w:highlight w:val="none"/>
              </w:rPr>
              <w:t>日历天</w:t>
            </w:r>
          </w:p>
          <w:p w14:paraId="2BA3AD8E">
            <w:pPr>
              <w:spacing w:line="320" w:lineRule="exact"/>
              <w:jc w:val="left"/>
              <w:rPr>
                <w:color w:val="auto"/>
                <w:highlight w:val="none"/>
              </w:rPr>
            </w:pPr>
            <w:r>
              <w:rPr>
                <w:rFonts w:hint="eastAsia"/>
                <w:color w:val="auto"/>
                <w:highlight w:val="none"/>
              </w:rPr>
              <w:t>计划开工日期：</w:t>
            </w:r>
            <w:r>
              <w:rPr>
                <w:rFonts w:hint="eastAsia"/>
                <w:color w:val="auto"/>
                <w:highlight w:val="none"/>
                <w:u w:val="single"/>
              </w:rPr>
              <w:t>2025年</w:t>
            </w:r>
            <w:r>
              <w:rPr>
                <w:rFonts w:hint="eastAsia"/>
                <w:color w:val="auto"/>
                <w:highlight w:val="none"/>
                <w:u w:val="single"/>
                <w:lang w:val="en-US" w:eastAsia="zh-CN"/>
              </w:rPr>
              <w:t>**</w:t>
            </w:r>
            <w:r>
              <w:rPr>
                <w:rFonts w:hint="eastAsia"/>
                <w:color w:val="auto"/>
                <w:highlight w:val="none"/>
                <w:u w:val="single"/>
              </w:rPr>
              <w:t>月</w:t>
            </w:r>
            <w:r>
              <w:rPr>
                <w:rFonts w:hint="eastAsia"/>
                <w:color w:val="auto"/>
                <w:highlight w:val="none"/>
                <w:u w:val="single"/>
                <w:lang w:val="en-US" w:eastAsia="zh-CN"/>
              </w:rPr>
              <w:t>**</w:t>
            </w:r>
            <w:r>
              <w:rPr>
                <w:rFonts w:hint="eastAsia"/>
                <w:color w:val="auto"/>
                <w:highlight w:val="none"/>
                <w:u w:val="single"/>
              </w:rPr>
              <w:t>日</w:t>
            </w:r>
          </w:p>
          <w:p w14:paraId="05113980">
            <w:pPr>
              <w:spacing w:line="320" w:lineRule="exact"/>
              <w:jc w:val="left"/>
              <w:rPr>
                <w:color w:val="auto"/>
                <w:highlight w:val="none"/>
                <w:u w:val="single"/>
              </w:rPr>
            </w:pPr>
            <w:r>
              <w:rPr>
                <w:rFonts w:hint="eastAsia"/>
                <w:color w:val="auto"/>
                <w:highlight w:val="none"/>
              </w:rPr>
              <w:t>计划竣工日期：</w:t>
            </w:r>
            <w:r>
              <w:rPr>
                <w:rFonts w:hint="eastAsia"/>
                <w:color w:val="auto"/>
                <w:highlight w:val="none"/>
                <w:u w:val="single"/>
              </w:rPr>
              <w:t>20</w:t>
            </w:r>
            <w:r>
              <w:rPr>
                <w:rFonts w:hint="eastAsia"/>
                <w:color w:val="auto"/>
                <w:highlight w:val="none"/>
                <w:u w:val="single"/>
              </w:rPr>
              <w:t>2</w:t>
            </w:r>
            <w:r>
              <w:rPr>
                <w:rFonts w:hint="eastAsia"/>
                <w:color w:val="auto"/>
                <w:highlight w:val="none"/>
                <w:u w:val="single"/>
                <w:lang w:val="en-US" w:eastAsia="zh-CN"/>
              </w:rPr>
              <w:t>7</w:t>
            </w:r>
            <w:r>
              <w:rPr>
                <w:rFonts w:hint="eastAsia"/>
                <w:color w:val="auto"/>
                <w:highlight w:val="none"/>
                <w:u w:val="single"/>
              </w:rPr>
              <w:t>年</w:t>
            </w:r>
            <w:r>
              <w:rPr>
                <w:rFonts w:hint="eastAsia"/>
                <w:color w:val="auto"/>
                <w:highlight w:val="none"/>
                <w:u w:val="single"/>
                <w:lang w:val="en-US" w:eastAsia="zh-CN"/>
              </w:rPr>
              <w:t>**</w:t>
            </w:r>
            <w:r>
              <w:rPr>
                <w:rFonts w:hint="eastAsia"/>
                <w:color w:val="auto"/>
                <w:highlight w:val="none"/>
                <w:u w:val="single"/>
              </w:rPr>
              <w:t>月</w:t>
            </w:r>
            <w:r>
              <w:rPr>
                <w:rFonts w:hint="eastAsia"/>
                <w:color w:val="auto"/>
                <w:highlight w:val="none"/>
                <w:u w:val="single"/>
                <w:lang w:val="en-US" w:eastAsia="zh-CN"/>
              </w:rPr>
              <w:t>**</w:t>
            </w:r>
            <w:r>
              <w:rPr>
                <w:rFonts w:hint="eastAsia"/>
                <w:color w:val="auto"/>
                <w:highlight w:val="none"/>
                <w:u w:val="single"/>
              </w:rPr>
              <w:t>日</w:t>
            </w:r>
          </w:p>
          <w:p w14:paraId="48E2AD59">
            <w:pPr>
              <w:spacing w:line="320" w:lineRule="exact"/>
              <w:jc w:val="left"/>
              <w:rPr>
                <w:color w:val="auto"/>
                <w:highlight w:val="none"/>
                <w:u w:val="single"/>
              </w:rPr>
            </w:pPr>
            <w:r>
              <w:rPr>
                <w:rFonts w:hint="eastAsia"/>
                <w:color w:val="auto"/>
                <w:highlight w:val="none"/>
              </w:rPr>
              <w:t>除上述总工期外，发包人还要求以下区段工期：</w:t>
            </w:r>
            <w:r>
              <w:rPr>
                <w:rFonts w:hint="eastAsia"/>
                <w:b/>
                <w:bCs/>
                <w:color w:val="auto"/>
                <w:highlight w:val="none"/>
                <w:u w:val="single"/>
              </w:rPr>
              <w:t>/</w:t>
            </w:r>
          </w:p>
          <w:p w14:paraId="637E25EF">
            <w:pPr>
              <w:spacing w:line="320" w:lineRule="exact"/>
              <w:jc w:val="left"/>
              <w:rPr>
                <w:color w:val="auto"/>
                <w:highlight w:val="none"/>
                <w:u w:val="single"/>
              </w:rPr>
            </w:pPr>
            <w:r>
              <w:rPr>
                <w:rFonts w:hint="eastAsia"/>
                <w:color w:val="auto"/>
                <w:highlight w:val="none"/>
              </w:rPr>
              <w:t>有关工期的详细要求见</w:t>
            </w:r>
            <w:r>
              <w:rPr>
                <w:color w:val="auto"/>
                <w:szCs w:val="21"/>
                <w:highlight w:val="none"/>
              </w:rPr>
              <w:t>第五章“发包人要求”</w:t>
            </w:r>
            <w:r>
              <w:rPr>
                <w:rFonts w:hint="eastAsia"/>
                <w:color w:val="auto"/>
                <w:szCs w:val="21"/>
                <w:highlight w:val="none"/>
              </w:rPr>
              <w:t>。</w:t>
            </w:r>
          </w:p>
        </w:tc>
      </w:tr>
      <w:tr w14:paraId="4AC9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7" w:type="dxa"/>
            <w:vAlign w:val="center"/>
          </w:tcPr>
          <w:p w14:paraId="03788FA6">
            <w:pPr>
              <w:spacing w:line="320" w:lineRule="exact"/>
              <w:jc w:val="center"/>
              <w:rPr>
                <w:color w:val="auto"/>
                <w:highlight w:val="none"/>
              </w:rPr>
            </w:pPr>
            <w:r>
              <w:rPr>
                <w:rFonts w:hint="eastAsia"/>
                <w:color w:val="auto"/>
                <w:highlight w:val="none"/>
              </w:rPr>
              <w:t>1.3.3</w:t>
            </w:r>
          </w:p>
        </w:tc>
        <w:tc>
          <w:tcPr>
            <w:tcW w:w="2334" w:type="dxa"/>
            <w:vAlign w:val="center"/>
          </w:tcPr>
          <w:p w14:paraId="0A0DD624">
            <w:pPr>
              <w:spacing w:line="320" w:lineRule="exact"/>
              <w:jc w:val="center"/>
              <w:rPr>
                <w:color w:val="auto"/>
                <w:highlight w:val="none"/>
              </w:rPr>
            </w:pPr>
            <w:r>
              <w:rPr>
                <w:rFonts w:hint="eastAsia"/>
                <w:color w:val="auto"/>
                <w:highlight w:val="none"/>
              </w:rPr>
              <w:t>质量标准</w:t>
            </w:r>
          </w:p>
        </w:tc>
        <w:tc>
          <w:tcPr>
            <w:tcW w:w="5436" w:type="dxa"/>
            <w:vAlign w:val="center"/>
          </w:tcPr>
          <w:p w14:paraId="73E2674F">
            <w:pPr>
              <w:spacing w:line="320" w:lineRule="exact"/>
              <w:jc w:val="left"/>
              <w:rPr>
                <w:rFonts w:hint="eastAsia"/>
                <w:color w:val="auto"/>
                <w:highlight w:val="none"/>
                <w:u w:val="single"/>
              </w:rPr>
            </w:pPr>
            <w:bookmarkStart w:id="38" w:name="OLE_LINK33"/>
            <w:r>
              <w:rPr>
                <w:color w:val="auto"/>
                <w:szCs w:val="21"/>
                <w:highlight w:val="none"/>
              </w:rPr>
              <w:t>设计要求的质量标准：</w:t>
            </w:r>
            <w:r>
              <w:rPr>
                <w:rFonts w:hint="eastAsia"/>
                <w:color w:val="auto"/>
                <w:highlight w:val="none"/>
                <w:u w:val="single"/>
                <w:lang w:val="zh-CN"/>
              </w:rPr>
              <w:t>符合国家、行业设计规范和标准</w:t>
            </w:r>
            <w:r>
              <w:rPr>
                <w:rFonts w:hint="eastAsia"/>
                <w:color w:val="auto"/>
                <w:highlight w:val="none"/>
                <w:u w:val="single"/>
              </w:rPr>
              <w:t>。</w:t>
            </w:r>
          </w:p>
          <w:p w14:paraId="6D9FFE86">
            <w:pPr>
              <w:spacing w:line="320" w:lineRule="exact"/>
              <w:jc w:val="left"/>
              <w:rPr>
                <w:rFonts w:hint="eastAsia"/>
                <w:color w:val="auto"/>
                <w:highlight w:val="none"/>
                <w:u w:val="single"/>
                <w:lang w:val="zh-CN"/>
              </w:rPr>
            </w:pPr>
            <w:r>
              <w:rPr>
                <w:color w:val="auto"/>
                <w:szCs w:val="21"/>
                <w:highlight w:val="none"/>
              </w:rPr>
              <w:t>施工要求的质量标准</w:t>
            </w:r>
            <w:r>
              <w:rPr>
                <w:rFonts w:hint="eastAsia"/>
                <w:color w:val="auto"/>
                <w:highlight w:val="none"/>
              </w:rPr>
              <w:t>：</w:t>
            </w:r>
            <w:r>
              <w:rPr>
                <w:rFonts w:hint="eastAsia"/>
                <w:color w:val="auto"/>
                <w:highlight w:val="none"/>
                <w:u w:val="single"/>
                <w:lang w:val="zh-CN"/>
              </w:rPr>
              <w:t>符合现行国家有关工程施工质量验收规范。</w:t>
            </w:r>
          </w:p>
          <w:bookmarkEnd w:id="38"/>
          <w:p w14:paraId="4B9465A3">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w:t>
            </w:r>
          </w:p>
          <w:p w14:paraId="1A3B961D">
            <w:pPr>
              <w:spacing w:line="320" w:lineRule="exact"/>
              <w:jc w:val="left"/>
              <w:rPr>
                <w:color w:val="auto"/>
                <w:highlight w:val="none"/>
              </w:rPr>
            </w:pPr>
            <w:r>
              <w:rPr>
                <w:rFonts w:hint="eastAsia"/>
                <w:color w:val="auto"/>
                <w:highlight w:val="none"/>
              </w:rPr>
              <w:t>关于质量要求的详细说明见</w:t>
            </w:r>
            <w:r>
              <w:rPr>
                <w:color w:val="auto"/>
                <w:szCs w:val="21"/>
                <w:highlight w:val="none"/>
              </w:rPr>
              <w:t>第五章“发包人要求”</w:t>
            </w:r>
            <w:r>
              <w:rPr>
                <w:rFonts w:hint="eastAsia"/>
                <w:color w:val="auto"/>
                <w:szCs w:val="21"/>
                <w:highlight w:val="none"/>
              </w:rPr>
              <w:t>。</w:t>
            </w:r>
          </w:p>
        </w:tc>
      </w:tr>
      <w:tr w14:paraId="6C63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57" w:type="dxa"/>
            <w:vAlign w:val="center"/>
          </w:tcPr>
          <w:p w14:paraId="3079604F">
            <w:pPr>
              <w:spacing w:line="320" w:lineRule="exact"/>
              <w:jc w:val="center"/>
              <w:rPr>
                <w:color w:val="auto"/>
                <w:highlight w:val="none"/>
              </w:rPr>
            </w:pPr>
            <w:r>
              <w:rPr>
                <w:rFonts w:hint="eastAsia"/>
                <w:color w:val="auto"/>
                <w:highlight w:val="none"/>
              </w:rPr>
              <w:t>1.4.1</w:t>
            </w:r>
          </w:p>
        </w:tc>
        <w:tc>
          <w:tcPr>
            <w:tcW w:w="2334" w:type="dxa"/>
            <w:vAlign w:val="center"/>
          </w:tcPr>
          <w:p w14:paraId="4640F367">
            <w:pPr>
              <w:spacing w:line="320" w:lineRule="exact"/>
              <w:jc w:val="center"/>
              <w:rPr>
                <w:color w:val="auto"/>
                <w:highlight w:val="none"/>
              </w:rPr>
            </w:pPr>
            <w:r>
              <w:rPr>
                <w:rFonts w:hint="eastAsia"/>
                <w:color w:val="auto"/>
                <w:highlight w:val="none"/>
              </w:rPr>
              <w:t>投标人资质条件、</w:t>
            </w:r>
          </w:p>
          <w:p w14:paraId="0FD992B8">
            <w:pPr>
              <w:spacing w:line="320" w:lineRule="exact"/>
              <w:jc w:val="center"/>
              <w:rPr>
                <w:color w:val="auto"/>
                <w:highlight w:val="none"/>
              </w:rPr>
            </w:pPr>
            <w:r>
              <w:rPr>
                <w:rFonts w:hint="eastAsia"/>
                <w:color w:val="auto"/>
                <w:highlight w:val="none"/>
              </w:rPr>
              <w:t>能力和信誉</w:t>
            </w:r>
          </w:p>
        </w:tc>
        <w:tc>
          <w:tcPr>
            <w:tcW w:w="5436" w:type="dxa"/>
            <w:vAlign w:val="center"/>
          </w:tcPr>
          <w:p w14:paraId="0E1DB421">
            <w:pPr>
              <w:spacing w:line="320" w:lineRule="exact"/>
              <w:rPr>
                <w:color w:val="auto"/>
                <w:szCs w:val="21"/>
                <w:highlight w:val="none"/>
              </w:rPr>
            </w:pPr>
            <w:r>
              <w:rPr>
                <w:rFonts w:hint="eastAsia"/>
                <w:b/>
                <w:color w:val="auto"/>
                <w:highlight w:val="none"/>
              </w:rPr>
              <w:t>资质要求：</w:t>
            </w:r>
            <w:r>
              <w:rPr>
                <w:rFonts w:hint="eastAsia" w:asciiTheme="majorEastAsia" w:hAnsiTheme="majorEastAsia" w:eastAsiaTheme="majorEastAsia" w:cstheme="majorEastAsia"/>
                <w:color w:val="auto"/>
                <w:highlight w:val="none"/>
              </w:rPr>
              <w:t>具备</w:t>
            </w:r>
            <w:r>
              <w:rPr>
                <w:rFonts w:hint="eastAsia" w:asciiTheme="majorEastAsia" w:hAnsiTheme="majorEastAsia" w:eastAsiaTheme="majorEastAsia" w:cstheme="majorEastAsia"/>
                <w:b w:val="0"/>
                <w:bCs w:val="0"/>
                <w:color w:val="auto"/>
                <w:highlight w:val="none"/>
              </w:rPr>
              <w:t>[施工总承包·建筑工程·建筑工程</w:t>
            </w:r>
            <w:r>
              <w:rPr>
                <w:rFonts w:hint="eastAsia" w:asciiTheme="majorEastAsia" w:hAnsiTheme="majorEastAsia" w:eastAsiaTheme="majorEastAsia" w:cstheme="majorEastAsia"/>
                <w:b w:val="0"/>
                <w:bCs w:val="0"/>
                <w:color w:val="auto"/>
                <w:highlight w:val="none"/>
              </w:rPr>
              <w:t>二</w:t>
            </w:r>
            <w:r>
              <w:rPr>
                <w:rFonts w:hint="eastAsia" w:asciiTheme="majorEastAsia" w:hAnsiTheme="majorEastAsia" w:eastAsiaTheme="majorEastAsia" w:cstheme="majorEastAsia"/>
                <w:b w:val="0"/>
                <w:bCs w:val="0"/>
                <w:color w:val="auto"/>
                <w:highlight w:val="none"/>
              </w:rPr>
              <w:t>级](含)以上并且([设计·综合类资质·工程设计综合资质](含)以上或者[设计·行业资质·建筑行业·建筑行业甲级]或者[设计·专业资质·建筑行业（建筑工程）·建筑行业（建筑工程）甲级])</w:t>
            </w:r>
            <w:r>
              <w:rPr>
                <w:rFonts w:hint="eastAsia"/>
                <w:color w:val="auto"/>
                <w:szCs w:val="21"/>
                <w:highlight w:val="none"/>
              </w:rPr>
              <w:t>，且具备有效的安全生产许可证，具备市场监督管理部门</w:t>
            </w:r>
            <w:r>
              <w:rPr>
                <w:color w:val="auto"/>
                <w:szCs w:val="21"/>
                <w:highlight w:val="none"/>
              </w:rPr>
              <w:t>核发的有效营业执照。</w:t>
            </w:r>
          </w:p>
          <w:p w14:paraId="1AB4F0C3">
            <w:pPr>
              <w:spacing w:line="320" w:lineRule="exact"/>
              <w:rPr>
                <w:rFonts w:hint="eastAsia"/>
                <w:color w:val="auto"/>
                <w:highlight w:val="none"/>
              </w:rPr>
            </w:pPr>
            <w:r>
              <w:rPr>
                <w:rFonts w:hint="eastAsia"/>
                <w:b/>
                <w:color w:val="auto"/>
                <w:highlight w:val="none"/>
              </w:rPr>
              <w:t>信誉要求：</w:t>
            </w:r>
            <w:r>
              <w:rPr>
                <w:rFonts w:hint="eastAsia"/>
                <w:color w:val="auto"/>
                <w:highlight w:val="none"/>
              </w:rPr>
              <w:t>不得具有投标人须知第</w:t>
            </w:r>
            <w:r>
              <w:rPr>
                <w:rFonts w:hint="eastAsia"/>
                <w:color w:val="auto"/>
                <w:highlight w:val="none"/>
              </w:rPr>
              <w:t>1.4.3（10）至（17）条</w:t>
            </w:r>
            <w:r>
              <w:rPr>
                <w:rFonts w:hint="eastAsia"/>
                <w:color w:val="auto"/>
                <w:highlight w:val="none"/>
              </w:rPr>
              <w:t>目规定的情形。</w:t>
            </w:r>
          </w:p>
          <w:p w14:paraId="0D2CB79F">
            <w:pPr>
              <w:spacing w:line="320" w:lineRule="exact"/>
              <w:rPr>
                <w:rFonts w:hint="eastAsia" w:asciiTheme="majorEastAsia" w:hAnsiTheme="majorEastAsia" w:eastAsiaTheme="majorEastAsia" w:cstheme="majorEastAsia"/>
                <w:color w:val="auto"/>
                <w:highlight w:val="none"/>
              </w:rPr>
            </w:pPr>
            <w:r>
              <w:rPr>
                <w:rFonts w:hint="eastAsia"/>
                <w:b/>
                <w:color w:val="auto"/>
                <w:highlight w:val="none"/>
              </w:rPr>
              <w:t>项目经理资格：</w:t>
            </w:r>
            <w:r>
              <w:rPr>
                <w:rFonts w:hint="eastAsia"/>
                <w:color w:val="auto"/>
                <w:highlight w:val="none"/>
              </w:rPr>
              <w:t>具备</w:t>
            </w:r>
            <w:r>
              <w:rPr>
                <w:rFonts w:hint="eastAsia"/>
                <w:color w:val="auto"/>
                <w:highlight w:val="none"/>
                <w:u w:val="single"/>
              </w:rPr>
              <w:t>[注册一级建造师</w:t>
            </w:r>
            <w:r>
              <w:rPr>
                <w:rFonts w:hint="eastAsia" w:eastAsia="宋体"/>
                <w:color w:val="auto"/>
                <w:highlight w:val="none"/>
                <w:u w:val="single"/>
              </w:rPr>
              <w:t>·建筑工程</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执业资格，具备有效的安全生产考核合格证书（B证），无在建工程（二次刷卡验证结果为通过）</w:t>
            </w:r>
          </w:p>
          <w:p w14:paraId="23C3C32A">
            <w:pPr>
              <w:tabs>
                <w:tab w:val="left" w:pos="3247"/>
              </w:tabs>
              <w:spacing w:line="320" w:lineRule="exact"/>
              <w:rPr>
                <w:rFonts w:hint="eastAsia" w:asciiTheme="majorEastAsia" w:hAnsiTheme="majorEastAsia" w:eastAsiaTheme="majorEastAsia" w:cstheme="majorEastAsia"/>
                <w:color w:val="auto"/>
                <w:highlight w:val="none"/>
              </w:rPr>
            </w:pPr>
            <w:r>
              <w:rPr>
                <w:b/>
                <w:bCs/>
                <w:color w:val="auto"/>
                <w:szCs w:val="21"/>
                <w:highlight w:val="none"/>
              </w:rPr>
              <w:t>施工负责人资格要求：</w:t>
            </w:r>
            <w:r>
              <w:rPr>
                <w:color w:val="auto"/>
                <w:highlight w:val="none"/>
              </w:rPr>
              <w:t>具备</w:t>
            </w:r>
            <w:r>
              <w:rPr>
                <w:rFonts w:hint="eastAsia" w:asciiTheme="majorEastAsia" w:hAnsiTheme="majorEastAsia" w:eastAsiaTheme="majorEastAsia" w:cstheme="majorEastAsia"/>
                <w:color w:val="auto"/>
                <w:highlight w:val="none"/>
                <w:u w:val="single"/>
                <w:lang w:val="en-US" w:eastAsia="zh-CN"/>
              </w:rPr>
              <w:t>[注册一级建造师·建筑工程]</w:t>
            </w:r>
            <w:r>
              <w:rPr>
                <w:rFonts w:hint="eastAsia" w:asciiTheme="majorEastAsia" w:hAnsiTheme="majorEastAsia" w:eastAsiaTheme="majorEastAsia" w:cstheme="majorEastAsia"/>
                <w:color w:val="auto"/>
                <w:highlight w:val="none"/>
                <w:u w:val="single"/>
              </w:rPr>
              <w:t>]</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执业资格，具备有效的安全生产考核合格证书（B证）</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highlight w:val="none"/>
              </w:rPr>
              <w:t>无在建工程；施工负责人可由项目总负责人（EPC项目经理）兼任。</w:t>
            </w:r>
          </w:p>
          <w:p w14:paraId="2E59A58B">
            <w:pPr>
              <w:spacing w:line="320" w:lineRule="exact"/>
              <w:rPr>
                <w:color w:val="auto"/>
                <w:highlight w:val="none"/>
              </w:rPr>
            </w:pPr>
            <w:r>
              <w:rPr>
                <w:b/>
                <w:bCs/>
                <w:color w:val="auto"/>
                <w:szCs w:val="21"/>
                <w:highlight w:val="none"/>
              </w:rPr>
              <w:t>设计负责人资格要求：</w:t>
            </w:r>
            <w:r>
              <w:rPr>
                <w:rFonts w:hint="eastAsia" w:ascii="Times New Roman" w:hAnsi="Times New Roman" w:cs="Times New Roman"/>
                <w:color w:val="auto"/>
                <w:highlight w:val="none"/>
                <w:u w:val="single"/>
              </w:rPr>
              <w:t>[注册一级建筑师]</w:t>
            </w:r>
            <w:r>
              <w:rPr>
                <w:rFonts w:hint="eastAsia"/>
                <w:color w:val="auto"/>
                <w:highlight w:val="none"/>
                <w:u w:val="single"/>
              </w:rPr>
              <w:t>(含)以上</w:t>
            </w:r>
            <w:r>
              <w:rPr>
                <w:rFonts w:hint="eastAsia" w:asciiTheme="majorEastAsia" w:hAnsiTheme="majorEastAsia" w:eastAsiaTheme="majorEastAsia" w:cstheme="majorEastAsia"/>
                <w:color w:val="auto"/>
                <w:highlight w:val="none"/>
              </w:rPr>
              <w:t>执业资格</w:t>
            </w:r>
            <w:r>
              <w:rPr>
                <w:rFonts w:hint="eastAsia" w:ascii="宋体" w:hAnsi="宋体" w:cs="宋体"/>
                <w:color w:val="auto"/>
                <w:sz w:val="24"/>
                <w:szCs w:val="24"/>
                <w:highlight w:val="none"/>
              </w:rPr>
              <w:t>，</w:t>
            </w:r>
            <w:r>
              <w:rPr>
                <w:rFonts w:hint="eastAsia" w:ascii="宋体" w:hAnsi="宋体" w:cs="宋体"/>
                <w:color w:val="auto"/>
                <w:sz w:val="21"/>
                <w:szCs w:val="21"/>
                <w:highlight w:val="none"/>
              </w:rPr>
              <w:t>且具</w:t>
            </w:r>
            <w:r>
              <w:rPr>
                <w:rFonts w:hint="eastAsia" w:ascii="宋体" w:hAnsi="宋体" w:cs="宋体"/>
                <w:color w:val="auto"/>
                <w:sz w:val="21"/>
                <w:szCs w:val="21"/>
                <w:highlight w:val="none"/>
              </w:rPr>
              <w:t>有高级</w:t>
            </w:r>
            <w:r>
              <w:rPr>
                <w:rFonts w:hint="eastAsia" w:ascii="宋体" w:hAnsi="宋体" w:cs="宋体"/>
                <w:color w:val="auto"/>
                <w:sz w:val="21"/>
                <w:szCs w:val="21"/>
                <w:highlight w:val="none"/>
              </w:rPr>
              <w:t>及以上职称</w:t>
            </w:r>
          </w:p>
          <w:p w14:paraId="4090E466">
            <w:pPr>
              <w:spacing w:line="320" w:lineRule="exact"/>
              <w:rPr>
                <w:color w:val="auto"/>
                <w:highlight w:val="none"/>
              </w:rPr>
            </w:pPr>
            <w:r>
              <w:rPr>
                <w:rFonts w:hint="eastAsia"/>
                <w:b/>
                <w:color w:val="auto"/>
                <w:highlight w:val="none"/>
              </w:rPr>
              <w:t>业绩要求：</w:t>
            </w:r>
            <w:r>
              <w:rPr>
                <w:rFonts w:hint="eastAsia"/>
                <w:color w:val="auto"/>
                <w:highlight w:val="none"/>
                <w:u w:val="single"/>
              </w:rPr>
              <w:t>/</w:t>
            </w:r>
          </w:p>
          <w:p w14:paraId="777413D2">
            <w:pPr>
              <w:spacing w:line="320" w:lineRule="exact"/>
              <w:rPr>
                <w:rFonts w:hint="eastAsia"/>
                <w:b/>
                <w:color w:val="auto"/>
                <w:highlight w:val="none"/>
              </w:rPr>
            </w:pPr>
            <w:r>
              <w:rPr>
                <w:rFonts w:hint="eastAsia"/>
                <w:b/>
                <w:color w:val="auto"/>
                <w:highlight w:val="none"/>
              </w:rPr>
              <w:t>项目管理机构主要人员要</w:t>
            </w:r>
            <w:r>
              <w:rPr>
                <w:rFonts w:hint="eastAsia"/>
                <w:b/>
                <w:color w:val="auto"/>
                <w:highlight w:val="none"/>
              </w:rPr>
              <w:t>求：</w:t>
            </w:r>
          </w:p>
          <w:p w14:paraId="1BF094CB">
            <w:pPr>
              <w:pStyle w:val="7"/>
              <w:rPr>
                <w:rFonts w:hint="eastAsia"/>
                <w:b/>
                <w:color w:val="auto"/>
                <w:highlight w:val="none"/>
                <w:lang w:val="en-US" w:eastAsia="zh-CN"/>
              </w:rPr>
            </w:pPr>
          </w:p>
          <w:p w14:paraId="02A97CB5">
            <w:pPr>
              <w:pStyle w:val="7"/>
              <w:rPr>
                <w:rFonts w:hint="eastAsia"/>
                <w:b/>
                <w:color w:val="auto"/>
                <w:highlight w:val="none"/>
                <w:lang w:val="en-US" w:eastAsia="zh-CN"/>
              </w:rPr>
            </w:pPr>
            <w:r>
              <w:rPr>
                <w:rFonts w:hint="eastAsia"/>
                <w:b/>
                <w:color w:val="auto"/>
                <w:highlight w:val="none"/>
                <w:lang w:val="en-US" w:eastAsia="zh-CN"/>
              </w:rPr>
              <w:t>施工团队</w:t>
            </w:r>
          </w:p>
          <w:tbl>
            <w:tblPr>
              <w:tblStyle w:val="24"/>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15"/>
              <w:gridCol w:w="3632"/>
            </w:tblGrid>
            <w:tr w14:paraId="2CBB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32E4C728">
                  <w:pPr>
                    <w:pStyle w:val="14"/>
                    <w:jc w:val="center"/>
                    <w:rPr>
                      <w:rFonts w:hint="default"/>
                      <w:b/>
                      <w:bCs/>
                      <w:color w:val="auto"/>
                      <w:sz w:val="18"/>
                      <w:szCs w:val="18"/>
                      <w:highlight w:val="none"/>
                      <w:vertAlign w:val="baseline"/>
                      <w:lang w:val="en-US" w:eastAsia="zh-CN"/>
                    </w:rPr>
                  </w:pPr>
                  <w:r>
                    <w:rPr>
                      <w:rFonts w:hint="eastAsia"/>
                      <w:b/>
                      <w:bCs/>
                      <w:color w:val="auto"/>
                      <w:sz w:val="18"/>
                      <w:szCs w:val="18"/>
                      <w:highlight w:val="none"/>
                      <w:vertAlign w:val="baseline"/>
                      <w:lang w:val="en-US" w:eastAsia="zh-CN"/>
                    </w:rPr>
                    <w:t>岗位名称</w:t>
                  </w:r>
                </w:p>
              </w:tc>
              <w:tc>
                <w:tcPr>
                  <w:tcW w:w="615" w:type="dxa"/>
                  <w:vAlign w:val="center"/>
                </w:tcPr>
                <w:p w14:paraId="5FDB951C">
                  <w:pPr>
                    <w:pStyle w:val="14"/>
                    <w:jc w:val="center"/>
                    <w:rPr>
                      <w:rFonts w:hint="default"/>
                      <w:b/>
                      <w:bCs/>
                      <w:color w:val="auto"/>
                      <w:sz w:val="18"/>
                      <w:szCs w:val="18"/>
                      <w:highlight w:val="none"/>
                      <w:vertAlign w:val="baseline"/>
                      <w:lang w:val="en-US" w:eastAsia="zh-CN"/>
                    </w:rPr>
                  </w:pPr>
                  <w:r>
                    <w:rPr>
                      <w:rFonts w:hint="eastAsia"/>
                      <w:b/>
                      <w:bCs/>
                      <w:color w:val="auto"/>
                      <w:sz w:val="18"/>
                      <w:szCs w:val="18"/>
                      <w:highlight w:val="none"/>
                      <w:vertAlign w:val="baseline"/>
                      <w:lang w:val="en-US" w:eastAsia="zh-CN"/>
                    </w:rPr>
                    <w:t>数量</w:t>
                  </w:r>
                </w:p>
              </w:tc>
              <w:tc>
                <w:tcPr>
                  <w:tcW w:w="3632" w:type="dxa"/>
                  <w:vAlign w:val="center"/>
                </w:tcPr>
                <w:p w14:paraId="4D3C0E1C">
                  <w:pPr>
                    <w:pStyle w:val="14"/>
                    <w:jc w:val="center"/>
                    <w:rPr>
                      <w:rFonts w:hint="default"/>
                      <w:b/>
                      <w:bCs/>
                      <w:color w:val="auto"/>
                      <w:sz w:val="18"/>
                      <w:szCs w:val="18"/>
                      <w:highlight w:val="none"/>
                      <w:vertAlign w:val="baseline"/>
                      <w:lang w:val="en-US" w:eastAsia="zh-CN"/>
                    </w:rPr>
                  </w:pPr>
                  <w:r>
                    <w:rPr>
                      <w:rFonts w:hint="eastAsia"/>
                      <w:b/>
                      <w:bCs/>
                      <w:color w:val="auto"/>
                      <w:sz w:val="18"/>
                      <w:szCs w:val="18"/>
                      <w:highlight w:val="none"/>
                      <w:vertAlign w:val="baseline"/>
                      <w:lang w:val="en-US" w:eastAsia="zh-CN"/>
                    </w:rPr>
                    <w:t>有关要求</w:t>
                  </w:r>
                </w:p>
              </w:tc>
            </w:tr>
            <w:tr w14:paraId="4C4A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73" w:type="dxa"/>
                  <w:vAlign w:val="center"/>
                </w:tcPr>
                <w:p w14:paraId="659C302D">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技术负责人</w:t>
                  </w:r>
                </w:p>
              </w:tc>
              <w:tc>
                <w:tcPr>
                  <w:tcW w:w="615" w:type="dxa"/>
                  <w:vAlign w:val="center"/>
                </w:tcPr>
                <w:p w14:paraId="478A0B62">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1 </w:t>
                  </w:r>
                </w:p>
              </w:tc>
              <w:tc>
                <w:tcPr>
                  <w:tcW w:w="3632" w:type="dxa"/>
                  <w:vAlign w:val="center"/>
                </w:tcPr>
                <w:p w14:paraId="240BE0E3">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具有高级及以上职称。</w:t>
                  </w:r>
                </w:p>
              </w:tc>
            </w:tr>
            <w:tr w14:paraId="4C54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3A8F5A4">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施工员</w:t>
                  </w:r>
                </w:p>
              </w:tc>
              <w:tc>
                <w:tcPr>
                  <w:tcW w:w="615" w:type="dxa"/>
                  <w:vAlign w:val="center"/>
                </w:tcPr>
                <w:p w14:paraId="7E07CB38">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2 </w:t>
                  </w:r>
                </w:p>
              </w:tc>
              <w:tc>
                <w:tcPr>
                  <w:tcW w:w="3632" w:type="dxa"/>
                  <w:vAlign w:val="center"/>
                </w:tcPr>
                <w:p w14:paraId="3D128832">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持证上岗。</w:t>
                  </w:r>
                </w:p>
              </w:tc>
            </w:tr>
            <w:tr w14:paraId="7AE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25E676B">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安全员</w:t>
                  </w:r>
                </w:p>
              </w:tc>
              <w:tc>
                <w:tcPr>
                  <w:tcW w:w="615" w:type="dxa"/>
                  <w:vAlign w:val="center"/>
                </w:tcPr>
                <w:p w14:paraId="5D10FC9C">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2 </w:t>
                  </w:r>
                </w:p>
              </w:tc>
              <w:tc>
                <w:tcPr>
                  <w:tcW w:w="3632" w:type="dxa"/>
                  <w:vAlign w:val="center"/>
                </w:tcPr>
                <w:p w14:paraId="76A32BE7">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持证上岗。</w:t>
                  </w:r>
                </w:p>
              </w:tc>
            </w:tr>
            <w:tr w14:paraId="0BD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C852EF4">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劳务员或材料员</w:t>
                  </w:r>
                </w:p>
              </w:tc>
              <w:tc>
                <w:tcPr>
                  <w:tcW w:w="615" w:type="dxa"/>
                  <w:vAlign w:val="center"/>
                </w:tcPr>
                <w:p w14:paraId="77C15109">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1 </w:t>
                  </w:r>
                </w:p>
              </w:tc>
              <w:tc>
                <w:tcPr>
                  <w:tcW w:w="3632" w:type="dxa"/>
                  <w:vAlign w:val="center"/>
                </w:tcPr>
                <w:p w14:paraId="50FB9791">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持证上岗。</w:t>
                  </w:r>
                </w:p>
              </w:tc>
            </w:tr>
            <w:tr w14:paraId="0528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FE34037">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机械员</w:t>
                  </w:r>
                </w:p>
              </w:tc>
              <w:tc>
                <w:tcPr>
                  <w:tcW w:w="615" w:type="dxa"/>
                  <w:vAlign w:val="center"/>
                </w:tcPr>
                <w:p w14:paraId="338CCA3F">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1 </w:t>
                  </w:r>
                </w:p>
              </w:tc>
              <w:tc>
                <w:tcPr>
                  <w:tcW w:w="3632" w:type="dxa"/>
                  <w:vAlign w:val="center"/>
                </w:tcPr>
                <w:p w14:paraId="39F9716A">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持证上岗。</w:t>
                  </w:r>
                </w:p>
              </w:tc>
            </w:tr>
            <w:tr w14:paraId="0F9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C7DFA1F">
                  <w:pPr>
                    <w:pStyle w:val="47"/>
                    <w:widowControl/>
                    <w:jc w:val="center"/>
                    <w:rPr>
                      <w:rFonts w:hint="default"/>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rPr>
                    <w:t>质量员</w:t>
                  </w:r>
                </w:p>
              </w:tc>
              <w:tc>
                <w:tcPr>
                  <w:tcW w:w="615" w:type="dxa"/>
                  <w:vAlign w:val="center"/>
                </w:tcPr>
                <w:p w14:paraId="39DCE466">
                  <w:pPr>
                    <w:pStyle w:val="47"/>
                    <w:widowControl/>
                    <w:jc w:val="center"/>
                    <w:rPr>
                      <w:rFonts w:hint="default"/>
                      <w:b/>
                      <w:bCs/>
                      <w:color w:val="auto"/>
                      <w:sz w:val="18"/>
                      <w:szCs w:val="18"/>
                      <w:highlight w:val="none"/>
                      <w:vertAlign w:val="baseline"/>
                      <w:lang w:val="en-US" w:eastAsia="zh-CN"/>
                    </w:rPr>
                  </w:pPr>
                  <w:r>
                    <w:rPr>
                      <w:rFonts w:hint="eastAsia" w:ascii="宋体" w:hAnsi="宋体" w:cs="宋体"/>
                      <w:b/>
                      <w:bCs/>
                      <w:color w:val="auto"/>
                      <w:kern w:val="0"/>
                      <w:sz w:val="18"/>
                      <w:szCs w:val="18"/>
                      <w:highlight w:val="none"/>
                    </w:rPr>
                    <w:t xml:space="preserve">1 </w:t>
                  </w:r>
                </w:p>
              </w:tc>
              <w:tc>
                <w:tcPr>
                  <w:tcW w:w="3632" w:type="dxa"/>
                  <w:vAlign w:val="center"/>
                </w:tcPr>
                <w:p w14:paraId="4806BEE2">
                  <w:pPr>
                    <w:pStyle w:val="47"/>
                    <w:widowControl/>
                    <w:jc w:val="left"/>
                    <w:rPr>
                      <w:rFonts w:hint="default"/>
                      <w:color w:val="auto"/>
                      <w:sz w:val="18"/>
                      <w:szCs w:val="18"/>
                      <w:highlight w:val="none"/>
                      <w:vertAlign w:val="baseline"/>
                      <w:lang w:val="en-US" w:eastAsia="zh-CN"/>
                    </w:rPr>
                  </w:pPr>
                  <w:r>
                    <w:rPr>
                      <w:rFonts w:hint="eastAsia" w:ascii="宋体" w:hAnsi="宋体" w:cs="宋体"/>
                      <w:color w:val="auto"/>
                      <w:kern w:val="0"/>
                      <w:sz w:val="18"/>
                      <w:szCs w:val="18"/>
                      <w:highlight w:val="none"/>
                    </w:rPr>
                    <w:t>持证上岗。</w:t>
                  </w:r>
                </w:p>
              </w:tc>
            </w:tr>
          </w:tbl>
          <w:p w14:paraId="323C2EDC">
            <w:pPr>
              <w:pStyle w:val="14"/>
              <w:rPr>
                <w:rFonts w:hint="default"/>
                <w:color w:val="auto"/>
                <w:highlight w:val="none"/>
                <w:lang w:val="en-US" w:eastAsia="zh-CN"/>
              </w:rPr>
            </w:pPr>
          </w:p>
          <w:p w14:paraId="5A2C170F">
            <w:pPr>
              <w:pStyle w:val="7"/>
              <w:rPr>
                <w:rFonts w:hint="eastAsia"/>
                <w:b/>
                <w:color w:val="auto"/>
                <w:highlight w:val="none"/>
                <w:lang w:val="en-US" w:eastAsia="zh-CN"/>
              </w:rPr>
            </w:pPr>
            <w:r>
              <w:rPr>
                <w:rFonts w:hint="eastAsia"/>
                <w:b/>
                <w:color w:val="auto"/>
                <w:highlight w:val="none"/>
                <w:lang w:val="en-US" w:eastAsia="zh-CN"/>
              </w:rPr>
              <w:t>设计团队</w:t>
            </w:r>
          </w:p>
          <w:tbl>
            <w:tblPr>
              <w:tblStyle w:val="24"/>
              <w:tblW w:w="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15"/>
              <w:gridCol w:w="3617"/>
            </w:tblGrid>
            <w:tr w14:paraId="21AF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F38A473">
                  <w:pPr>
                    <w:pStyle w:val="14"/>
                    <w:jc w:val="center"/>
                    <w:rPr>
                      <w:rFonts w:hint="eastAsia"/>
                      <w:b/>
                      <w:bCs/>
                      <w:color w:val="auto"/>
                      <w:highlight w:val="none"/>
                      <w:vertAlign w:val="baseline"/>
                    </w:rPr>
                  </w:pPr>
                  <w:r>
                    <w:rPr>
                      <w:rFonts w:hint="eastAsia"/>
                      <w:b/>
                      <w:bCs/>
                      <w:color w:val="auto"/>
                      <w:sz w:val="18"/>
                      <w:szCs w:val="18"/>
                      <w:highlight w:val="none"/>
                      <w:vertAlign w:val="baseline"/>
                      <w:lang w:val="en-US" w:eastAsia="zh-CN"/>
                    </w:rPr>
                    <w:t>岗位名称</w:t>
                  </w:r>
                </w:p>
              </w:tc>
              <w:tc>
                <w:tcPr>
                  <w:tcW w:w="615" w:type="dxa"/>
                  <w:vAlign w:val="center"/>
                </w:tcPr>
                <w:p w14:paraId="3DB9BE59">
                  <w:pPr>
                    <w:pStyle w:val="14"/>
                    <w:jc w:val="center"/>
                    <w:rPr>
                      <w:rFonts w:hint="eastAsia"/>
                      <w:b/>
                      <w:bCs/>
                      <w:color w:val="auto"/>
                      <w:highlight w:val="none"/>
                      <w:vertAlign w:val="baseline"/>
                    </w:rPr>
                  </w:pPr>
                  <w:r>
                    <w:rPr>
                      <w:rFonts w:hint="eastAsia"/>
                      <w:b/>
                      <w:bCs/>
                      <w:color w:val="auto"/>
                      <w:sz w:val="18"/>
                      <w:szCs w:val="18"/>
                      <w:highlight w:val="none"/>
                      <w:vertAlign w:val="baseline"/>
                      <w:lang w:val="en-US" w:eastAsia="zh-CN"/>
                    </w:rPr>
                    <w:t>数量</w:t>
                  </w:r>
                </w:p>
              </w:tc>
              <w:tc>
                <w:tcPr>
                  <w:tcW w:w="3617" w:type="dxa"/>
                  <w:vAlign w:val="center"/>
                </w:tcPr>
                <w:p w14:paraId="116EE693">
                  <w:pPr>
                    <w:pStyle w:val="14"/>
                    <w:jc w:val="center"/>
                    <w:rPr>
                      <w:rFonts w:hint="eastAsia"/>
                      <w:b/>
                      <w:bCs/>
                      <w:color w:val="auto"/>
                      <w:highlight w:val="none"/>
                      <w:vertAlign w:val="baseline"/>
                    </w:rPr>
                  </w:pPr>
                  <w:r>
                    <w:rPr>
                      <w:rFonts w:hint="eastAsia"/>
                      <w:b/>
                      <w:bCs/>
                      <w:color w:val="auto"/>
                      <w:sz w:val="18"/>
                      <w:szCs w:val="18"/>
                      <w:highlight w:val="none"/>
                      <w:vertAlign w:val="baseline"/>
                      <w:lang w:val="en-US" w:eastAsia="zh-CN"/>
                    </w:rPr>
                    <w:t>有关要求</w:t>
                  </w:r>
                </w:p>
              </w:tc>
            </w:tr>
            <w:tr w14:paraId="11ED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162C49E">
                  <w:pPr>
                    <w:pStyle w:val="47"/>
                    <w:widowControl/>
                    <w:jc w:val="center"/>
                    <w:rPr>
                      <w:rFonts w:hint="eastAsia"/>
                      <w:b w:val="0"/>
                      <w:bCs w:val="0"/>
                      <w:color w:val="auto"/>
                      <w:sz w:val="18"/>
                      <w:szCs w:val="18"/>
                      <w:highlight w:val="none"/>
                      <w:vertAlign w:val="baseline"/>
                    </w:rPr>
                  </w:pPr>
                  <w:r>
                    <w:rPr>
                      <w:rFonts w:hint="eastAsia" w:ascii="宋体" w:hAnsi="宋体" w:cs="宋体"/>
                      <w:b w:val="0"/>
                      <w:bCs w:val="0"/>
                      <w:color w:val="auto"/>
                      <w:kern w:val="0"/>
                      <w:sz w:val="18"/>
                      <w:szCs w:val="18"/>
                      <w:highlight w:val="none"/>
                    </w:rPr>
                    <w:t>建筑专业负责人</w:t>
                  </w:r>
                </w:p>
              </w:tc>
              <w:tc>
                <w:tcPr>
                  <w:tcW w:w="615" w:type="dxa"/>
                  <w:vAlign w:val="center"/>
                </w:tcPr>
                <w:p w14:paraId="31DA437C">
                  <w:pPr>
                    <w:pStyle w:val="14"/>
                    <w:jc w:val="center"/>
                    <w:rPr>
                      <w:rFonts w:hint="eastAsia" w:eastAsia="宋体"/>
                      <w:b/>
                      <w:color w:val="auto"/>
                      <w:sz w:val="18"/>
                      <w:szCs w:val="18"/>
                      <w:highlight w:val="none"/>
                      <w:vertAlign w:val="baseline"/>
                      <w:lang w:val="en-US" w:eastAsia="zh-CN"/>
                    </w:rPr>
                  </w:pPr>
                  <w:r>
                    <w:rPr>
                      <w:rFonts w:hint="eastAsia"/>
                      <w:b/>
                      <w:color w:val="auto"/>
                      <w:sz w:val="18"/>
                      <w:szCs w:val="18"/>
                      <w:highlight w:val="none"/>
                      <w:vertAlign w:val="baseline"/>
                      <w:lang w:val="en-US" w:eastAsia="zh-CN"/>
                    </w:rPr>
                    <w:t>1</w:t>
                  </w:r>
                </w:p>
              </w:tc>
              <w:tc>
                <w:tcPr>
                  <w:tcW w:w="3617" w:type="dxa"/>
                  <w:vAlign w:val="center"/>
                </w:tcPr>
                <w:p w14:paraId="3AE029F5">
                  <w:pPr>
                    <w:pStyle w:val="47"/>
                    <w:widowControl/>
                    <w:jc w:val="left"/>
                    <w:rPr>
                      <w:rFonts w:hint="eastAsia"/>
                      <w:b/>
                      <w:color w:val="auto"/>
                      <w:sz w:val="18"/>
                      <w:szCs w:val="18"/>
                      <w:highlight w:val="none"/>
                      <w:vertAlign w:val="baseline"/>
                    </w:rPr>
                  </w:pPr>
                  <w:r>
                    <w:rPr>
                      <w:rFonts w:hint="eastAsia" w:ascii="宋体" w:hAnsi="宋体" w:cs="宋体"/>
                      <w:color w:val="auto"/>
                      <w:kern w:val="0"/>
                      <w:sz w:val="18"/>
                      <w:szCs w:val="18"/>
                      <w:highlight w:val="none"/>
                    </w:rPr>
                    <w:t>具有一级注册建筑师执业资格，同时具有工程师及以上职称。</w:t>
                  </w:r>
                </w:p>
              </w:tc>
            </w:tr>
            <w:tr w14:paraId="248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B57C18">
                  <w:pPr>
                    <w:pStyle w:val="47"/>
                    <w:widowControl/>
                    <w:jc w:val="center"/>
                    <w:rPr>
                      <w:rFonts w:hint="eastAsia"/>
                      <w:b w:val="0"/>
                      <w:bCs w:val="0"/>
                      <w:color w:val="auto"/>
                      <w:sz w:val="18"/>
                      <w:szCs w:val="18"/>
                      <w:highlight w:val="none"/>
                      <w:vertAlign w:val="baseline"/>
                    </w:rPr>
                  </w:pPr>
                  <w:r>
                    <w:rPr>
                      <w:rFonts w:hint="eastAsia" w:ascii="宋体" w:hAnsi="宋体" w:cs="宋体"/>
                      <w:b w:val="0"/>
                      <w:bCs w:val="0"/>
                      <w:color w:val="auto"/>
                      <w:kern w:val="0"/>
                      <w:sz w:val="18"/>
                      <w:szCs w:val="18"/>
                      <w:highlight w:val="none"/>
                    </w:rPr>
                    <w:t>结构专业负责人</w:t>
                  </w:r>
                </w:p>
              </w:tc>
              <w:tc>
                <w:tcPr>
                  <w:tcW w:w="615" w:type="dxa"/>
                  <w:vAlign w:val="center"/>
                </w:tcPr>
                <w:p w14:paraId="2FACF85C">
                  <w:pPr>
                    <w:pStyle w:val="14"/>
                    <w:jc w:val="center"/>
                    <w:rPr>
                      <w:rFonts w:hint="default" w:eastAsia="宋体"/>
                      <w:b/>
                      <w:color w:val="auto"/>
                      <w:sz w:val="18"/>
                      <w:szCs w:val="18"/>
                      <w:highlight w:val="none"/>
                      <w:vertAlign w:val="baseline"/>
                      <w:lang w:val="en-US" w:eastAsia="zh-CN"/>
                    </w:rPr>
                  </w:pPr>
                  <w:r>
                    <w:rPr>
                      <w:rFonts w:hint="eastAsia"/>
                      <w:b/>
                      <w:color w:val="auto"/>
                      <w:sz w:val="18"/>
                      <w:szCs w:val="18"/>
                      <w:highlight w:val="none"/>
                      <w:vertAlign w:val="baseline"/>
                      <w:lang w:val="en-US" w:eastAsia="zh-CN"/>
                    </w:rPr>
                    <w:t>1</w:t>
                  </w:r>
                </w:p>
              </w:tc>
              <w:tc>
                <w:tcPr>
                  <w:tcW w:w="3617" w:type="dxa"/>
                  <w:vAlign w:val="center"/>
                </w:tcPr>
                <w:p w14:paraId="3DEC2638">
                  <w:pPr>
                    <w:pStyle w:val="47"/>
                    <w:widowControl/>
                    <w:jc w:val="left"/>
                    <w:rPr>
                      <w:rFonts w:hint="eastAsia"/>
                      <w:b/>
                      <w:color w:val="auto"/>
                      <w:sz w:val="18"/>
                      <w:szCs w:val="18"/>
                      <w:highlight w:val="none"/>
                      <w:vertAlign w:val="baseline"/>
                    </w:rPr>
                  </w:pPr>
                  <w:r>
                    <w:rPr>
                      <w:rFonts w:hint="eastAsia" w:ascii="宋体" w:hAnsi="宋体" w:cs="宋体"/>
                      <w:color w:val="auto"/>
                      <w:kern w:val="0"/>
                      <w:sz w:val="18"/>
                      <w:szCs w:val="18"/>
                      <w:highlight w:val="none"/>
                    </w:rPr>
                    <w:t>具有一级注册结构师执业资格，同时具有工程师及以上职称。</w:t>
                  </w:r>
                </w:p>
              </w:tc>
            </w:tr>
            <w:tr w14:paraId="37A2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D44AFB7">
                  <w:pPr>
                    <w:pStyle w:val="47"/>
                    <w:widowControl/>
                    <w:jc w:val="center"/>
                    <w:rPr>
                      <w:rFonts w:hint="eastAsia"/>
                      <w:b w:val="0"/>
                      <w:bCs w:val="0"/>
                      <w:color w:val="auto"/>
                      <w:sz w:val="18"/>
                      <w:szCs w:val="18"/>
                      <w:highlight w:val="none"/>
                      <w:vertAlign w:val="baseline"/>
                    </w:rPr>
                  </w:pPr>
                  <w:r>
                    <w:rPr>
                      <w:rFonts w:hint="eastAsia" w:ascii="宋体" w:hAnsi="宋体" w:cs="宋体"/>
                      <w:b w:val="0"/>
                      <w:bCs w:val="0"/>
                      <w:color w:val="auto"/>
                      <w:kern w:val="0"/>
                      <w:sz w:val="18"/>
                      <w:szCs w:val="18"/>
                      <w:highlight w:val="none"/>
                    </w:rPr>
                    <w:t>给排水专业负责人</w:t>
                  </w:r>
                </w:p>
              </w:tc>
              <w:tc>
                <w:tcPr>
                  <w:tcW w:w="615" w:type="dxa"/>
                  <w:vAlign w:val="center"/>
                </w:tcPr>
                <w:p w14:paraId="583D3684">
                  <w:pPr>
                    <w:pStyle w:val="14"/>
                    <w:jc w:val="center"/>
                    <w:rPr>
                      <w:rFonts w:hint="eastAsia" w:eastAsia="宋体"/>
                      <w:b/>
                      <w:color w:val="auto"/>
                      <w:sz w:val="18"/>
                      <w:szCs w:val="18"/>
                      <w:highlight w:val="none"/>
                      <w:vertAlign w:val="baseline"/>
                      <w:lang w:val="en-US" w:eastAsia="zh-CN"/>
                    </w:rPr>
                  </w:pPr>
                  <w:r>
                    <w:rPr>
                      <w:rFonts w:hint="eastAsia"/>
                      <w:b/>
                      <w:color w:val="auto"/>
                      <w:sz w:val="18"/>
                      <w:szCs w:val="18"/>
                      <w:highlight w:val="none"/>
                      <w:vertAlign w:val="baseline"/>
                      <w:lang w:val="en-US" w:eastAsia="zh-CN"/>
                    </w:rPr>
                    <w:t>1</w:t>
                  </w:r>
                </w:p>
              </w:tc>
              <w:tc>
                <w:tcPr>
                  <w:tcW w:w="3617" w:type="dxa"/>
                  <w:vAlign w:val="center"/>
                </w:tcPr>
                <w:p w14:paraId="3B4F10F8">
                  <w:pPr>
                    <w:pStyle w:val="47"/>
                    <w:widowControl/>
                    <w:jc w:val="left"/>
                    <w:rPr>
                      <w:rFonts w:hint="eastAsia"/>
                      <w:b/>
                      <w:color w:val="auto"/>
                      <w:sz w:val="18"/>
                      <w:szCs w:val="18"/>
                      <w:highlight w:val="none"/>
                      <w:vertAlign w:val="baseline"/>
                    </w:rPr>
                  </w:pPr>
                  <w:r>
                    <w:rPr>
                      <w:rFonts w:hint="eastAsia" w:ascii="宋体" w:hAnsi="宋体" w:cs="宋体"/>
                      <w:color w:val="auto"/>
                      <w:kern w:val="0"/>
                      <w:sz w:val="18"/>
                      <w:szCs w:val="18"/>
                      <w:highlight w:val="none"/>
                    </w:rPr>
                    <w:t>具有注册公用设备工程师（给水排水）执业资格，同时具有工程师及以上职称。</w:t>
                  </w:r>
                </w:p>
              </w:tc>
            </w:tr>
            <w:tr w14:paraId="0AED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4D43081">
                  <w:pPr>
                    <w:pStyle w:val="47"/>
                    <w:widowControl/>
                    <w:jc w:val="center"/>
                    <w:rPr>
                      <w:rFonts w:hint="eastAsia"/>
                      <w:b w:val="0"/>
                      <w:bCs w:val="0"/>
                      <w:color w:val="auto"/>
                      <w:sz w:val="18"/>
                      <w:szCs w:val="18"/>
                      <w:highlight w:val="none"/>
                      <w:vertAlign w:val="baseline"/>
                    </w:rPr>
                  </w:pPr>
                  <w:r>
                    <w:rPr>
                      <w:rFonts w:hint="eastAsia" w:ascii="宋体" w:hAnsi="宋体" w:cs="宋体"/>
                      <w:b w:val="0"/>
                      <w:bCs w:val="0"/>
                      <w:color w:val="auto"/>
                      <w:kern w:val="0"/>
                      <w:sz w:val="18"/>
                      <w:szCs w:val="18"/>
                      <w:highlight w:val="none"/>
                    </w:rPr>
                    <w:t>暖通专业负责人</w:t>
                  </w:r>
                </w:p>
              </w:tc>
              <w:tc>
                <w:tcPr>
                  <w:tcW w:w="615" w:type="dxa"/>
                  <w:vAlign w:val="center"/>
                </w:tcPr>
                <w:p w14:paraId="08C39A28">
                  <w:pPr>
                    <w:pStyle w:val="14"/>
                    <w:jc w:val="center"/>
                    <w:rPr>
                      <w:rFonts w:hint="eastAsia" w:eastAsia="宋体"/>
                      <w:b/>
                      <w:color w:val="auto"/>
                      <w:sz w:val="18"/>
                      <w:szCs w:val="18"/>
                      <w:highlight w:val="none"/>
                      <w:vertAlign w:val="baseline"/>
                      <w:lang w:val="en-US" w:eastAsia="zh-CN"/>
                    </w:rPr>
                  </w:pPr>
                  <w:r>
                    <w:rPr>
                      <w:rFonts w:hint="eastAsia"/>
                      <w:b/>
                      <w:color w:val="auto"/>
                      <w:sz w:val="18"/>
                      <w:szCs w:val="18"/>
                      <w:highlight w:val="none"/>
                      <w:vertAlign w:val="baseline"/>
                      <w:lang w:val="en-US" w:eastAsia="zh-CN"/>
                    </w:rPr>
                    <w:t>1</w:t>
                  </w:r>
                </w:p>
              </w:tc>
              <w:tc>
                <w:tcPr>
                  <w:tcW w:w="3617" w:type="dxa"/>
                  <w:vAlign w:val="center"/>
                </w:tcPr>
                <w:p w14:paraId="5A1A2F42">
                  <w:pPr>
                    <w:pStyle w:val="47"/>
                    <w:widowControl/>
                    <w:jc w:val="left"/>
                    <w:rPr>
                      <w:rFonts w:hint="eastAsia"/>
                      <w:b/>
                      <w:color w:val="auto"/>
                      <w:sz w:val="18"/>
                      <w:szCs w:val="18"/>
                      <w:highlight w:val="none"/>
                      <w:vertAlign w:val="baseline"/>
                    </w:rPr>
                  </w:pPr>
                  <w:r>
                    <w:rPr>
                      <w:rFonts w:hint="eastAsia" w:ascii="宋体" w:hAnsi="宋体" w:cs="宋体"/>
                      <w:color w:val="auto"/>
                      <w:kern w:val="0"/>
                      <w:sz w:val="18"/>
                      <w:szCs w:val="18"/>
                      <w:highlight w:val="none"/>
                    </w:rPr>
                    <w:t>具有注册公用设备工程师（暖通空调）执业资格，同时具有工程师及以上职称。</w:t>
                  </w:r>
                </w:p>
              </w:tc>
            </w:tr>
            <w:tr w14:paraId="6E62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341ED96">
                  <w:pPr>
                    <w:pStyle w:val="47"/>
                    <w:widowControl/>
                    <w:jc w:val="center"/>
                    <w:rPr>
                      <w:rFonts w:hint="eastAsia"/>
                      <w:b w:val="0"/>
                      <w:bCs w:val="0"/>
                      <w:color w:val="auto"/>
                      <w:sz w:val="18"/>
                      <w:szCs w:val="18"/>
                      <w:highlight w:val="none"/>
                      <w:vertAlign w:val="baseline"/>
                    </w:rPr>
                  </w:pPr>
                  <w:r>
                    <w:rPr>
                      <w:rFonts w:hint="eastAsia" w:ascii="宋体" w:hAnsi="宋体" w:cs="宋体"/>
                      <w:b w:val="0"/>
                      <w:bCs w:val="0"/>
                      <w:color w:val="auto"/>
                      <w:kern w:val="0"/>
                      <w:sz w:val="18"/>
                      <w:szCs w:val="18"/>
                      <w:highlight w:val="none"/>
                    </w:rPr>
                    <w:t>电气专业负责人</w:t>
                  </w:r>
                </w:p>
              </w:tc>
              <w:tc>
                <w:tcPr>
                  <w:tcW w:w="615" w:type="dxa"/>
                  <w:vAlign w:val="center"/>
                </w:tcPr>
                <w:p w14:paraId="7F6CC548">
                  <w:pPr>
                    <w:pStyle w:val="14"/>
                    <w:jc w:val="center"/>
                    <w:rPr>
                      <w:rFonts w:hint="eastAsia" w:eastAsia="宋体"/>
                      <w:b/>
                      <w:color w:val="auto"/>
                      <w:sz w:val="18"/>
                      <w:szCs w:val="18"/>
                      <w:highlight w:val="none"/>
                      <w:vertAlign w:val="baseline"/>
                      <w:lang w:val="en-US" w:eastAsia="zh-CN"/>
                    </w:rPr>
                  </w:pPr>
                  <w:r>
                    <w:rPr>
                      <w:rFonts w:hint="eastAsia"/>
                      <w:b/>
                      <w:color w:val="auto"/>
                      <w:sz w:val="18"/>
                      <w:szCs w:val="18"/>
                      <w:highlight w:val="none"/>
                      <w:vertAlign w:val="baseline"/>
                      <w:lang w:val="en-US" w:eastAsia="zh-CN"/>
                    </w:rPr>
                    <w:t>1</w:t>
                  </w:r>
                </w:p>
              </w:tc>
              <w:tc>
                <w:tcPr>
                  <w:tcW w:w="3617" w:type="dxa"/>
                  <w:vAlign w:val="center"/>
                </w:tcPr>
                <w:p w14:paraId="74D884A3">
                  <w:pPr>
                    <w:pStyle w:val="47"/>
                    <w:widowControl/>
                    <w:jc w:val="left"/>
                    <w:rPr>
                      <w:rFonts w:hint="eastAsia"/>
                      <w:b/>
                      <w:color w:val="auto"/>
                      <w:sz w:val="18"/>
                      <w:szCs w:val="18"/>
                      <w:highlight w:val="none"/>
                      <w:vertAlign w:val="baseline"/>
                    </w:rPr>
                  </w:pPr>
                  <w:r>
                    <w:rPr>
                      <w:rFonts w:hint="eastAsia" w:ascii="宋体" w:hAnsi="宋体" w:cs="宋体"/>
                      <w:color w:val="auto"/>
                      <w:kern w:val="0"/>
                      <w:sz w:val="18"/>
                      <w:szCs w:val="18"/>
                      <w:highlight w:val="none"/>
                    </w:rPr>
                    <w:t>具有注册电气工程师（供配电）执业资格，同时具有工程师及以上职称。</w:t>
                  </w:r>
                </w:p>
              </w:tc>
            </w:tr>
          </w:tbl>
          <w:p w14:paraId="720A20B1">
            <w:pPr>
              <w:pStyle w:val="14"/>
              <w:rPr>
                <w:rFonts w:hint="eastAsia"/>
                <w:b/>
                <w:color w:val="auto"/>
                <w:highlight w:val="none"/>
              </w:rPr>
            </w:pPr>
          </w:p>
          <w:p w14:paraId="1448D380">
            <w:pPr>
              <w:spacing w:line="320" w:lineRule="exact"/>
              <w:rPr>
                <w:color w:val="auto"/>
                <w:highlight w:val="none"/>
              </w:rPr>
            </w:pPr>
            <w:r>
              <w:rPr>
                <w:rFonts w:hint="eastAsia"/>
                <w:b/>
                <w:color w:val="auto"/>
                <w:highlight w:val="none"/>
              </w:rPr>
              <w:t>其他要求：</w:t>
            </w:r>
            <w:r>
              <w:rPr>
                <w:rFonts w:hint="eastAsia" w:ascii="宋体" w:hAnsi="宋体" w:cs="宋体"/>
                <w:color w:val="auto"/>
                <w:szCs w:val="24"/>
                <w:highlight w:val="none"/>
              </w:rPr>
              <w:t>外省企业须按照辽宁省建设厅《关于加强省外施工企业入辽承揽业务监管工作的通知》（辽住建【2016】1号）文件要求执行，必须到辽宁省建设厅办理入辽备案（信息报送单）。</w:t>
            </w:r>
          </w:p>
        </w:tc>
      </w:tr>
      <w:tr w14:paraId="055E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2BFCBBDF">
            <w:pPr>
              <w:spacing w:line="320" w:lineRule="exact"/>
              <w:jc w:val="center"/>
              <w:rPr>
                <w:color w:val="auto"/>
                <w:highlight w:val="none"/>
              </w:rPr>
            </w:pPr>
            <w:r>
              <w:rPr>
                <w:rFonts w:hint="eastAsia"/>
                <w:color w:val="auto"/>
                <w:highlight w:val="none"/>
              </w:rPr>
              <w:t>1.4.2</w:t>
            </w:r>
          </w:p>
        </w:tc>
        <w:tc>
          <w:tcPr>
            <w:tcW w:w="2334" w:type="dxa"/>
            <w:vAlign w:val="center"/>
          </w:tcPr>
          <w:p w14:paraId="5861DA47">
            <w:pPr>
              <w:spacing w:line="320" w:lineRule="exact"/>
              <w:jc w:val="center"/>
              <w:rPr>
                <w:color w:val="auto"/>
                <w:highlight w:val="none"/>
              </w:rPr>
            </w:pPr>
            <w:r>
              <w:rPr>
                <w:rFonts w:hint="eastAsia"/>
                <w:color w:val="auto"/>
                <w:highlight w:val="none"/>
              </w:rPr>
              <w:t>是否接受联合体投标</w:t>
            </w:r>
          </w:p>
        </w:tc>
        <w:tc>
          <w:tcPr>
            <w:tcW w:w="5436" w:type="dxa"/>
            <w:vAlign w:val="center"/>
          </w:tcPr>
          <w:p w14:paraId="38F9A190">
            <w:pPr>
              <w:spacing w:line="320" w:lineRule="exact"/>
              <w:jc w:val="left"/>
              <w:rPr>
                <w:color w:val="auto"/>
                <w:highlight w:val="none"/>
              </w:rPr>
            </w:pPr>
            <w:r>
              <w:rPr>
                <w:rFonts w:hint="eastAsia"/>
                <w:color w:val="auto"/>
                <w:highlight w:val="none"/>
              </w:rPr>
              <w:t>□不接受</w:t>
            </w:r>
          </w:p>
          <w:p w14:paraId="4D33830A">
            <w:pPr>
              <w:spacing w:line="320" w:lineRule="exact"/>
              <w:jc w:val="left"/>
              <w:rPr>
                <w:color w:val="auto"/>
                <w:sz w:val="21"/>
                <w:szCs w:val="21"/>
                <w:highlight w:val="none"/>
                <w:u w:val="single"/>
              </w:rPr>
            </w:pPr>
            <w:r>
              <w:rPr>
                <w:rFonts w:hint="eastAsia"/>
                <w:color w:val="auto"/>
                <w:highlight w:val="none"/>
              </w:rPr>
              <w:t>☑接受，应满足下列要求：</w:t>
            </w:r>
            <w:r>
              <w:rPr>
                <w:rFonts w:hint="eastAsia" w:ascii="宋体" w:hAnsi="宋体" w:cs="宋体"/>
                <w:color w:val="auto"/>
                <w:sz w:val="21"/>
                <w:szCs w:val="21"/>
                <w:highlight w:val="none"/>
                <w:u w:val="single"/>
              </w:rPr>
              <w:t>（1）投标时须提交联合体协议，载明联合体投标代表的牵头人，本项目联合体牵头人应为具备施工总承包资质的一方。（2）联合体投标组成成</w:t>
            </w:r>
            <w:r>
              <w:rPr>
                <w:rFonts w:hint="eastAsia" w:ascii="宋体" w:hAnsi="宋体" w:cs="宋体"/>
                <w:color w:val="auto"/>
                <w:sz w:val="21"/>
                <w:szCs w:val="21"/>
                <w:highlight w:val="none"/>
                <w:u w:val="single"/>
              </w:rPr>
              <w:t>员不超过2家（含）。（3）</w:t>
            </w:r>
            <w:r>
              <w:rPr>
                <w:rFonts w:hint="eastAsia" w:ascii="宋体" w:hAnsi="宋体" w:cs="宋体"/>
                <w:color w:val="auto"/>
                <w:sz w:val="21"/>
                <w:szCs w:val="21"/>
                <w:highlight w:val="none"/>
                <w:u w:val="single"/>
              </w:rPr>
              <w:t>设计单位和施工单位组成联合体的，应当在联合体协议中明确联合体成员单位的工作范围、责任和权利。联合体各方应当共同与招标人签订工程总承包合同，就工程总承包项目承担连带责任。（4）联合体各方不得再以自己名义单独或参加其他联合体在本招标项目中投标。</w:t>
            </w:r>
          </w:p>
          <w:p w14:paraId="6D820A61">
            <w:pPr>
              <w:spacing w:line="320" w:lineRule="exact"/>
              <w:jc w:val="left"/>
              <w:rPr>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1EF6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2165C596">
            <w:pPr>
              <w:spacing w:line="320" w:lineRule="exact"/>
              <w:jc w:val="center"/>
              <w:rPr>
                <w:color w:val="auto"/>
                <w:highlight w:val="none"/>
              </w:rPr>
            </w:pPr>
            <w:r>
              <w:rPr>
                <w:rFonts w:hint="eastAsia"/>
                <w:color w:val="auto"/>
                <w:highlight w:val="none"/>
              </w:rPr>
              <w:t>1.4.3（17）</w:t>
            </w:r>
          </w:p>
        </w:tc>
        <w:tc>
          <w:tcPr>
            <w:tcW w:w="2334" w:type="dxa"/>
            <w:vAlign w:val="center"/>
          </w:tcPr>
          <w:p w14:paraId="2E2D424F">
            <w:pPr>
              <w:spacing w:line="320" w:lineRule="exact"/>
              <w:jc w:val="center"/>
              <w:rPr>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color w:val="auto"/>
                <w:szCs w:val="21"/>
                <w:highlight w:val="none"/>
              </w:rPr>
              <w:t>的其他</w:t>
            </w:r>
            <w:r>
              <w:rPr>
                <w:rFonts w:hint="eastAsia"/>
                <w:color w:val="auto"/>
                <w:szCs w:val="21"/>
                <w:highlight w:val="none"/>
              </w:rPr>
              <w:t>情形</w:t>
            </w:r>
          </w:p>
        </w:tc>
        <w:tc>
          <w:tcPr>
            <w:tcW w:w="5436" w:type="dxa"/>
            <w:vAlign w:val="center"/>
          </w:tcPr>
          <w:p w14:paraId="1F9F7AE8">
            <w:pPr>
              <w:spacing w:line="320" w:lineRule="exact"/>
              <w:jc w:val="left"/>
              <w:rPr>
                <w:color w:val="auto"/>
                <w:highlight w:val="none"/>
              </w:rPr>
            </w:pPr>
            <w:r>
              <w:rPr>
                <w:rFonts w:hint="eastAsia"/>
                <w:color w:val="auto"/>
                <w:highlight w:val="none"/>
              </w:rPr>
              <w:t>/</w:t>
            </w:r>
          </w:p>
        </w:tc>
      </w:tr>
      <w:tr w14:paraId="66EB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0E0FD325">
            <w:pPr>
              <w:spacing w:line="320" w:lineRule="exact"/>
              <w:jc w:val="center"/>
              <w:rPr>
                <w:color w:val="auto"/>
                <w:highlight w:val="none"/>
              </w:rPr>
            </w:pPr>
            <w:r>
              <w:rPr>
                <w:rFonts w:hint="eastAsia"/>
                <w:color w:val="auto"/>
                <w:highlight w:val="none"/>
              </w:rPr>
              <w:t>1.5</w:t>
            </w:r>
          </w:p>
        </w:tc>
        <w:tc>
          <w:tcPr>
            <w:tcW w:w="2334" w:type="dxa"/>
            <w:vAlign w:val="center"/>
          </w:tcPr>
          <w:p w14:paraId="59FC5A44">
            <w:pPr>
              <w:spacing w:line="320" w:lineRule="exact"/>
              <w:jc w:val="center"/>
              <w:rPr>
                <w:rFonts w:hint="eastAsia" w:ascii="宋体" w:hAnsi="宋体"/>
                <w:color w:val="auto"/>
                <w:szCs w:val="21"/>
                <w:highlight w:val="none"/>
              </w:rPr>
            </w:pPr>
            <w:r>
              <w:rPr>
                <w:color w:val="auto"/>
                <w:highlight w:val="none"/>
              </w:rPr>
              <w:t>费用承担和设计成果补偿</w:t>
            </w:r>
          </w:p>
        </w:tc>
        <w:tc>
          <w:tcPr>
            <w:tcW w:w="5436" w:type="dxa"/>
            <w:vAlign w:val="center"/>
          </w:tcPr>
          <w:p w14:paraId="7B577D68">
            <w:pPr>
              <w:spacing w:line="320" w:lineRule="exact"/>
              <w:rPr>
                <w:color w:val="auto"/>
                <w:highlight w:val="none"/>
              </w:rPr>
            </w:pPr>
            <w:r>
              <w:rPr>
                <w:rFonts w:hint="eastAsia"/>
                <w:color w:val="auto"/>
                <w:highlight w:val="none"/>
              </w:rPr>
              <w:t>☑</w:t>
            </w:r>
            <w:r>
              <w:rPr>
                <w:color w:val="auto"/>
                <w:highlight w:val="none"/>
              </w:rPr>
              <w:t>不补偿</w:t>
            </w:r>
          </w:p>
          <w:p w14:paraId="2A088085">
            <w:pPr>
              <w:spacing w:line="320" w:lineRule="exact"/>
              <w:jc w:val="left"/>
              <w:rPr>
                <w:color w:val="auto"/>
                <w:highlight w:val="none"/>
              </w:rPr>
            </w:pPr>
            <w:r>
              <w:rPr>
                <w:rFonts w:hint="eastAsia"/>
                <w:color w:val="auto"/>
                <w:szCs w:val="21"/>
                <w:highlight w:val="none"/>
              </w:rPr>
              <w:t>□</w:t>
            </w:r>
            <w:r>
              <w:rPr>
                <w:color w:val="auto"/>
                <w:szCs w:val="21"/>
                <w:highlight w:val="none"/>
              </w:rPr>
              <w:t>补偿，补偿标准：</w:t>
            </w:r>
            <w:r>
              <w:rPr>
                <w:rFonts w:hint="eastAsia"/>
                <w:color w:val="auto"/>
                <w:szCs w:val="21"/>
                <w:highlight w:val="none"/>
                <w:u w:val="single"/>
              </w:rPr>
              <w:t>/</w:t>
            </w:r>
          </w:p>
        </w:tc>
      </w:tr>
      <w:tr w14:paraId="3ED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1525E4F9">
            <w:pPr>
              <w:spacing w:line="320" w:lineRule="exact"/>
              <w:jc w:val="center"/>
              <w:rPr>
                <w:color w:val="auto"/>
                <w:highlight w:val="none"/>
              </w:rPr>
            </w:pPr>
            <w:r>
              <w:rPr>
                <w:rFonts w:hint="eastAsia"/>
                <w:color w:val="auto"/>
                <w:highlight w:val="none"/>
              </w:rPr>
              <w:t>1.9.1</w:t>
            </w:r>
          </w:p>
        </w:tc>
        <w:tc>
          <w:tcPr>
            <w:tcW w:w="2334" w:type="dxa"/>
            <w:vAlign w:val="center"/>
          </w:tcPr>
          <w:p w14:paraId="46EDA8CE">
            <w:pPr>
              <w:spacing w:line="320" w:lineRule="exact"/>
              <w:jc w:val="center"/>
              <w:rPr>
                <w:color w:val="auto"/>
                <w:highlight w:val="none"/>
              </w:rPr>
            </w:pPr>
            <w:r>
              <w:rPr>
                <w:rFonts w:hint="eastAsia"/>
                <w:color w:val="auto"/>
                <w:highlight w:val="none"/>
              </w:rPr>
              <w:t>踏勘现场</w:t>
            </w:r>
          </w:p>
        </w:tc>
        <w:tc>
          <w:tcPr>
            <w:tcW w:w="5436" w:type="dxa"/>
            <w:vAlign w:val="center"/>
          </w:tcPr>
          <w:p w14:paraId="2C9ECDB0">
            <w:pPr>
              <w:spacing w:line="320" w:lineRule="exact"/>
              <w:jc w:val="left"/>
              <w:rPr>
                <w:color w:val="auto"/>
                <w:highlight w:val="none"/>
              </w:rPr>
            </w:pPr>
            <w:r>
              <w:rPr>
                <w:rFonts w:hint="eastAsia"/>
                <w:color w:val="auto"/>
                <w:highlight w:val="none"/>
              </w:rPr>
              <w:t>☑不统一组织</w:t>
            </w:r>
          </w:p>
          <w:p w14:paraId="07A0B215">
            <w:pPr>
              <w:spacing w:line="320" w:lineRule="exact"/>
              <w:jc w:val="left"/>
              <w:rPr>
                <w:color w:val="auto"/>
                <w:highlight w:val="none"/>
              </w:rPr>
            </w:pPr>
            <w:r>
              <w:rPr>
                <w:rFonts w:hint="eastAsia"/>
                <w:color w:val="auto"/>
                <w:highlight w:val="none"/>
              </w:rPr>
              <w:t>□统一组织，踏勘时间：</w:t>
            </w:r>
            <w:r>
              <w:rPr>
                <w:rFonts w:hint="eastAsia"/>
                <w:color w:val="auto"/>
                <w:highlight w:val="none"/>
                <w:u w:val="single"/>
              </w:rPr>
              <w:t>/</w:t>
            </w:r>
          </w:p>
          <w:p w14:paraId="509FC9C0">
            <w:pPr>
              <w:spacing w:line="320" w:lineRule="exact"/>
              <w:ind w:firstLine="1260" w:firstLineChars="600"/>
              <w:jc w:val="left"/>
              <w:rPr>
                <w:color w:val="auto"/>
                <w:highlight w:val="none"/>
              </w:rPr>
            </w:pPr>
            <w:r>
              <w:rPr>
                <w:rFonts w:hint="eastAsia"/>
                <w:color w:val="auto"/>
                <w:highlight w:val="none"/>
              </w:rPr>
              <w:t>踏勘集中地点：</w:t>
            </w:r>
            <w:r>
              <w:rPr>
                <w:rFonts w:hint="eastAsia"/>
                <w:color w:val="auto"/>
                <w:highlight w:val="none"/>
                <w:u w:val="single"/>
              </w:rPr>
              <w:t>/</w:t>
            </w:r>
          </w:p>
        </w:tc>
      </w:tr>
      <w:tr w14:paraId="515B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6476E58A">
            <w:pPr>
              <w:spacing w:line="320" w:lineRule="exact"/>
              <w:jc w:val="center"/>
              <w:rPr>
                <w:color w:val="auto"/>
                <w:highlight w:val="none"/>
              </w:rPr>
            </w:pPr>
            <w:r>
              <w:rPr>
                <w:rFonts w:hint="eastAsia"/>
                <w:color w:val="auto"/>
                <w:highlight w:val="none"/>
              </w:rPr>
              <w:t>1.10.1</w:t>
            </w:r>
          </w:p>
        </w:tc>
        <w:tc>
          <w:tcPr>
            <w:tcW w:w="2334" w:type="dxa"/>
            <w:vAlign w:val="center"/>
          </w:tcPr>
          <w:p w14:paraId="3271D7C1">
            <w:pPr>
              <w:spacing w:line="320" w:lineRule="exact"/>
              <w:jc w:val="center"/>
              <w:rPr>
                <w:color w:val="auto"/>
                <w:highlight w:val="none"/>
              </w:rPr>
            </w:pPr>
            <w:r>
              <w:rPr>
                <w:rFonts w:hint="eastAsia"/>
                <w:color w:val="auto"/>
                <w:highlight w:val="none"/>
              </w:rPr>
              <w:t>投标预备会</w:t>
            </w:r>
          </w:p>
        </w:tc>
        <w:tc>
          <w:tcPr>
            <w:tcW w:w="5436" w:type="dxa"/>
            <w:vAlign w:val="center"/>
          </w:tcPr>
          <w:p w14:paraId="7151A01B">
            <w:pPr>
              <w:spacing w:line="320" w:lineRule="exact"/>
              <w:jc w:val="left"/>
              <w:rPr>
                <w:color w:val="auto"/>
                <w:highlight w:val="none"/>
              </w:rPr>
            </w:pPr>
            <w:r>
              <w:rPr>
                <w:rFonts w:hint="eastAsia"/>
                <w:color w:val="auto"/>
                <w:highlight w:val="none"/>
              </w:rPr>
              <w:t>☑不召开</w:t>
            </w:r>
          </w:p>
          <w:p w14:paraId="4B9423E0">
            <w:pPr>
              <w:spacing w:line="320" w:lineRule="exact"/>
              <w:jc w:val="left"/>
              <w:rPr>
                <w:color w:val="auto"/>
                <w:highlight w:val="none"/>
              </w:rPr>
            </w:pPr>
            <w:r>
              <w:rPr>
                <w:rFonts w:hint="eastAsia"/>
                <w:color w:val="auto"/>
                <w:highlight w:val="none"/>
              </w:rPr>
              <w:t>□召开，召开时间：</w:t>
            </w:r>
            <w:r>
              <w:rPr>
                <w:rFonts w:hint="eastAsia"/>
                <w:color w:val="auto"/>
                <w:highlight w:val="none"/>
                <w:u w:val="single"/>
              </w:rPr>
              <w:t>/</w:t>
            </w:r>
          </w:p>
          <w:p w14:paraId="3ABBD573">
            <w:pPr>
              <w:spacing w:line="320" w:lineRule="exact"/>
              <w:ind w:firstLine="840" w:firstLineChars="400"/>
              <w:jc w:val="left"/>
              <w:rPr>
                <w:color w:val="auto"/>
                <w:highlight w:val="none"/>
              </w:rPr>
            </w:pPr>
            <w:r>
              <w:rPr>
                <w:rFonts w:hint="eastAsia"/>
                <w:color w:val="auto"/>
                <w:highlight w:val="none"/>
              </w:rPr>
              <w:t>召开地点：</w:t>
            </w:r>
            <w:r>
              <w:rPr>
                <w:rFonts w:hint="eastAsia"/>
                <w:color w:val="auto"/>
                <w:highlight w:val="none"/>
                <w:u w:val="single"/>
              </w:rPr>
              <w:t>/</w:t>
            </w:r>
          </w:p>
        </w:tc>
      </w:tr>
      <w:tr w14:paraId="0EB1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48C9DF9B">
            <w:pPr>
              <w:spacing w:line="320" w:lineRule="exact"/>
              <w:jc w:val="center"/>
              <w:rPr>
                <w:color w:val="auto"/>
                <w:highlight w:val="none"/>
              </w:rPr>
            </w:pPr>
            <w:r>
              <w:rPr>
                <w:rFonts w:hint="eastAsia"/>
                <w:color w:val="auto"/>
                <w:highlight w:val="none"/>
              </w:rPr>
              <w:t>1.10.2</w:t>
            </w:r>
          </w:p>
        </w:tc>
        <w:tc>
          <w:tcPr>
            <w:tcW w:w="2334" w:type="dxa"/>
            <w:vAlign w:val="center"/>
          </w:tcPr>
          <w:p w14:paraId="2E22807C">
            <w:pPr>
              <w:spacing w:line="320" w:lineRule="exact"/>
              <w:jc w:val="center"/>
              <w:rPr>
                <w:color w:val="auto"/>
                <w:highlight w:val="none"/>
              </w:rPr>
            </w:pPr>
            <w:r>
              <w:rPr>
                <w:rFonts w:hint="eastAsia"/>
                <w:color w:val="auto"/>
                <w:highlight w:val="none"/>
              </w:rPr>
              <w:t>投标人提出问题的</w:t>
            </w:r>
          </w:p>
          <w:p w14:paraId="0471A0A8">
            <w:pPr>
              <w:spacing w:line="320" w:lineRule="exact"/>
              <w:jc w:val="center"/>
              <w:rPr>
                <w:color w:val="auto"/>
                <w:highlight w:val="none"/>
              </w:rPr>
            </w:pPr>
            <w:r>
              <w:rPr>
                <w:rFonts w:hint="eastAsia"/>
                <w:color w:val="auto"/>
                <w:highlight w:val="none"/>
              </w:rPr>
              <w:t>截止时间</w:t>
            </w:r>
          </w:p>
        </w:tc>
        <w:tc>
          <w:tcPr>
            <w:tcW w:w="5436" w:type="dxa"/>
            <w:vAlign w:val="center"/>
          </w:tcPr>
          <w:p w14:paraId="15176AD4">
            <w:pPr>
              <w:spacing w:line="320" w:lineRule="exact"/>
              <w:jc w:val="left"/>
              <w:rPr>
                <w:color w:val="auto"/>
                <w:highlight w:val="none"/>
              </w:rPr>
            </w:pPr>
            <w:r>
              <w:rPr>
                <w:rFonts w:hint="eastAsia"/>
                <w:color w:val="auto"/>
                <w:highlight w:val="none"/>
              </w:rPr>
              <w:t>2025-0</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XX  </w:t>
            </w:r>
            <w:r>
              <w:rPr>
                <w:rFonts w:hint="eastAsia"/>
                <w:color w:val="auto"/>
                <w:highlight w:val="none"/>
              </w:rPr>
              <w:t xml:space="preserve"> </w:t>
            </w:r>
            <w:r>
              <w:rPr>
                <w:rFonts w:hint="eastAsia"/>
                <w:color w:val="auto"/>
                <w:highlight w:val="none"/>
                <w:lang w:val="en-US" w:eastAsia="zh-CN"/>
              </w:rPr>
              <w:t>10</w:t>
            </w:r>
            <w:r>
              <w:rPr>
                <w:rFonts w:hint="eastAsia"/>
                <w:color w:val="auto"/>
                <w:highlight w:val="none"/>
              </w:rPr>
              <w:t>:00</w:t>
            </w:r>
          </w:p>
        </w:tc>
      </w:tr>
      <w:tr w14:paraId="7EA3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57" w:type="dxa"/>
            <w:vAlign w:val="center"/>
          </w:tcPr>
          <w:p w14:paraId="04DE5793">
            <w:pPr>
              <w:spacing w:line="320" w:lineRule="exact"/>
              <w:jc w:val="center"/>
              <w:rPr>
                <w:color w:val="auto"/>
                <w:highlight w:val="none"/>
              </w:rPr>
            </w:pPr>
            <w:r>
              <w:rPr>
                <w:rFonts w:hint="eastAsia"/>
                <w:color w:val="auto"/>
                <w:highlight w:val="none"/>
              </w:rPr>
              <w:t>1.11.1</w:t>
            </w:r>
          </w:p>
        </w:tc>
        <w:tc>
          <w:tcPr>
            <w:tcW w:w="2334" w:type="dxa"/>
            <w:vAlign w:val="center"/>
          </w:tcPr>
          <w:p w14:paraId="59C75FBD">
            <w:pPr>
              <w:spacing w:line="320" w:lineRule="exact"/>
              <w:jc w:val="center"/>
              <w:rPr>
                <w:color w:val="auto"/>
                <w:highlight w:val="none"/>
              </w:rPr>
            </w:pPr>
            <w:r>
              <w:rPr>
                <w:color w:val="auto"/>
                <w:szCs w:val="21"/>
                <w:highlight w:val="none"/>
              </w:rPr>
              <w:t>招标人规定由分包人承担的工作</w:t>
            </w:r>
          </w:p>
        </w:tc>
        <w:tc>
          <w:tcPr>
            <w:tcW w:w="5436" w:type="dxa"/>
            <w:vAlign w:val="center"/>
          </w:tcPr>
          <w:p w14:paraId="35049844">
            <w:pPr>
              <w:spacing w:line="320" w:lineRule="exact"/>
              <w:jc w:val="left"/>
              <w:rPr>
                <w:color w:val="auto"/>
                <w:highlight w:val="none"/>
              </w:rPr>
            </w:pPr>
            <w:r>
              <w:rPr>
                <w:rFonts w:hint="eastAsia"/>
                <w:color w:val="auto"/>
                <w:highlight w:val="none"/>
              </w:rPr>
              <w:t>/</w:t>
            </w:r>
          </w:p>
        </w:tc>
      </w:tr>
      <w:tr w14:paraId="697B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3C5E7E11">
            <w:pPr>
              <w:spacing w:line="320" w:lineRule="exact"/>
              <w:jc w:val="center"/>
              <w:rPr>
                <w:color w:val="auto"/>
                <w:highlight w:val="none"/>
              </w:rPr>
            </w:pPr>
            <w:r>
              <w:rPr>
                <w:rFonts w:hint="eastAsia"/>
                <w:color w:val="auto"/>
                <w:highlight w:val="none"/>
              </w:rPr>
              <w:t>1.11.2</w:t>
            </w:r>
          </w:p>
        </w:tc>
        <w:tc>
          <w:tcPr>
            <w:tcW w:w="2334" w:type="dxa"/>
            <w:vAlign w:val="center"/>
          </w:tcPr>
          <w:p w14:paraId="6C44E3AA">
            <w:pPr>
              <w:spacing w:line="320" w:lineRule="exact"/>
              <w:jc w:val="center"/>
              <w:rPr>
                <w:color w:val="auto"/>
                <w:highlight w:val="none"/>
              </w:rPr>
            </w:pPr>
            <w:r>
              <w:rPr>
                <w:rFonts w:hint="eastAsia"/>
                <w:color w:val="auto"/>
                <w:highlight w:val="none"/>
              </w:rPr>
              <w:t>分  包</w:t>
            </w:r>
          </w:p>
        </w:tc>
        <w:tc>
          <w:tcPr>
            <w:tcW w:w="5436" w:type="dxa"/>
            <w:vAlign w:val="center"/>
          </w:tcPr>
          <w:p w14:paraId="520B1BDE">
            <w:pPr>
              <w:keepNext w:val="0"/>
              <w:keepLines w:val="0"/>
              <w:pageBreakBefore w:val="0"/>
              <w:widowControl/>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lang w:eastAsia="zh-CN"/>
              </w:rPr>
              <w:t>□</w:t>
            </w:r>
            <w:r>
              <w:rPr>
                <w:rFonts w:hint="eastAsia"/>
                <w:color w:val="auto"/>
                <w:highlight w:val="none"/>
              </w:rPr>
              <w:t>不允许</w:t>
            </w:r>
          </w:p>
          <w:p w14:paraId="2761E9BA">
            <w:pPr>
              <w:pStyle w:val="47"/>
              <w:adjustRightInd w:val="0"/>
              <w:rPr>
                <w:rFonts w:hint="eastAsia"/>
                <w:color w:val="auto"/>
                <w:highlight w:val="none"/>
                <w:u w:val="single"/>
                <w:lang w:eastAsia="zh-CN"/>
              </w:rPr>
            </w:pPr>
            <w:r>
              <w:rPr>
                <w:rFonts w:hint="eastAsia"/>
                <w:color w:val="auto"/>
                <w:highlight w:val="none"/>
                <w:lang w:eastAsia="zh-CN"/>
              </w:rPr>
              <w:t>☑</w:t>
            </w:r>
            <w:r>
              <w:rPr>
                <w:rFonts w:hint="eastAsia"/>
                <w:color w:val="auto"/>
                <w:highlight w:val="none"/>
              </w:rPr>
              <w:t>允许，分包内容要求：</w:t>
            </w:r>
            <w:r>
              <w:rPr>
                <w:rFonts w:hint="eastAsia"/>
                <w:color w:val="auto"/>
                <w:highlight w:val="none"/>
                <w:u w:val="single"/>
                <w:lang w:val="zh-CN"/>
              </w:rPr>
              <w:t>（</w:t>
            </w:r>
            <w:r>
              <w:rPr>
                <w:rFonts w:hint="eastAsia"/>
                <w:color w:val="auto"/>
                <w:highlight w:val="none"/>
                <w:u w:val="single"/>
              </w:rPr>
              <w:t>1</w:t>
            </w:r>
            <w:r>
              <w:rPr>
                <w:rFonts w:hint="eastAsia"/>
                <w:color w:val="auto"/>
                <w:highlight w:val="none"/>
                <w:u w:val="single"/>
                <w:lang w:val="zh-CN"/>
              </w:rPr>
              <w:t>）总承包单位应对总承包工程范围内的设计、设备采购、施工质量、现场安全生产和工程进度负总责；（</w:t>
            </w:r>
            <w:r>
              <w:rPr>
                <w:rFonts w:hint="eastAsia"/>
                <w:color w:val="auto"/>
                <w:highlight w:val="none"/>
                <w:u w:val="single"/>
              </w:rPr>
              <w:t>2</w:t>
            </w:r>
            <w:r>
              <w:rPr>
                <w:rFonts w:hint="eastAsia"/>
                <w:color w:val="auto"/>
                <w:highlight w:val="none"/>
                <w:u w:val="single"/>
                <w:lang w:val="zh-CN"/>
              </w:rPr>
              <w:t>）分包须符合法律和合同规定，但不免除总承包单位的质量、进度、安全、造价等各项合同义务和法律责任。总承包单位和分包单位就分包工程对建设单位承担连带责任；（3）当承包人不具备法定相应工作内容</w:t>
            </w:r>
            <w:r>
              <w:rPr>
                <w:rFonts w:hint="eastAsia"/>
                <w:color w:val="auto"/>
                <w:highlight w:val="none"/>
                <w:u w:val="single"/>
                <w:lang w:val="en-US" w:eastAsia="zh-CN"/>
              </w:rPr>
              <w:t>的</w:t>
            </w:r>
            <w:r>
              <w:rPr>
                <w:rFonts w:hint="eastAsia"/>
                <w:color w:val="auto"/>
                <w:highlight w:val="none"/>
                <w:u w:val="single"/>
                <w:lang w:val="zh-CN"/>
              </w:rPr>
              <w:t>资质条件时，应当分包给具备相应工作内容所需资质、设备、人员、经验、业绩的单位实施，否则一律不允许分包；（4）分包事项、分包内容报项目监理单位、项目管理公司（如有）综合评估后，报发包人同意后方可实施；（</w:t>
            </w:r>
            <w:r>
              <w:rPr>
                <w:rFonts w:hint="eastAsia"/>
                <w:color w:val="auto"/>
                <w:highlight w:val="none"/>
                <w:u w:val="single"/>
                <w:lang w:val="en-US" w:eastAsia="zh-CN"/>
              </w:rPr>
              <w:t>5</w:t>
            </w:r>
            <w:r>
              <w:rPr>
                <w:rFonts w:hint="eastAsia"/>
                <w:color w:val="auto"/>
                <w:highlight w:val="none"/>
                <w:u w:val="single"/>
                <w:lang w:val="zh-CN"/>
              </w:rPr>
              <w:t>）</w:t>
            </w:r>
            <w:r>
              <w:rPr>
                <w:rFonts w:hint="eastAsia"/>
                <w:color w:val="auto"/>
                <w:highlight w:val="none"/>
                <w:u w:val="single"/>
                <w:lang w:val="en-US" w:eastAsia="zh-CN"/>
              </w:rPr>
              <w:t>总承包单位不得将建设工程主体及关键部位进行分包；</w:t>
            </w:r>
            <w:r>
              <w:rPr>
                <w:rFonts w:hint="eastAsia"/>
                <w:color w:val="auto"/>
                <w:highlight w:val="none"/>
                <w:u w:val="single"/>
                <w:lang w:val="zh-CN"/>
              </w:rPr>
              <w:t>（</w:t>
            </w:r>
            <w:r>
              <w:rPr>
                <w:rFonts w:hint="eastAsia"/>
                <w:color w:val="auto"/>
                <w:highlight w:val="none"/>
                <w:u w:val="single"/>
                <w:lang w:val="en-US" w:eastAsia="zh-CN"/>
              </w:rPr>
              <w:t>6</w:t>
            </w:r>
            <w:r>
              <w:rPr>
                <w:rFonts w:hint="eastAsia"/>
                <w:color w:val="auto"/>
                <w:highlight w:val="none"/>
                <w:u w:val="single"/>
                <w:lang w:val="zh-CN"/>
              </w:rPr>
              <w:t>）本项目不得非法分包、转包。</w:t>
            </w:r>
          </w:p>
          <w:p w14:paraId="6CB548C5">
            <w:pPr>
              <w:keepNext w:val="0"/>
              <w:keepLines w:val="0"/>
              <w:pageBreakBefore w:val="0"/>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rPr>
              <w:t>分包金额要求：</w:t>
            </w:r>
            <w:r>
              <w:rPr>
                <w:rFonts w:hint="eastAsia"/>
                <w:color w:val="auto"/>
                <w:highlight w:val="none"/>
                <w:u w:val="single"/>
              </w:rPr>
              <w:t>/</w:t>
            </w:r>
          </w:p>
          <w:p w14:paraId="2B079BCA">
            <w:pPr>
              <w:keepNext w:val="0"/>
              <w:keepLines w:val="0"/>
              <w:pageBreakBefore w:val="0"/>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rPr>
              <w:t>接受分包的第三人资质要求：</w:t>
            </w:r>
            <w:r>
              <w:rPr>
                <w:rFonts w:hint="eastAsia"/>
                <w:color w:val="auto"/>
                <w:highlight w:val="none"/>
                <w:u w:val="single"/>
              </w:rPr>
              <w:t>/</w:t>
            </w:r>
          </w:p>
        </w:tc>
      </w:tr>
      <w:tr w14:paraId="31A0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7" w:type="dxa"/>
            <w:vAlign w:val="center"/>
          </w:tcPr>
          <w:p w14:paraId="71B88864">
            <w:pPr>
              <w:spacing w:line="320" w:lineRule="exact"/>
              <w:jc w:val="center"/>
              <w:rPr>
                <w:color w:val="auto"/>
                <w:highlight w:val="none"/>
              </w:rPr>
            </w:pPr>
            <w:r>
              <w:rPr>
                <w:rFonts w:hint="eastAsia"/>
                <w:color w:val="auto"/>
                <w:highlight w:val="none"/>
              </w:rPr>
              <w:t>1.12</w:t>
            </w:r>
          </w:p>
        </w:tc>
        <w:tc>
          <w:tcPr>
            <w:tcW w:w="2334" w:type="dxa"/>
            <w:vAlign w:val="center"/>
          </w:tcPr>
          <w:p w14:paraId="58014A7F">
            <w:pPr>
              <w:spacing w:line="320" w:lineRule="exact"/>
              <w:jc w:val="center"/>
              <w:rPr>
                <w:color w:val="auto"/>
                <w:highlight w:val="none"/>
              </w:rPr>
            </w:pPr>
            <w:r>
              <w:rPr>
                <w:rFonts w:hint="eastAsia"/>
                <w:color w:val="auto"/>
                <w:highlight w:val="none"/>
              </w:rPr>
              <w:t>偏  离</w:t>
            </w:r>
          </w:p>
        </w:tc>
        <w:tc>
          <w:tcPr>
            <w:tcW w:w="5436" w:type="dxa"/>
            <w:vAlign w:val="center"/>
          </w:tcPr>
          <w:p w14:paraId="68287945">
            <w:pPr>
              <w:spacing w:line="320" w:lineRule="exact"/>
              <w:jc w:val="left"/>
              <w:rPr>
                <w:color w:val="auto"/>
                <w:highlight w:val="none"/>
                <w:u w:val="single"/>
              </w:rPr>
            </w:pPr>
            <w:r>
              <w:rPr>
                <w:rFonts w:hint="eastAsia"/>
                <w:color w:val="auto"/>
                <w:highlight w:val="none"/>
              </w:rPr>
              <w:t>☑不允许</w:t>
            </w:r>
          </w:p>
          <w:p w14:paraId="5BB38FF9">
            <w:pPr>
              <w:spacing w:line="320" w:lineRule="exact"/>
              <w:jc w:val="left"/>
              <w:rPr>
                <w:color w:val="auto"/>
                <w:highlight w:val="none"/>
              </w:rPr>
            </w:pPr>
            <w:r>
              <w:rPr>
                <w:rFonts w:hint="eastAsia"/>
                <w:color w:val="auto"/>
                <w:highlight w:val="none"/>
              </w:rPr>
              <w:t>□允许，可偏离的项目和范围见</w:t>
            </w:r>
            <w:r>
              <w:rPr>
                <w:color w:val="auto"/>
                <w:szCs w:val="21"/>
                <w:highlight w:val="none"/>
              </w:rPr>
              <w:t>第五章“发包人要求”</w:t>
            </w:r>
            <w:r>
              <w:rPr>
                <w:rFonts w:hint="eastAsia"/>
                <w:color w:val="auto"/>
                <w:highlight w:val="none"/>
              </w:rPr>
              <w:t>：</w:t>
            </w:r>
          </w:p>
          <w:p w14:paraId="50BA9ECF">
            <w:pPr>
              <w:spacing w:line="320" w:lineRule="exact"/>
              <w:jc w:val="left"/>
              <w:rPr>
                <w:color w:val="auto"/>
                <w:highlight w:val="none"/>
              </w:rPr>
            </w:pPr>
            <w:r>
              <w:rPr>
                <w:rFonts w:hint="eastAsia"/>
                <w:color w:val="auto"/>
                <w:highlight w:val="none"/>
              </w:rPr>
              <w:t xml:space="preserve">        偏差幅度：</w:t>
            </w:r>
            <w:r>
              <w:rPr>
                <w:rFonts w:hint="eastAsia"/>
                <w:color w:val="auto"/>
                <w:highlight w:val="none"/>
                <w:u w:val="single"/>
              </w:rPr>
              <w:t>/</w:t>
            </w:r>
          </w:p>
        </w:tc>
      </w:tr>
      <w:tr w14:paraId="1894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Align w:val="center"/>
          </w:tcPr>
          <w:p w14:paraId="63B723B7">
            <w:pPr>
              <w:spacing w:line="320" w:lineRule="exact"/>
              <w:jc w:val="center"/>
              <w:rPr>
                <w:color w:val="auto"/>
                <w:highlight w:val="none"/>
              </w:rPr>
            </w:pPr>
            <w:r>
              <w:rPr>
                <w:rFonts w:hint="eastAsia"/>
                <w:color w:val="auto"/>
                <w:highlight w:val="none"/>
              </w:rPr>
              <w:t>2.1</w:t>
            </w:r>
          </w:p>
          <w:p w14:paraId="0B8FC1D4">
            <w:pPr>
              <w:spacing w:line="320" w:lineRule="exact"/>
              <w:jc w:val="center"/>
              <w:rPr>
                <w:color w:val="auto"/>
                <w:highlight w:val="none"/>
              </w:rPr>
            </w:pPr>
            <w:r>
              <w:rPr>
                <w:rFonts w:hint="eastAsia"/>
                <w:color w:val="auto"/>
                <w:highlight w:val="none"/>
              </w:rPr>
              <w:t>（8）</w:t>
            </w:r>
          </w:p>
        </w:tc>
        <w:tc>
          <w:tcPr>
            <w:tcW w:w="2334" w:type="dxa"/>
            <w:vAlign w:val="center"/>
          </w:tcPr>
          <w:p w14:paraId="210C9025">
            <w:pPr>
              <w:spacing w:line="320" w:lineRule="exact"/>
              <w:jc w:val="center"/>
              <w:rPr>
                <w:color w:val="auto"/>
                <w:highlight w:val="none"/>
              </w:rPr>
            </w:pPr>
            <w:r>
              <w:rPr>
                <w:rFonts w:hint="eastAsia"/>
                <w:color w:val="auto"/>
                <w:highlight w:val="none"/>
              </w:rPr>
              <w:t>构成招标文件的其他材料</w:t>
            </w:r>
          </w:p>
        </w:tc>
        <w:tc>
          <w:tcPr>
            <w:tcW w:w="5436" w:type="dxa"/>
            <w:vAlign w:val="center"/>
          </w:tcPr>
          <w:p w14:paraId="24A80527">
            <w:pPr>
              <w:spacing w:line="320" w:lineRule="exact"/>
              <w:jc w:val="left"/>
              <w:rPr>
                <w:color w:val="auto"/>
                <w:highlight w:val="none"/>
              </w:rPr>
            </w:pPr>
            <w:r>
              <w:rPr>
                <w:rFonts w:hint="eastAsia"/>
                <w:color w:val="auto"/>
                <w:highlight w:val="none"/>
              </w:rPr>
              <w:t>招标文件的澄清、修改、补充通知等内容</w:t>
            </w:r>
          </w:p>
        </w:tc>
      </w:tr>
      <w:tr w14:paraId="1101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7" w:type="dxa"/>
            <w:vAlign w:val="center"/>
          </w:tcPr>
          <w:p w14:paraId="74F6D11C">
            <w:pPr>
              <w:spacing w:line="320" w:lineRule="exact"/>
              <w:jc w:val="center"/>
              <w:rPr>
                <w:color w:val="auto"/>
                <w:highlight w:val="none"/>
              </w:rPr>
            </w:pPr>
            <w:r>
              <w:rPr>
                <w:rFonts w:hint="eastAsia"/>
                <w:color w:val="auto"/>
                <w:highlight w:val="none"/>
              </w:rPr>
              <w:t>2.2.1</w:t>
            </w:r>
          </w:p>
        </w:tc>
        <w:tc>
          <w:tcPr>
            <w:tcW w:w="2334" w:type="dxa"/>
            <w:vAlign w:val="center"/>
          </w:tcPr>
          <w:p w14:paraId="36497894">
            <w:pPr>
              <w:spacing w:line="320" w:lineRule="exact"/>
              <w:jc w:val="center"/>
              <w:rPr>
                <w:color w:val="auto"/>
                <w:highlight w:val="none"/>
              </w:rPr>
            </w:pPr>
            <w:r>
              <w:rPr>
                <w:rFonts w:hint="eastAsia"/>
                <w:color w:val="auto"/>
                <w:highlight w:val="none"/>
              </w:rPr>
              <w:t>投标人要求澄清招标文件的截止时间</w:t>
            </w:r>
          </w:p>
        </w:tc>
        <w:tc>
          <w:tcPr>
            <w:tcW w:w="5436" w:type="dxa"/>
            <w:vAlign w:val="center"/>
          </w:tcPr>
          <w:p w14:paraId="6F990AC3">
            <w:pPr>
              <w:spacing w:line="320" w:lineRule="exact"/>
              <w:jc w:val="left"/>
              <w:rPr>
                <w:color w:val="auto"/>
                <w:highlight w:val="none"/>
              </w:rPr>
            </w:pPr>
            <w:r>
              <w:rPr>
                <w:rFonts w:hint="eastAsia"/>
                <w:color w:val="auto"/>
                <w:szCs w:val="21"/>
                <w:highlight w:val="none"/>
              </w:rPr>
              <w:t>递交投标文件截止之日</w:t>
            </w:r>
            <w:r>
              <w:rPr>
                <w:rFonts w:hint="eastAsia"/>
                <w:color w:val="auto"/>
                <w:szCs w:val="21"/>
                <w:highlight w:val="none"/>
                <w:u w:val="single"/>
              </w:rPr>
              <w:t>10</w:t>
            </w:r>
            <w:r>
              <w:rPr>
                <w:rFonts w:hint="eastAsia"/>
                <w:color w:val="auto"/>
                <w:szCs w:val="21"/>
                <w:highlight w:val="none"/>
              </w:rPr>
              <w:t>日前</w:t>
            </w:r>
          </w:p>
        </w:tc>
      </w:tr>
      <w:tr w14:paraId="36AD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10EADB83">
            <w:pPr>
              <w:spacing w:line="320" w:lineRule="exact"/>
              <w:jc w:val="center"/>
              <w:rPr>
                <w:color w:val="auto"/>
                <w:highlight w:val="none"/>
              </w:rPr>
            </w:pPr>
            <w:r>
              <w:rPr>
                <w:rFonts w:hint="eastAsia"/>
                <w:color w:val="auto"/>
                <w:highlight w:val="none"/>
              </w:rPr>
              <w:t>2</w:t>
            </w:r>
            <w:r>
              <w:rPr>
                <w:color w:val="auto"/>
                <w:highlight w:val="none"/>
              </w:rPr>
              <w:t>.4.1</w:t>
            </w:r>
          </w:p>
        </w:tc>
        <w:tc>
          <w:tcPr>
            <w:tcW w:w="2334" w:type="dxa"/>
            <w:vAlign w:val="center"/>
          </w:tcPr>
          <w:p w14:paraId="1F8DE7E7">
            <w:pPr>
              <w:spacing w:line="320" w:lineRule="exact"/>
              <w:jc w:val="center"/>
              <w:rPr>
                <w:color w:val="auto"/>
                <w:highlight w:val="none"/>
              </w:rPr>
            </w:pPr>
            <w:r>
              <w:rPr>
                <w:color w:val="auto"/>
                <w:highlight w:val="none"/>
              </w:rPr>
              <w:t>异议受理部门</w:t>
            </w:r>
            <w:r>
              <w:rPr>
                <w:rFonts w:hint="eastAsia"/>
                <w:color w:val="auto"/>
                <w:highlight w:val="none"/>
              </w:rPr>
              <w:t>及</w:t>
            </w:r>
          </w:p>
          <w:p w14:paraId="44DF68E4">
            <w:pPr>
              <w:spacing w:line="320" w:lineRule="exact"/>
              <w:jc w:val="center"/>
              <w:rPr>
                <w:color w:val="auto"/>
                <w:szCs w:val="21"/>
                <w:highlight w:val="none"/>
              </w:rPr>
            </w:pPr>
            <w:r>
              <w:rPr>
                <w:rFonts w:hint="eastAsia"/>
                <w:color w:val="auto"/>
                <w:highlight w:val="none"/>
              </w:rPr>
              <w:t>联系方式</w:t>
            </w:r>
          </w:p>
        </w:tc>
        <w:tc>
          <w:tcPr>
            <w:tcW w:w="5436" w:type="dxa"/>
            <w:vAlign w:val="center"/>
          </w:tcPr>
          <w:p w14:paraId="25D12A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b/>
                <w:bCs/>
                <w:color w:val="auto"/>
                <w:szCs w:val="21"/>
                <w:highlight w:val="none"/>
              </w:rPr>
            </w:pPr>
            <w:r>
              <w:rPr>
                <w:rFonts w:hint="eastAsia"/>
                <w:b/>
                <w:bCs/>
                <w:color w:val="auto"/>
                <w:szCs w:val="21"/>
                <w:highlight w:val="none"/>
              </w:rPr>
              <w:t>招标人：</w:t>
            </w:r>
          </w:p>
          <w:p w14:paraId="0FDBE6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olor w:val="auto"/>
                <w:szCs w:val="21"/>
                <w:highlight w:val="none"/>
                <w:u w:val="single"/>
                <w:lang w:eastAsia="zh-CN"/>
              </w:rPr>
            </w:pPr>
            <w:r>
              <w:rPr>
                <w:rFonts w:hint="eastAsia"/>
                <w:color w:val="auto"/>
                <w:szCs w:val="21"/>
                <w:highlight w:val="none"/>
              </w:rPr>
              <w:t>名称：</w:t>
            </w:r>
            <w:r>
              <w:rPr>
                <w:rFonts w:hint="eastAsia"/>
                <w:color w:val="auto"/>
                <w:szCs w:val="21"/>
                <w:highlight w:val="none"/>
                <w:u w:val="single"/>
                <w:lang w:eastAsia="zh-CN"/>
              </w:rPr>
              <w:t>营口国盛轩宇产业开发建设有限公司</w:t>
            </w:r>
          </w:p>
          <w:p w14:paraId="07F7F2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auto"/>
                <w:szCs w:val="21"/>
                <w:highlight w:val="none"/>
                <w:u w:val="single"/>
                <w:lang w:eastAsia="zh-CN"/>
              </w:rPr>
            </w:pPr>
            <w:r>
              <w:rPr>
                <w:rFonts w:hint="eastAsia"/>
                <w:color w:val="auto"/>
                <w:szCs w:val="21"/>
                <w:highlight w:val="none"/>
              </w:rPr>
              <w:t>地址：</w:t>
            </w:r>
            <w:r>
              <w:rPr>
                <w:rFonts w:hint="eastAsia"/>
                <w:color w:val="auto"/>
                <w:szCs w:val="21"/>
                <w:highlight w:val="none"/>
                <w:u w:val="single"/>
                <w:lang w:val="en-US" w:eastAsia="zh-CN"/>
              </w:rPr>
              <w:t>辽宁省营口市北海经开区管委会办公楼10楼办公室103</w:t>
            </w:r>
          </w:p>
          <w:p w14:paraId="34B20E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联系人：</w:t>
            </w:r>
            <w:r>
              <w:rPr>
                <w:rFonts w:hint="eastAsia"/>
                <w:color w:val="auto"/>
                <w:szCs w:val="21"/>
                <w:highlight w:val="none"/>
                <w:u w:val="single"/>
                <w:lang w:val="en-US" w:eastAsia="zh-CN"/>
              </w:rPr>
              <w:t>赵阳</w:t>
            </w:r>
          </w:p>
          <w:p w14:paraId="16C932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电话：</w:t>
            </w:r>
            <w:r>
              <w:rPr>
                <w:rFonts w:hint="eastAsia"/>
                <w:color w:val="auto"/>
                <w:szCs w:val="21"/>
                <w:highlight w:val="none"/>
                <w:u w:val="single"/>
                <w:lang w:val="en-US" w:eastAsia="zh-CN"/>
              </w:rPr>
              <w:t>18241762575</w:t>
            </w:r>
          </w:p>
          <w:p w14:paraId="2611B4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077132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b/>
                <w:bCs/>
                <w:color w:val="auto"/>
                <w:szCs w:val="21"/>
                <w:highlight w:val="none"/>
              </w:rPr>
            </w:pPr>
            <w:r>
              <w:rPr>
                <w:rFonts w:hint="eastAsia"/>
                <w:b/>
                <w:bCs/>
                <w:color w:val="auto"/>
                <w:szCs w:val="21"/>
                <w:highlight w:val="none"/>
              </w:rPr>
              <w:t>招标代理机构：</w:t>
            </w:r>
          </w:p>
          <w:p w14:paraId="4D29E92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olor w:val="auto"/>
                <w:szCs w:val="21"/>
                <w:highlight w:val="none"/>
                <w:u w:val="single"/>
                <w:lang w:eastAsia="zh-CN"/>
              </w:rPr>
            </w:pPr>
            <w:r>
              <w:rPr>
                <w:rFonts w:hint="eastAsia"/>
                <w:color w:val="auto"/>
                <w:szCs w:val="21"/>
                <w:highlight w:val="none"/>
              </w:rPr>
              <w:t>名称：</w:t>
            </w:r>
            <w:r>
              <w:rPr>
                <w:rFonts w:hint="eastAsia"/>
                <w:color w:val="auto"/>
                <w:szCs w:val="21"/>
                <w:highlight w:val="none"/>
                <w:lang w:eastAsia="zh-CN"/>
              </w:rPr>
              <w:t>辽宁咨发工程招标咨询服务有限公司</w:t>
            </w:r>
          </w:p>
          <w:p w14:paraId="59C0B4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olor w:val="auto"/>
                <w:szCs w:val="21"/>
                <w:highlight w:val="none"/>
                <w:lang w:eastAsia="zh-CN"/>
              </w:rPr>
            </w:pPr>
            <w:r>
              <w:rPr>
                <w:rFonts w:hint="eastAsia"/>
                <w:color w:val="auto"/>
                <w:szCs w:val="21"/>
                <w:highlight w:val="none"/>
              </w:rPr>
              <w:t>地址：</w:t>
            </w:r>
            <w:r>
              <w:rPr>
                <w:rFonts w:hint="eastAsia"/>
                <w:color w:val="auto"/>
                <w:szCs w:val="21"/>
                <w:highlight w:val="none"/>
                <w:u w:val="single"/>
                <w:lang w:eastAsia="zh-CN"/>
              </w:rPr>
              <w:t>沈阳市沈河区青年北大街51号银河国际大厦A座1207室</w:t>
            </w:r>
          </w:p>
          <w:p w14:paraId="108010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eastAsia="宋体"/>
                <w:color w:val="auto"/>
                <w:szCs w:val="21"/>
                <w:highlight w:val="none"/>
                <w:lang w:val="en-US" w:eastAsia="zh-CN"/>
              </w:rPr>
            </w:pPr>
            <w:r>
              <w:rPr>
                <w:rFonts w:hint="eastAsia"/>
                <w:color w:val="auto"/>
                <w:szCs w:val="21"/>
                <w:highlight w:val="none"/>
              </w:rPr>
              <w:t>联系人：</w:t>
            </w:r>
            <w:r>
              <w:rPr>
                <w:rFonts w:hint="eastAsia"/>
                <w:color w:val="auto"/>
                <w:szCs w:val="21"/>
                <w:highlight w:val="none"/>
                <w:u w:val="single"/>
                <w:lang w:val="en-US" w:eastAsia="zh-CN"/>
              </w:rPr>
              <w:t>由春红、赵奇、薛晓东</w:t>
            </w:r>
          </w:p>
          <w:p w14:paraId="5065B2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olor w:val="auto"/>
                <w:szCs w:val="21"/>
                <w:highlight w:val="none"/>
                <w:lang w:val="en-US" w:eastAsia="zh-CN"/>
              </w:rPr>
            </w:pPr>
            <w:r>
              <w:rPr>
                <w:rFonts w:hint="eastAsia"/>
                <w:color w:val="auto"/>
                <w:szCs w:val="21"/>
                <w:highlight w:val="none"/>
              </w:rPr>
              <w:t>电话：</w:t>
            </w:r>
            <w:r>
              <w:rPr>
                <w:rFonts w:hint="eastAsia"/>
                <w:color w:val="auto"/>
                <w:szCs w:val="21"/>
                <w:highlight w:val="none"/>
                <w:u w:val="single"/>
                <w:lang w:eastAsia="zh-CN"/>
              </w:rPr>
              <w:t>024-31679592-8889</w:t>
            </w:r>
          </w:p>
          <w:p w14:paraId="6CE9C2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56DB8C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异议投诉渠道：辽宁省工程建设项目招标投标异议投诉处理系统</w:t>
            </w:r>
          </w:p>
        </w:tc>
      </w:tr>
      <w:tr w14:paraId="400F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4C0A9643">
            <w:pPr>
              <w:spacing w:line="320" w:lineRule="exact"/>
              <w:jc w:val="center"/>
              <w:rPr>
                <w:color w:val="auto"/>
                <w:highlight w:val="none"/>
              </w:rPr>
            </w:pPr>
            <w:r>
              <w:rPr>
                <w:rFonts w:hint="eastAsia"/>
                <w:color w:val="auto"/>
                <w:highlight w:val="none"/>
              </w:rPr>
              <w:t>3.1.1</w:t>
            </w:r>
          </w:p>
          <w:p w14:paraId="1F81CFD7">
            <w:pPr>
              <w:spacing w:line="320" w:lineRule="exact"/>
              <w:jc w:val="center"/>
              <w:rPr>
                <w:color w:val="auto"/>
                <w:highlight w:val="none"/>
              </w:rPr>
            </w:pPr>
            <w:r>
              <w:rPr>
                <w:rFonts w:hint="eastAsia"/>
                <w:color w:val="auto"/>
                <w:highlight w:val="none"/>
              </w:rPr>
              <w:t>（9）</w:t>
            </w:r>
          </w:p>
        </w:tc>
        <w:tc>
          <w:tcPr>
            <w:tcW w:w="2334" w:type="dxa"/>
            <w:vAlign w:val="center"/>
          </w:tcPr>
          <w:p w14:paraId="4747CD3D">
            <w:pPr>
              <w:spacing w:line="320" w:lineRule="exact"/>
              <w:jc w:val="center"/>
              <w:rPr>
                <w:color w:val="auto"/>
                <w:highlight w:val="none"/>
              </w:rPr>
            </w:pPr>
            <w:r>
              <w:rPr>
                <w:rFonts w:hint="eastAsia"/>
                <w:color w:val="auto"/>
                <w:highlight w:val="none"/>
              </w:rPr>
              <w:t>构成投标文件的其他材料</w:t>
            </w:r>
          </w:p>
        </w:tc>
        <w:tc>
          <w:tcPr>
            <w:tcW w:w="5436" w:type="dxa"/>
            <w:vAlign w:val="center"/>
          </w:tcPr>
          <w:p w14:paraId="1A176B45">
            <w:pPr>
              <w:spacing w:line="320" w:lineRule="exact"/>
              <w:jc w:val="left"/>
              <w:rPr>
                <w:color w:val="auto"/>
                <w:highlight w:val="none"/>
              </w:rPr>
            </w:pPr>
            <w:r>
              <w:rPr>
                <w:rFonts w:hint="eastAsia"/>
                <w:color w:val="auto"/>
                <w:highlight w:val="none"/>
              </w:rPr>
              <w:t>详见招标文件要求。</w:t>
            </w:r>
          </w:p>
        </w:tc>
      </w:tr>
      <w:tr w14:paraId="2528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93C491B">
            <w:pPr>
              <w:spacing w:line="320" w:lineRule="exact"/>
              <w:jc w:val="center"/>
              <w:rPr>
                <w:color w:val="auto"/>
                <w:highlight w:val="none"/>
              </w:rPr>
            </w:pPr>
            <w:r>
              <w:rPr>
                <w:rFonts w:hint="eastAsia"/>
                <w:color w:val="auto"/>
                <w:highlight w:val="none"/>
              </w:rPr>
              <w:t>3</w:t>
            </w:r>
            <w:r>
              <w:rPr>
                <w:color w:val="auto"/>
                <w:highlight w:val="none"/>
              </w:rPr>
              <w:t>.2.4</w:t>
            </w:r>
          </w:p>
        </w:tc>
        <w:tc>
          <w:tcPr>
            <w:tcW w:w="2334" w:type="dxa"/>
            <w:vAlign w:val="center"/>
          </w:tcPr>
          <w:p w14:paraId="5FB3BD34">
            <w:pPr>
              <w:spacing w:line="320" w:lineRule="exact"/>
              <w:jc w:val="center"/>
              <w:rPr>
                <w:color w:val="auto"/>
                <w:highlight w:val="none"/>
              </w:rPr>
            </w:pPr>
            <w:r>
              <w:rPr>
                <w:rFonts w:hint="eastAsia"/>
                <w:color w:val="auto"/>
                <w:highlight w:val="none"/>
              </w:rPr>
              <w:t>最高投标限价</w:t>
            </w:r>
          </w:p>
          <w:p w14:paraId="1E5EC9FB">
            <w:pPr>
              <w:spacing w:line="320" w:lineRule="exact"/>
              <w:jc w:val="center"/>
              <w:rPr>
                <w:color w:val="auto"/>
                <w:highlight w:val="none"/>
              </w:rPr>
            </w:pPr>
            <w:r>
              <w:rPr>
                <w:rFonts w:hint="eastAsia"/>
                <w:color w:val="auto"/>
                <w:highlight w:val="none"/>
              </w:rPr>
              <w:t>或其计算方法</w:t>
            </w:r>
          </w:p>
        </w:tc>
        <w:tc>
          <w:tcPr>
            <w:tcW w:w="5436" w:type="dxa"/>
            <w:vAlign w:val="center"/>
          </w:tcPr>
          <w:p w14:paraId="23B0F6A9">
            <w:pPr>
              <w:spacing w:line="320" w:lineRule="exact"/>
              <w:jc w:val="left"/>
              <w:rPr>
                <w:color w:val="auto"/>
                <w:highlight w:val="none"/>
              </w:rPr>
            </w:pPr>
            <w:r>
              <w:rPr>
                <w:rFonts w:hint="eastAsia"/>
                <w:color w:val="auto"/>
                <w:highlight w:val="none"/>
              </w:rPr>
              <w:t>□不设置</w:t>
            </w:r>
          </w:p>
          <w:p w14:paraId="0E256BE0">
            <w:pPr>
              <w:spacing w:line="320" w:lineRule="exact"/>
              <w:jc w:val="both"/>
              <w:rPr>
                <w:color w:val="auto"/>
                <w:highlight w:val="none"/>
                <w:u w:val="none"/>
              </w:rPr>
            </w:pPr>
            <w:r>
              <w:rPr>
                <w:rFonts w:hint="eastAsia"/>
                <w:color w:val="auto"/>
                <w:highlight w:val="none"/>
              </w:rPr>
              <w:t>☑设置，最高投标限价：</w:t>
            </w:r>
            <w:r>
              <w:rPr>
                <w:rFonts w:hint="eastAsia"/>
                <w:color w:val="auto"/>
                <w:highlight w:val="none"/>
                <w:u w:val="none"/>
              </w:rPr>
              <w:t>本项目设置投标最高限价：</w:t>
            </w:r>
            <w:r>
              <w:rPr>
                <w:rFonts w:hint="eastAsia"/>
                <w:color w:val="auto"/>
                <w:highlight w:val="none"/>
                <w:u w:val="none"/>
                <w:lang w:val="en-US" w:eastAsia="zh-CN"/>
              </w:rPr>
              <w:t>人民币</w:t>
            </w:r>
            <w:r>
              <w:rPr>
                <w:rFonts w:hint="eastAsia"/>
                <w:color w:val="auto"/>
                <w:highlight w:val="none"/>
                <w:u w:val="none"/>
                <w:lang w:val="en-US" w:eastAsia="zh-CN"/>
              </w:rPr>
              <w:t>128,419,900.00</w:t>
            </w:r>
            <w:r>
              <w:rPr>
                <w:rFonts w:hint="eastAsia"/>
                <w:color w:val="auto"/>
                <w:highlight w:val="none"/>
                <w:u w:val="none"/>
                <w:lang w:val="en-US" w:eastAsia="zh-CN"/>
              </w:rPr>
              <w:t xml:space="preserve"> 元，其中：</w:t>
            </w:r>
            <w:r>
              <w:rPr>
                <w:rFonts w:hint="eastAsia"/>
                <w:color w:val="auto"/>
                <w:highlight w:val="none"/>
                <w:u w:val="none"/>
                <w:lang w:eastAsia="zh-CN"/>
              </w:rPr>
              <w:t>（</w:t>
            </w:r>
            <w:r>
              <w:rPr>
                <w:rFonts w:hint="eastAsia"/>
                <w:color w:val="auto"/>
                <w:highlight w:val="none"/>
                <w:u w:val="none"/>
                <w:lang w:val="en-US" w:eastAsia="zh-CN"/>
              </w:rPr>
              <w:t>1</w:t>
            </w:r>
            <w:r>
              <w:rPr>
                <w:rFonts w:hint="eastAsia"/>
                <w:color w:val="auto"/>
                <w:highlight w:val="none"/>
                <w:u w:val="none"/>
                <w:lang w:eastAsia="zh-CN"/>
              </w:rPr>
              <w:t>）</w:t>
            </w:r>
            <w:r>
              <w:rPr>
                <w:rFonts w:hint="eastAsia"/>
                <w:color w:val="auto"/>
                <w:highlight w:val="none"/>
                <w:u w:val="none"/>
              </w:rPr>
              <w:t>工程设计费最高投标限价为</w:t>
            </w:r>
            <w:r>
              <w:rPr>
                <w:rFonts w:hint="eastAsia"/>
                <w:color w:val="auto"/>
                <w:highlight w:val="none"/>
                <w:u w:val="none"/>
                <w:lang w:val="en-US" w:eastAsia="zh-CN"/>
              </w:rPr>
              <w:t>1,775,300.00</w:t>
            </w:r>
            <w:r>
              <w:rPr>
                <w:rFonts w:hint="eastAsia"/>
                <w:color w:val="auto"/>
                <w:highlight w:val="none"/>
                <w:u w:val="none"/>
              </w:rPr>
              <w:t>元；</w:t>
            </w:r>
            <w:r>
              <w:rPr>
                <w:rFonts w:hint="eastAsia"/>
                <w:color w:val="auto"/>
                <w:highlight w:val="none"/>
                <w:u w:val="none"/>
                <w:lang w:eastAsia="zh-CN"/>
              </w:rPr>
              <w:t>（</w:t>
            </w:r>
            <w:r>
              <w:rPr>
                <w:rFonts w:hint="eastAsia"/>
                <w:color w:val="auto"/>
                <w:highlight w:val="none"/>
                <w:u w:val="none"/>
                <w:lang w:val="en-US" w:eastAsia="zh-CN"/>
              </w:rPr>
              <w:t>2</w:t>
            </w:r>
            <w:r>
              <w:rPr>
                <w:rFonts w:hint="eastAsia"/>
                <w:color w:val="auto"/>
                <w:highlight w:val="none"/>
                <w:u w:val="none"/>
                <w:lang w:eastAsia="zh-CN"/>
              </w:rPr>
              <w:t>）</w:t>
            </w:r>
            <w:r>
              <w:rPr>
                <w:rFonts w:hint="eastAsia"/>
                <w:color w:val="auto"/>
                <w:highlight w:val="none"/>
                <w:u w:val="none"/>
              </w:rPr>
              <w:t>建筑安装工程费最高投标限价人民币</w:t>
            </w:r>
            <w:r>
              <w:rPr>
                <w:rFonts w:hint="eastAsia"/>
                <w:color w:val="auto"/>
                <w:highlight w:val="none"/>
                <w:u w:val="none"/>
                <w:lang w:val="en-US" w:eastAsia="zh-CN"/>
              </w:rPr>
              <w:t>126,644,600.</w:t>
            </w:r>
            <w:r>
              <w:rPr>
                <w:rFonts w:hint="eastAsia"/>
                <w:color w:val="auto"/>
                <w:highlight w:val="none"/>
                <w:u w:val="none"/>
                <w:lang w:val="en-US" w:eastAsia="zh-CN"/>
              </w:rPr>
              <w:t>00</w:t>
            </w:r>
            <w:r>
              <w:rPr>
                <w:rFonts w:hint="eastAsia"/>
                <w:color w:val="auto"/>
                <w:highlight w:val="none"/>
                <w:u w:val="none"/>
              </w:rPr>
              <w:t>元</w:t>
            </w:r>
            <w:r>
              <w:rPr>
                <w:rFonts w:hint="eastAsia"/>
                <w:color w:val="auto"/>
                <w:highlight w:val="none"/>
                <w:u w:val="none"/>
                <w:lang w:eastAsia="zh-CN"/>
              </w:rPr>
              <w:t>；（</w:t>
            </w:r>
            <w:r>
              <w:rPr>
                <w:rFonts w:hint="eastAsia"/>
                <w:color w:val="auto"/>
                <w:highlight w:val="none"/>
                <w:u w:val="none"/>
                <w:lang w:val="en-US" w:eastAsia="zh-CN"/>
              </w:rPr>
              <w:t>3</w:t>
            </w:r>
            <w:r>
              <w:rPr>
                <w:rFonts w:hint="eastAsia"/>
                <w:color w:val="auto"/>
                <w:highlight w:val="none"/>
                <w:u w:val="none"/>
                <w:lang w:eastAsia="zh-CN"/>
              </w:rPr>
              <w:t>）</w:t>
            </w:r>
            <w:r>
              <w:rPr>
                <w:rFonts w:hint="eastAsia"/>
                <w:color w:val="auto"/>
                <w:highlight w:val="none"/>
                <w:u w:val="none"/>
                <w:lang w:val="en-US" w:eastAsia="zh-CN"/>
              </w:rPr>
              <w:t>暂列金额：人民币</w:t>
            </w:r>
            <w:r>
              <w:rPr>
                <w:rFonts w:hint="eastAsia"/>
                <w:color w:val="auto"/>
                <w:highlight w:val="none"/>
                <w:u w:val="none"/>
                <w:lang w:val="en-US" w:eastAsia="zh-CN"/>
              </w:rPr>
              <w:t>0</w:t>
            </w:r>
            <w:r>
              <w:rPr>
                <w:rFonts w:hint="eastAsia"/>
                <w:color w:val="auto"/>
                <w:highlight w:val="none"/>
                <w:u w:val="none"/>
                <w:lang w:val="en-US" w:eastAsia="zh-CN"/>
              </w:rPr>
              <w:t>元</w:t>
            </w:r>
            <w:r>
              <w:rPr>
                <w:rFonts w:hint="eastAsia"/>
                <w:color w:val="auto"/>
                <w:highlight w:val="none"/>
                <w:u w:val="none"/>
              </w:rPr>
              <w:t>。</w:t>
            </w:r>
          </w:p>
          <w:p w14:paraId="134091F5">
            <w:pPr>
              <w:spacing w:line="320" w:lineRule="exact"/>
              <w:jc w:val="both"/>
              <w:rPr>
                <w:color w:val="auto"/>
                <w:highlight w:val="none"/>
                <w:u w:val="none"/>
              </w:rPr>
            </w:pPr>
            <w:r>
              <w:rPr>
                <w:rFonts w:hint="eastAsia"/>
                <w:color w:val="auto"/>
                <w:highlight w:val="none"/>
                <w:u w:val="none"/>
              </w:rPr>
              <w:t>最高投标限价公布时间：投标截止时间/日前。</w:t>
            </w:r>
          </w:p>
          <w:p w14:paraId="2E2FCE98">
            <w:pPr>
              <w:spacing w:line="320" w:lineRule="exact"/>
              <w:jc w:val="both"/>
              <w:rPr>
                <w:rFonts w:hint="eastAsia"/>
                <w:color w:val="auto"/>
                <w:highlight w:val="none"/>
                <w:u w:val="none"/>
                <w:lang w:val="en-US" w:eastAsia="zh-CN"/>
              </w:rPr>
            </w:pPr>
            <w:r>
              <w:rPr>
                <w:rFonts w:hint="eastAsia"/>
                <w:color w:val="auto"/>
                <w:highlight w:val="none"/>
                <w:u w:val="none"/>
              </w:rPr>
              <w:t>其他要求：</w:t>
            </w:r>
            <w:r>
              <w:rPr>
                <w:rFonts w:hint="eastAsia"/>
                <w:color w:val="auto"/>
                <w:highlight w:val="none"/>
                <w:u w:val="none"/>
              </w:rPr>
              <w:t>投标人按招标文件格式要求报出的</w:t>
            </w:r>
            <w:r>
              <w:rPr>
                <w:rFonts w:hint="eastAsia"/>
                <w:color w:val="auto"/>
                <w:highlight w:val="none"/>
                <w:u w:val="none"/>
                <w:lang w:val="en-US" w:eastAsia="zh-CN"/>
              </w:rPr>
              <w:t>投标总价同时填报出</w:t>
            </w:r>
            <w:r>
              <w:rPr>
                <w:rFonts w:hint="eastAsia"/>
                <w:color w:val="auto"/>
                <w:highlight w:val="none"/>
                <w:u w:val="none"/>
              </w:rPr>
              <w:t>设计费总价</w:t>
            </w:r>
            <w:r>
              <w:rPr>
                <w:rFonts w:hint="eastAsia"/>
                <w:color w:val="auto"/>
                <w:highlight w:val="none"/>
                <w:u w:val="none"/>
                <w:lang w:val="en-US" w:eastAsia="zh-CN"/>
              </w:rPr>
              <w:t>、</w:t>
            </w:r>
            <w:r>
              <w:rPr>
                <w:rFonts w:hint="eastAsia"/>
                <w:color w:val="auto"/>
                <w:highlight w:val="none"/>
                <w:u w:val="none"/>
              </w:rPr>
              <w:t>建筑安装工程费</w:t>
            </w:r>
            <w:r>
              <w:rPr>
                <w:rFonts w:hint="eastAsia"/>
                <w:color w:val="auto"/>
                <w:highlight w:val="none"/>
                <w:u w:val="none"/>
                <w:lang w:val="en-US" w:eastAsia="zh-CN"/>
              </w:rPr>
              <w:t>总价、暂列金额</w:t>
            </w:r>
            <w:r>
              <w:rPr>
                <w:rFonts w:hint="eastAsia"/>
                <w:color w:val="auto"/>
                <w:highlight w:val="none"/>
                <w:u w:val="none"/>
              </w:rPr>
              <w:t>，设计费</w:t>
            </w:r>
            <w:r>
              <w:rPr>
                <w:rFonts w:hint="eastAsia"/>
                <w:color w:val="auto"/>
                <w:highlight w:val="none"/>
                <w:u w:val="none"/>
                <w:lang w:val="en-US" w:eastAsia="zh-CN"/>
              </w:rPr>
              <w:t>、</w:t>
            </w:r>
            <w:r>
              <w:rPr>
                <w:rFonts w:hint="eastAsia"/>
                <w:color w:val="auto"/>
                <w:highlight w:val="none"/>
                <w:u w:val="none"/>
              </w:rPr>
              <w:t>建筑安装工程费</w:t>
            </w:r>
            <w:r>
              <w:rPr>
                <w:rFonts w:hint="eastAsia"/>
                <w:color w:val="auto"/>
                <w:highlight w:val="none"/>
                <w:u w:val="none"/>
                <w:lang w:val="en-US" w:eastAsia="zh-CN"/>
              </w:rPr>
              <w:t>投标报价</w:t>
            </w:r>
            <w:r>
              <w:rPr>
                <w:rFonts w:hint="eastAsia"/>
                <w:color w:val="auto"/>
                <w:highlight w:val="none"/>
                <w:u w:val="none"/>
              </w:rPr>
              <w:t>均不得超过所设置的相应最高限价</w:t>
            </w:r>
            <w:r>
              <w:rPr>
                <w:rFonts w:hint="eastAsia"/>
                <w:color w:val="auto"/>
                <w:highlight w:val="none"/>
                <w:u w:val="none"/>
                <w:lang w:eastAsia="zh-CN"/>
              </w:rPr>
              <w:t>，</w:t>
            </w:r>
            <w:r>
              <w:rPr>
                <w:rFonts w:hint="eastAsia"/>
                <w:color w:val="auto"/>
                <w:highlight w:val="none"/>
                <w:u w:val="none"/>
                <w:lang w:val="en-US" w:eastAsia="zh-CN"/>
              </w:rPr>
              <w:t>否则按</w:t>
            </w:r>
            <w:r>
              <w:rPr>
                <w:rFonts w:hint="eastAsia"/>
                <w:color w:val="auto"/>
                <w:highlight w:val="none"/>
                <w:u w:val="none"/>
              </w:rPr>
              <w:t>废标处理。</w:t>
            </w:r>
            <w:r>
              <w:rPr>
                <w:rFonts w:hint="eastAsia"/>
                <w:color w:val="auto"/>
                <w:highlight w:val="none"/>
                <w:u w:val="none"/>
                <w:lang w:val="en-US" w:eastAsia="zh-CN"/>
              </w:rPr>
              <w:t>暂列金额必须按上述固定金额填报。</w:t>
            </w:r>
          </w:p>
          <w:p w14:paraId="5236A3FB">
            <w:pPr>
              <w:pStyle w:val="47"/>
              <w:rPr>
                <w:rFonts w:hint="default"/>
                <w:color w:val="auto"/>
                <w:highlight w:val="none"/>
                <w:u w:val="none"/>
                <w:lang w:val="en-US" w:eastAsia="zh-CN"/>
              </w:rPr>
            </w:pPr>
          </w:p>
        </w:tc>
      </w:tr>
      <w:tr w14:paraId="74BE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8C5A299">
            <w:pPr>
              <w:spacing w:line="320" w:lineRule="exact"/>
              <w:jc w:val="center"/>
              <w:rPr>
                <w:color w:val="auto"/>
                <w:highlight w:val="none"/>
              </w:rPr>
            </w:pPr>
            <w:r>
              <w:rPr>
                <w:rFonts w:hint="eastAsia"/>
                <w:color w:val="auto"/>
                <w:highlight w:val="none"/>
              </w:rPr>
              <w:t>3.2.5</w:t>
            </w:r>
          </w:p>
        </w:tc>
        <w:tc>
          <w:tcPr>
            <w:tcW w:w="2334" w:type="dxa"/>
            <w:vAlign w:val="center"/>
          </w:tcPr>
          <w:p w14:paraId="0C84BDA1">
            <w:pPr>
              <w:spacing w:line="320" w:lineRule="exact"/>
              <w:jc w:val="center"/>
              <w:rPr>
                <w:color w:val="auto"/>
                <w:highlight w:val="none"/>
              </w:rPr>
            </w:pPr>
            <w:r>
              <w:rPr>
                <w:rFonts w:hint="eastAsia"/>
                <w:color w:val="auto"/>
                <w:highlight w:val="none"/>
              </w:rPr>
              <w:t>报价说明</w:t>
            </w:r>
          </w:p>
        </w:tc>
        <w:tc>
          <w:tcPr>
            <w:tcW w:w="5436" w:type="dxa"/>
            <w:vAlign w:val="center"/>
          </w:tcPr>
          <w:p w14:paraId="4F0B0FB9">
            <w:pPr>
              <w:spacing w:line="320" w:lineRule="exact"/>
              <w:jc w:val="both"/>
              <w:rPr>
                <w:color w:val="auto"/>
                <w:highlight w:val="none"/>
              </w:rPr>
            </w:pPr>
            <w:r>
              <w:rPr>
                <w:rFonts w:hint="eastAsia"/>
                <w:color w:val="auto"/>
                <w:highlight w:val="none"/>
              </w:rPr>
              <w:t>报价方式：</w:t>
            </w:r>
          </w:p>
          <w:p w14:paraId="42164C2F">
            <w:pPr>
              <w:spacing w:line="320" w:lineRule="exact"/>
              <w:jc w:val="both"/>
              <w:rPr>
                <w:color w:val="auto"/>
                <w:highlight w:val="none"/>
              </w:rPr>
            </w:pPr>
            <w:r>
              <w:rPr>
                <w:rFonts w:hint="eastAsia"/>
                <w:color w:val="auto"/>
                <w:highlight w:val="none"/>
              </w:rPr>
              <w:t>☑</w:t>
            </w:r>
            <w:r>
              <w:rPr>
                <w:rFonts w:hint="eastAsia"/>
                <w:color w:val="auto"/>
                <w:highlight w:val="none"/>
              </w:rPr>
              <w:t>人民币价格</w:t>
            </w:r>
          </w:p>
          <w:p w14:paraId="49A27217">
            <w:pPr>
              <w:spacing w:line="320" w:lineRule="exact"/>
              <w:jc w:val="both"/>
              <w:rPr>
                <w:color w:val="auto"/>
                <w:highlight w:val="none"/>
              </w:rPr>
            </w:pPr>
            <w:r>
              <w:rPr>
                <w:rFonts w:hint="eastAsia"/>
                <w:color w:val="auto"/>
                <w:highlight w:val="none"/>
              </w:rPr>
              <w:t>□综合费率（参与价格评审的为综合费率）</w:t>
            </w:r>
          </w:p>
          <w:p w14:paraId="555A18A6">
            <w:pPr>
              <w:spacing w:line="320" w:lineRule="exact"/>
              <w:jc w:val="both"/>
              <w:rPr>
                <w:color w:val="auto"/>
                <w:highlight w:val="none"/>
              </w:rPr>
            </w:pPr>
            <w:r>
              <w:rPr>
                <w:rFonts w:hint="eastAsia"/>
                <w:color w:val="auto"/>
                <w:highlight w:val="none"/>
                <w:lang w:eastAsia="zh-CN"/>
              </w:rPr>
              <w:t>□</w:t>
            </w:r>
            <w:r>
              <w:rPr>
                <w:rFonts w:hint="eastAsia"/>
                <w:color w:val="auto"/>
                <w:highlight w:val="none"/>
              </w:rPr>
              <w:t>下浮率（参与价格评审的为下浮率）</w:t>
            </w:r>
          </w:p>
          <w:p w14:paraId="42943120">
            <w:pPr>
              <w:spacing w:line="320" w:lineRule="exact"/>
              <w:jc w:val="both"/>
              <w:rPr>
                <w:color w:val="auto"/>
                <w:highlight w:val="none"/>
              </w:rPr>
            </w:pPr>
            <w:r>
              <w:rPr>
                <w:rFonts w:hint="eastAsia"/>
                <w:color w:val="auto"/>
                <w:highlight w:val="none"/>
              </w:rPr>
              <w:t>□综合单价（参与价格评审的为综合单价）</w:t>
            </w:r>
          </w:p>
          <w:p w14:paraId="3ED3FCEA">
            <w:pPr>
              <w:spacing w:line="320" w:lineRule="exact"/>
              <w:jc w:val="both"/>
              <w:rPr>
                <w:color w:val="auto"/>
                <w:highlight w:val="none"/>
              </w:rPr>
            </w:pPr>
            <w:r>
              <w:rPr>
                <w:rFonts w:hint="eastAsia"/>
                <w:color w:val="auto"/>
                <w:highlight w:val="none"/>
              </w:rPr>
              <w:t>特别说明：投标总报价均应转换为人民币价格，涉及分项报价按招标人要求填报。</w:t>
            </w:r>
          </w:p>
          <w:p w14:paraId="418A3F04">
            <w:pPr>
              <w:spacing w:line="320" w:lineRule="exact"/>
              <w:jc w:val="both"/>
              <w:rPr>
                <w:rFonts w:hint="eastAsia"/>
                <w:b/>
                <w:bCs/>
                <w:color w:val="auto"/>
                <w:highlight w:val="none"/>
              </w:rPr>
            </w:pPr>
            <w:r>
              <w:rPr>
                <w:rFonts w:hint="eastAsia"/>
                <w:b/>
                <w:bCs/>
                <w:color w:val="auto"/>
                <w:highlight w:val="none"/>
              </w:rPr>
              <w:t>报价要求：</w:t>
            </w:r>
          </w:p>
          <w:p w14:paraId="6C42CFA5">
            <w:pPr>
              <w:spacing w:line="320" w:lineRule="exact"/>
              <w:jc w:val="both"/>
              <w:rPr>
                <w:rFonts w:hint="eastAsia" w:eastAsia="宋体"/>
                <w:b/>
                <w:bCs/>
                <w:color w:val="auto"/>
                <w:highlight w:val="none"/>
                <w:u w:val="none"/>
                <w:lang w:eastAsia="zh-CN"/>
              </w:rPr>
            </w:pPr>
            <w:r>
              <w:rPr>
                <w:rFonts w:hint="eastAsia"/>
                <w:b/>
                <w:bCs/>
                <w:color w:val="auto"/>
                <w:highlight w:val="none"/>
                <w:u w:val="none"/>
              </w:rPr>
              <w:t>一、投标报价要求：</w:t>
            </w:r>
          </w:p>
          <w:p w14:paraId="42D61F56">
            <w:pPr>
              <w:spacing w:line="320" w:lineRule="exact"/>
              <w:jc w:val="both"/>
              <w:rPr>
                <w:rFonts w:hint="eastAsia" w:eastAsia="宋体"/>
                <w:color w:val="auto"/>
                <w:highlight w:val="none"/>
                <w:u w:val="none"/>
                <w:lang w:eastAsia="zh-CN"/>
              </w:rPr>
            </w:pPr>
            <w:r>
              <w:rPr>
                <w:rFonts w:hint="eastAsia"/>
                <w:color w:val="auto"/>
                <w:highlight w:val="none"/>
                <w:u w:val="none"/>
              </w:rPr>
              <w:t>1.投标人依据招标文件要求自行考虑风险因素进行投标报价，一旦中标，在合同执行过程中不因任何因素（如：招标范围改变等）调整投标报价，且在合同执行过程中承包人不得以招标范围改变等为由提出索赔。</w:t>
            </w:r>
          </w:p>
          <w:p w14:paraId="5E02B56F">
            <w:pPr>
              <w:spacing w:line="320" w:lineRule="exact"/>
              <w:jc w:val="both"/>
              <w:rPr>
                <w:rFonts w:hint="eastAsia" w:eastAsia="宋体"/>
                <w:color w:val="auto"/>
                <w:highlight w:val="none"/>
                <w:u w:val="none"/>
                <w:lang w:eastAsia="zh-CN"/>
              </w:rPr>
            </w:pPr>
            <w:r>
              <w:rPr>
                <w:rFonts w:hint="eastAsia"/>
                <w:color w:val="auto"/>
                <w:highlight w:val="none"/>
                <w:u w:val="none"/>
              </w:rPr>
              <w:t>2.投标报价均保留小数点后两位，小数点后第三位四舍五入。</w:t>
            </w:r>
          </w:p>
          <w:p w14:paraId="4C9876E4">
            <w:pPr>
              <w:spacing w:line="320" w:lineRule="exact"/>
              <w:jc w:val="both"/>
              <w:rPr>
                <w:rFonts w:hint="eastAsia" w:eastAsia="宋体"/>
                <w:b/>
                <w:bCs/>
                <w:color w:val="auto"/>
                <w:highlight w:val="none"/>
                <w:u w:val="none"/>
                <w:lang w:eastAsia="zh-CN"/>
              </w:rPr>
            </w:pPr>
            <w:r>
              <w:rPr>
                <w:rFonts w:hint="eastAsia"/>
                <w:b/>
                <w:bCs/>
                <w:color w:val="auto"/>
                <w:highlight w:val="none"/>
                <w:u w:val="none"/>
              </w:rPr>
              <w:t>二、设计费报价要求：</w:t>
            </w:r>
          </w:p>
          <w:p w14:paraId="6ED39388">
            <w:pPr>
              <w:spacing w:line="320" w:lineRule="exact"/>
              <w:jc w:val="both"/>
              <w:rPr>
                <w:rFonts w:hint="eastAsia" w:eastAsia="宋体"/>
                <w:color w:val="auto"/>
                <w:highlight w:val="none"/>
                <w:u w:val="none"/>
                <w:lang w:eastAsia="zh-CN"/>
              </w:rPr>
            </w:pPr>
            <w:r>
              <w:rPr>
                <w:rFonts w:hint="eastAsia"/>
                <w:color w:val="auto"/>
                <w:highlight w:val="none"/>
                <w:u w:val="none"/>
              </w:rPr>
              <w:t>1. 设计费自主报价，投标人应在价格清单中报出设计费总价。报价保留小数点后两位，小数点后第三位四舍五入。</w:t>
            </w:r>
          </w:p>
          <w:p w14:paraId="048FCDE6">
            <w:pPr>
              <w:spacing w:line="320" w:lineRule="exact"/>
              <w:jc w:val="both"/>
              <w:rPr>
                <w:rFonts w:hint="eastAsia" w:eastAsia="宋体"/>
                <w:color w:val="auto"/>
                <w:highlight w:val="none"/>
                <w:u w:val="none"/>
                <w:lang w:eastAsia="zh-CN"/>
              </w:rPr>
            </w:pPr>
            <w:r>
              <w:rPr>
                <w:rFonts w:hint="eastAsia"/>
                <w:color w:val="auto"/>
                <w:highlight w:val="none"/>
                <w:u w:val="none"/>
              </w:rPr>
              <w:t>2. 投标人填报的设计报价是完成招标范围内全部与设计有关的服务内容的价格体现：</w:t>
            </w:r>
          </w:p>
          <w:p w14:paraId="758B11B4">
            <w:pPr>
              <w:spacing w:line="320" w:lineRule="exact"/>
              <w:jc w:val="both"/>
              <w:rPr>
                <w:rFonts w:hint="eastAsia" w:eastAsia="宋体"/>
                <w:color w:val="auto"/>
                <w:highlight w:val="none"/>
                <w:u w:val="none"/>
                <w:lang w:eastAsia="zh-CN"/>
              </w:rPr>
            </w:pPr>
            <w:r>
              <w:rPr>
                <w:rFonts w:hint="eastAsia"/>
                <w:color w:val="auto"/>
                <w:highlight w:val="none"/>
                <w:u w:val="none"/>
              </w:rPr>
              <w:t>⑴设计服务阶段：</w:t>
            </w:r>
            <w:r>
              <w:rPr>
                <w:rFonts w:hint="eastAsia"/>
                <w:color w:val="auto"/>
                <w:highlight w:val="none"/>
                <w:u w:val="none"/>
              </w:rPr>
              <w:t>包括项目所有工程的设计工作，以及建设期及运营期全寿命周期指导服务。</w:t>
            </w:r>
          </w:p>
          <w:p w14:paraId="380D76CC">
            <w:pPr>
              <w:spacing w:line="320" w:lineRule="exact"/>
              <w:jc w:val="both"/>
              <w:rPr>
                <w:rFonts w:hint="eastAsia" w:eastAsia="宋体"/>
                <w:color w:val="auto"/>
                <w:highlight w:val="none"/>
                <w:u w:val="none"/>
                <w:lang w:eastAsia="zh-CN"/>
              </w:rPr>
            </w:pPr>
            <w:r>
              <w:rPr>
                <w:rFonts w:hint="eastAsia"/>
                <w:color w:val="auto"/>
                <w:highlight w:val="none"/>
                <w:u w:val="none"/>
              </w:rPr>
              <w:t>⑵设计服务内容：</w:t>
            </w:r>
            <w:r>
              <w:rPr>
                <w:rFonts w:hint="eastAsia"/>
                <w:color w:val="auto"/>
                <w:highlight w:val="none"/>
                <w:u w:val="none"/>
              </w:rPr>
              <w:t>施工图设计及预算、设计代表、配合施工图审查、专项设计、配合设计评审、设计交底、设计变更、施工现场服务、配合后续运营服务等工作。</w:t>
            </w:r>
          </w:p>
          <w:p w14:paraId="03E86F15">
            <w:pPr>
              <w:spacing w:line="320" w:lineRule="exact"/>
              <w:jc w:val="both"/>
              <w:rPr>
                <w:rFonts w:hint="eastAsia" w:eastAsia="宋体"/>
                <w:color w:val="auto"/>
                <w:highlight w:val="none"/>
                <w:u w:val="none"/>
                <w:lang w:eastAsia="zh-CN"/>
              </w:rPr>
            </w:pPr>
            <w:r>
              <w:rPr>
                <w:rFonts w:hint="eastAsia"/>
                <w:color w:val="auto"/>
                <w:highlight w:val="none"/>
                <w:u w:val="none"/>
              </w:rPr>
              <w:t>设计质量标准：</w:t>
            </w:r>
            <w:r>
              <w:rPr>
                <w:rFonts w:hint="eastAsia"/>
                <w:color w:val="auto"/>
                <w:highlight w:val="none"/>
                <w:u w:val="none"/>
              </w:rPr>
              <w:t>符合国家现行的工程设计方面的规范、规程、标准，符合当地相关部门的相关规定以及招标人要求，满足施工、验收和运营的需要。</w:t>
            </w:r>
          </w:p>
          <w:p w14:paraId="3AB5C16B">
            <w:pPr>
              <w:spacing w:line="320" w:lineRule="exact"/>
              <w:jc w:val="both"/>
              <w:rPr>
                <w:rFonts w:hint="eastAsia" w:eastAsia="宋体"/>
                <w:color w:val="auto"/>
                <w:highlight w:val="none"/>
                <w:u w:val="none"/>
                <w:lang w:eastAsia="zh-CN"/>
              </w:rPr>
            </w:pPr>
            <w:r>
              <w:rPr>
                <w:rFonts w:hint="eastAsia"/>
                <w:color w:val="auto"/>
                <w:highlight w:val="none"/>
                <w:u w:val="none"/>
              </w:rPr>
              <w:t>⑶设计费用组成：</w:t>
            </w:r>
            <w:r>
              <w:rPr>
                <w:rFonts w:hint="eastAsia"/>
                <w:color w:val="auto"/>
                <w:highlight w:val="none"/>
                <w:u w:val="none"/>
              </w:rPr>
              <w:t>设计费应综合考虑设计人员的工资、福利、保险、加班费用、车旅费用、提供设计文件的资料费（含图纸定线费用）、各种设备使用费及企业管理费、利润、税金、各阶段设计费用，施工阶段技术咨询服务</w:t>
            </w:r>
            <w:r>
              <w:rPr>
                <w:rFonts w:hint="eastAsia"/>
                <w:color w:val="auto"/>
                <w:highlight w:val="none"/>
                <w:u w:val="none"/>
                <w:lang w:val="en-US" w:eastAsia="zh-CN"/>
              </w:rPr>
              <w:t>、</w:t>
            </w:r>
            <w:r>
              <w:rPr>
                <w:rFonts w:hint="eastAsia"/>
                <w:color w:val="auto"/>
                <w:highlight w:val="none"/>
                <w:u w:val="none"/>
              </w:rPr>
              <w:t>与其他专业设计单位之间协调及不可预见风险等全部费用。设计人为完成设计任务所需的人力、物力、财力投入，应充分考虑可能的市场风险以及企业所需缴纳的各种税费。以及为实现合同目的所涉及的机构、人员、利润、税金、政策性文件规定、不可预见风险、责任、设计人为自己的雇员、财产等所做的人身和财产保险的费用，以及第三方责任险和参与投标所发生费用等全部费用。同时包括招标人未列出，但设计人认为完成本项目必须列支的有关费用，且充分考虑一切后期因素和风险、意外事件或不可抗力风险。</w:t>
            </w:r>
          </w:p>
          <w:p w14:paraId="2EAB95DB">
            <w:pPr>
              <w:numPr>
                <w:ilvl w:val="0"/>
                <w:numId w:val="0"/>
              </w:numPr>
              <w:spacing w:line="320" w:lineRule="exact"/>
              <w:ind w:left="0" w:leftChars="0" w:firstLine="0" w:firstLineChars="0"/>
              <w:jc w:val="both"/>
              <w:rPr>
                <w:rFonts w:hint="eastAsia"/>
                <w:color w:val="auto"/>
                <w:highlight w:val="none"/>
                <w:u w:val="none"/>
              </w:rPr>
            </w:pPr>
            <w:r>
              <w:rPr>
                <w:rFonts w:hint="eastAsia" w:ascii="Times New Roman" w:hAnsi="Times New Roman" w:eastAsia="宋体" w:cs="Times New Roman"/>
                <w:color w:val="auto"/>
                <w:kern w:val="2"/>
                <w:sz w:val="21"/>
                <w:szCs w:val="24"/>
                <w:highlight w:val="none"/>
                <w:lang w:val="en-US" w:eastAsia="zh-CN" w:bidi="ar-SA"/>
              </w:rPr>
              <w:t>3.</w:t>
            </w:r>
            <w:r>
              <w:rPr>
                <w:rFonts w:hint="eastAsia"/>
                <w:color w:val="auto"/>
                <w:highlight w:val="none"/>
                <w:u w:val="none"/>
              </w:rPr>
              <w:t>投标人依据招标文件自行考虑风险因素进行投标报价，一旦中标，报价将不会因市场变化因素而得到调整。</w:t>
            </w:r>
          </w:p>
          <w:p w14:paraId="01E2A65F">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4.</w:t>
            </w:r>
            <w:r>
              <w:rPr>
                <w:rFonts w:hint="eastAsia"/>
                <w:color w:val="auto"/>
                <w:highlight w:val="none"/>
                <w:lang w:val="en-US" w:eastAsia="zh-CN"/>
              </w:rPr>
              <w:t>设计费下浮率=</w:t>
            </w:r>
            <w:r>
              <w:rPr>
                <w:rFonts w:hint="eastAsia"/>
                <w:color w:val="auto"/>
                <w:highlight w:val="none"/>
                <w:lang w:eastAsia="zh-CN"/>
              </w:rPr>
              <w:t>（</w:t>
            </w:r>
            <w:r>
              <w:rPr>
                <w:rFonts w:hint="eastAsia"/>
                <w:color w:val="auto"/>
                <w:highlight w:val="none"/>
                <w:lang w:val="en-US" w:eastAsia="zh-CN"/>
              </w:rPr>
              <w:t>工程设计费最高投标限价-设计费中标价</w:t>
            </w:r>
            <w:r>
              <w:rPr>
                <w:rFonts w:hint="eastAsia"/>
                <w:color w:val="auto"/>
                <w:highlight w:val="none"/>
                <w:lang w:eastAsia="zh-CN"/>
              </w:rPr>
              <w:t>）</w:t>
            </w:r>
            <w:r>
              <w:rPr>
                <w:rFonts w:hint="eastAsia"/>
                <w:color w:val="auto"/>
                <w:highlight w:val="none"/>
                <w:lang w:val="en-US" w:eastAsia="zh-CN"/>
              </w:rPr>
              <w:t>/工程设计费最高投标限价</w:t>
            </w:r>
          </w:p>
          <w:p w14:paraId="2267A4CF">
            <w:pPr>
              <w:spacing w:line="320" w:lineRule="exact"/>
              <w:jc w:val="both"/>
              <w:rPr>
                <w:rFonts w:hint="eastAsia" w:eastAsia="宋体"/>
                <w:b/>
                <w:bCs/>
                <w:color w:val="auto"/>
                <w:highlight w:val="none"/>
                <w:u w:val="none"/>
                <w:lang w:eastAsia="zh-CN"/>
              </w:rPr>
            </w:pPr>
            <w:r>
              <w:rPr>
                <w:rFonts w:hint="eastAsia"/>
                <w:b/>
                <w:bCs/>
                <w:color w:val="auto"/>
                <w:highlight w:val="none"/>
                <w:u w:val="none"/>
              </w:rPr>
              <w:t>三、建筑安装工程费报价要求：</w:t>
            </w:r>
          </w:p>
          <w:p w14:paraId="7271E130">
            <w:pPr>
              <w:spacing w:line="290" w:lineRule="exact"/>
              <w:rPr>
                <w:rFonts w:hint="eastAsia" w:ascii="Arial" w:hAnsi="宋体" w:cs="Arial"/>
                <w:b w:val="0"/>
                <w:bCs w:val="0"/>
                <w:color w:val="auto"/>
                <w:szCs w:val="21"/>
                <w:highlight w:val="none"/>
                <w:lang w:eastAsia="zh-CN"/>
              </w:rPr>
            </w:pPr>
            <w:r>
              <w:rPr>
                <w:rFonts w:ascii="Arial" w:hAnsi="宋体" w:cs="Arial"/>
                <w:b w:val="0"/>
                <w:bCs w:val="0"/>
                <w:color w:val="auto"/>
                <w:szCs w:val="21"/>
                <w:highlight w:val="none"/>
              </w:rPr>
              <w:t>1. 建筑安装工程费为</w:t>
            </w:r>
            <w:r>
              <w:rPr>
                <w:rFonts w:hint="eastAsia" w:ascii="Arial" w:hAnsi="宋体" w:cs="Arial"/>
                <w:b w:val="0"/>
                <w:bCs w:val="0"/>
                <w:color w:val="auto"/>
                <w:szCs w:val="21"/>
                <w:highlight w:val="none"/>
                <w:lang w:val="en-US" w:eastAsia="zh-CN"/>
              </w:rPr>
              <w:t>固定总价</w:t>
            </w:r>
            <w:r>
              <w:rPr>
                <w:rFonts w:ascii="Arial" w:hAnsi="宋体" w:cs="Arial"/>
                <w:b w:val="0"/>
                <w:bCs w:val="0"/>
                <w:color w:val="auto"/>
                <w:szCs w:val="21"/>
                <w:highlight w:val="none"/>
              </w:rPr>
              <w:t>合同价格方式报价</w:t>
            </w:r>
            <w:r>
              <w:rPr>
                <w:rFonts w:ascii="Arial" w:hAnsi="宋体" w:cs="Arial"/>
                <w:b w:val="0"/>
                <w:bCs w:val="0"/>
                <w:color w:val="auto"/>
                <w:szCs w:val="21"/>
                <w:highlight w:val="none"/>
              </w:rPr>
              <w:t>，投标人只能报一个价格，任何有选择的价格将不被接受</w:t>
            </w:r>
            <w:r>
              <w:rPr>
                <w:rFonts w:hint="eastAsia" w:ascii="Arial" w:hAnsi="宋体" w:cs="Arial"/>
                <w:b w:val="0"/>
                <w:bCs w:val="0"/>
                <w:color w:val="auto"/>
                <w:szCs w:val="21"/>
                <w:highlight w:val="none"/>
              </w:rPr>
              <w:t>，投标报价保留小数点后两位，小数点后第三位四舍五入。</w:t>
            </w:r>
          </w:p>
          <w:p w14:paraId="5194BBD6">
            <w:pPr>
              <w:spacing w:line="290" w:lineRule="exact"/>
              <w:rPr>
                <w:rFonts w:ascii="Arial" w:hAnsi="宋体" w:cs="Arial"/>
                <w:b w:val="0"/>
                <w:bCs w:val="0"/>
                <w:color w:val="auto"/>
                <w:szCs w:val="21"/>
                <w:highlight w:val="none"/>
              </w:rPr>
            </w:pPr>
            <w:r>
              <w:rPr>
                <w:rFonts w:ascii="Arial" w:hAnsi="宋体" w:cs="Arial"/>
                <w:b w:val="0"/>
                <w:bCs w:val="0"/>
                <w:color w:val="auto"/>
                <w:szCs w:val="21"/>
                <w:highlight w:val="none"/>
              </w:rPr>
              <w:t>2. 各投标人应通过现场踏勘了解的现场实际情况、发包人要求、招标文件、补充通知澄清(答疑)纪要中提出的工程技术、质量、安全、工期要求、文明施工要求、承包范围、自行编制的施工组织设计，</w:t>
            </w:r>
            <w:r>
              <w:rPr>
                <w:rFonts w:hint="eastAsia" w:ascii="Arial" w:hAnsi="宋体" w:cs="Arial"/>
                <w:b w:val="0"/>
                <w:bCs w:val="0"/>
                <w:color w:val="auto"/>
                <w:szCs w:val="21"/>
                <w:highlight w:val="none"/>
              </w:rPr>
              <w:t>依据</w:t>
            </w:r>
            <w:r>
              <w:rPr>
                <w:rFonts w:hint="eastAsia" w:ascii="Arial" w:hAnsi="宋体" w:cs="Arial"/>
                <w:b w:val="0"/>
                <w:bCs w:val="0"/>
                <w:color w:val="auto"/>
                <w:szCs w:val="21"/>
                <w:highlight w:val="none"/>
                <w:lang w:val="en-US" w:eastAsia="zh-CN"/>
              </w:rPr>
              <w:t>2017</w:t>
            </w:r>
            <w:r>
              <w:rPr>
                <w:rFonts w:hint="eastAsia" w:ascii="Arial" w:hAnsi="宋体" w:cs="Arial"/>
                <w:b w:val="0"/>
                <w:bCs w:val="0"/>
                <w:color w:val="auto"/>
                <w:szCs w:val="21"/>
                <w:highlight w:val="none"/>
              </w:rPr>
              <w:t>辽宁省建设工程计价依据及相关规定并</w:t>
            </w:r>
            <w:r>
              <w:rPr>
                <w:rFonts w:ascii="Arial" w:hAnsi="宋体" w:cs="Arial"/>
                <w:b w:val="0"/>
                <w:bCs w:val="0"/>
                <w:color w:val="auto"/>
                <w:szCs w:val="21"/>
                <w:highlight w:val="none"/>
              </w:rPr>
              <w:t>结合企业自身情况及投资风险，</w:t>
            </w:r>
            <w:r>
              <w:rPr>
                <w:rFonts w:ascii="Arial" w:hAnsi="宋体" w:cs="Arial"/>
                <w:b w:val="0"/>
                <w:bCs w:val="0"/>
                <w:color w:val="auto"/>
                <w:szCs w:val="21"/>
                <w:highlight w:val="none"/>
              </w:rPr>
              <w:t>进行报价</w:t>
            </w:r>
            <w:r>
              <w:rPr>
                <w:rFonts w:ascii="Arial" w:hAnsi="宋体" w:cs="Arial"/>
                <w:b w:val="0"/>
                <w:bCs w:val="0"/>
                <w:color w:val="auto"/>
                <w:szCs w:val="21"/>
                <w:highlight w:val="none"/>
              </w:rPr>
              <w:t>。</w:t>
            </w:r>
          </w:p>
          <w:p w14:paraId="34A1C282">
            <w:pPr>
              <w:spacing w:line="320" w:lineRule="exact"/>
              <w:jc w:val="both"/>
              <w:rPr>
                <w:rFonts w:hint="eastAsia" w:eastAsia="宋体"/>
                <w:color w:val="auto"/>
                <w:highlight w:val="none"/>
                <w:u w:val="none"/>
                <w:lang w:eastAsia="zh-CN"/>
              </w:rPr>
            </w:pPr>
            <w:r>
              <w:rPr>
                <w:rFonts w:hint="eastAsia"/>
                <w:color w:val="auto"/>
                <w:highlight w:val="none"/>
                <w:u w:val="none"/>
              </w:rPr>
              <w:t>3. 投标报价的依据及风险</w:t>
            </w:r>
          </w:p>
          <w:p w14:paraId="3983AE40">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⑴工程量计算规则：执行2017辽宁省计价依据中的各定额计算规则。</w:t>
            </w:r>
          </w:p>
          <w:p w14:paraId="077B252A">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⑵计价依据中的定额有相同项按定额执行，没有相同项目有类似项目的按类似项执行，没有类似项目的按市场价执行。其中附加税费费率按营住建发【2019】465号规定执行，若施工期间颁布最新附加税费费率相关文件，按最新文件规定执行。临时设施费根据辽建发[2004] 21号，建筑工程临时设施费为直接工程费的1.2%计算，若施工期间颁布最新费率相关文件，按最新文件规定执行。</w:t>
            </w:r>
          </w:p>
          <w:p w14:paraId="3B4ACCDC">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⑶中标人须在全部主要材料及全部设备进场前应至少提前28天的时间向发包人提交书面申请，申请材料应包括：主要材料及设备名称、数量、单价和总价、参数型号、品牌、系列等具体信息。</w:t>
            </w:r>
          </w:p>
          <w:p w14:paraId="1538A660">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⑷主要材料及设备价格及人工费依据：编制施工图预算当期辽宁省建设工程造价管理总站发布的营口地区信息价（以下简称网刊价格），主要材料及设备价格因品牌、厂家、品种不同变动较大的主要材料，由发包人、中标人共同确认价格，且该价格经发包人确认后，中标人方可将确认后的相关材料及设备用于本项目施工，否则发包人对未经发包人确认的材料及设备价格不予结算。信息网上未体现价格的主要材料及设备，须由发包人、中标人共同确认价格，且该价格经发包人确认后，中标人方可将确认后的相关材料及设备用于本项目施工，否则发包人对未经发包人确认的材料价格不予结算。针对发包人、中标人双方未能达成一致价格的材料及设备，且经发包人委托的第三方造价咨询机构确认的价格中标人未能予以认同的，则发包人有权指定材料的品牌、档次和供应商，中标人应照此采购。对主要材料及设备涉及自有及租赁费用标准认定争议时，一律依据定额计价按自有考虑。人工费指数按照编制施工图预算当期辽宁省住房和城乡建设厅发布的人工费指数计取。</w:t>
            </w:r>
          </w:p>
          <w:p w14:paraId="5C915900">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⑸管理费、利润以及可以按系数计取的措施费按2017辽宁省建设工程费用标准中的费率执行。</w:t>
            </w:r>
          </w:p>
          <w:p w14:paraId="3779CD4D">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⑹不能按系数计取的措施费、夜间施工增加费、已完工程及设备保护费、二次搬运费、以及其他不能按系数计取的措施费等，在招标工作结束、计算实际签约合同价时按经监理人、发包人审定同意的施工组织设计、施工方案和签证计算，在竣工结算阶段按实际发生计算。</w:t>
            </w:r>
          </w:p>
          <w:p w14:paraId="1CBCC2B9">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⑺检验试验费：对建筑以及材料、构件和建筑安装物进行一般鉴定、检查，以及新结构、新材料的试验费，对构件破坏性试验及其他特殊要求检验试验的，由发包人另行委托具备资质的第三方进行检测，费用由发包人承担。中标人需承担试验所耗用的材料费用，但对中标人提供的具有合格证明的材料进行检测不合格的，该检测费用由中标人支付。（执行相关法律法规和配套定额）</w:t>
            </w:r>
          </w:p>
          <w:p w14:paraId="5CBE93EE">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⑻施工临时用电由承包人负责解决，费用由承包人自理；施工用水由中标人自行解决，包括办理用水的手续及其工程费等全部费用均由中标人负责。施工期间用水、用电设施的维护、水电费的缴纳均由中标人承担。且中标人有义务为各分包工程的施工单位提供施工用水、用电的接驳点，所有分包单位用水、用电费用自行与中标人结算。</w:t>
            </w:r>
          </w:p>
          <w:p w14:paraId="42367D5A">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⑼施工现场出现赶工、窝工以及特殊天气等特殊情况造成的人工和机械降效，不额外给予费用补偿，但施工工期经发包人、监理人确认后顺延。</w:t>
            </w:r>
          </w:p>
          <w:p w14:paraId="7E1F7BA8">
            <w:pPr>
              <w:pStyle w:val="47"/>
              <w:adjustRightInd w:val="0"/>
              <w:rPr>
                <w:rFonts w:hint="eastAsia" w:ascii="Arial" w:hAnsi="宋体" w:eastAsia="宋体" w:cs="Arial"/>
                <w:b w:val="0"/>
                <w:bCs w:val="0"/>
                <w:color w:val="auto"/>
                <w:kern w:val="2"/>
                <w:sz w:val="21"/>
                <w:szCs w:val="21"/>
                <w:highlight w:val="none"/>
                <w:lang w:val="en-US" w:eastAsia="zh-CN" w:bidi="ar-SA"/>
              </w:rPr>
            </w:pPr>
            <w:r>
              <w:rPr>
                <w:rFonts w:hint="eastAsia" w:ascii="Arial" w:hAnsi="宋体" w:eastAsia="宋体" w:cs="Arial"/>
                <w:b w:val="0"/>
                <w:bCs w:val="0"/>
                <w:color w:val="auto"/>
                <w:kern w:val="2"/>
                <w:sz w:val="21"/>
                <w:szCs w:val="21"/>
                <w:highlight w:val="none"/>
                <w:lang w:val="en-US" w:eastAsia="zh-CN" w:bidi="ar-SA"/>
              </w:rPr>
              <w:t>⑽投标人应对深基坑等危大工程进行专家论证，并充分考虑危大工程专家论证费，发包人不再另行计取及支付。</w:t>
            </w:r>
          </w:p>
          <w:p w14:paraId="15715E9E">
            <w:pPr>
              <w:pStyle w:val="35"/>
              <w:numPr>
                <w:ilvl w:val="0"/>
                <w:numId w:val="0"/>
              </w:numPr>
              <w:ind w:left="0" w:leftChars="0" w:firstLine="0" w:firstLineChars="0"/>
              <w:rPr>
                <w:rFonts w:hint="eastAsia" w:ascii="Arial" w:hAnsi="宋体" w:eastAsia="宋体" w:cs="Arial"/>
                <w:b w:val="0"/>
                <w:bCs w:val="0"/>
                <w:iCs w:val="0"/>
                <w:color w:val="auto"/>
                <w:kern w:val="2"/>
                <w:sz w:val="21"/>
                <w:szCs w:val="21"/>
                <w:highlight w:val="none"/>
                <w:lang w:val="en-US" w:eastAsia="zh-CN" w:bidi="ar-SA"/>
              </w:rPr>
            </w:pPr>
            <w:r>
              <w:rPr>
                <w:rFonts w:hint="eastAsia" w:ascii="Arial" w:hAnsi="宋体" w:eastAsia="宋体" w:cs="Arial"/>
                <w:b w:val="0"/>
                <w:bCs w:val="0"/>
                <w:iCs w:val="0"/>
                <w:color w:val="auto"/>
                <w:kern w:val="2"/>
                <w:sz w:val="21"/>
                <w:szCs w:val="21"/>
                <w:highlight w:val="none"/>
                <w:lang w:val="en-US" w:eastAsia="zh-CN" w:bidi="ar-SA"/>
              </w:rPr>
              <w:t>5.本项目投标人填报的工程费报价，在招标文件及施工合同约定的招标内容（工程内容）及相应风险范围之内不可调整，工程量按实际发生计算。</w:t>
            </w:r>
          </w:p>
          <w:p w14:paraId="2994A140">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6.</w:t>
            </w:r>
            <w:r>
              <w:rPr>
                <w:rFonts w:hint="eastAsia"/>
                <w:color w:val="auto"/>
                <w:highlight w:val="none"/>
                <w:lang w:val="en-US" w:eastAsia="zh-CN"/>
              </w:rPr>
              <w:t>工程费下浮率=</w:t>
            </w:r>
            <w:r>
              <w:rPr>
                <w:rFonts w:hint="eastAsia"/>
                <w:color w:val="auto"/>
                <w:highlight w:val="none"/>
                <w:lang w:eastAsia="zh-CN"/>
              </w:rPr>
              <w:t>（</w:t>
            </w:r>
            <w:bookmarkStart w:id="39" w:name="OLE_LINK2"/>
            <w:r>
              <w:rPr>
                <w:rFonts w:hint="eastAsia"/>
                <w:color w:val="auto"/>
                <w:highlight w:val="none"/>
                <w:lang w:val="en-US" w:eastAsia="zh-CN"/>
              </w:rPr>
              <w:t>建筑安装工程费最高投标限价</w:t>
            </w:r>
            <w:bookmarkEnd w:id="39"/>
            <w:r>
              <w:rPr>
                <w:rFonts w:hint="eastAsia"/>
                <w:color w:val="auto"/>
                <w:highlight w:val="none"/>
                <w:lang w:val="en-US" w:eastAsia="zh-CN"/>
              </w:rPr>
              <w:t>-工程费中标价</w:t>
            </w:r>
            <w:r>
              <w:rPr>
                <w:rFonts w:hint="eastAsia"/>
                <w:color w:val="auto"/>
                <w:highlight w:val="none"/>
                <w:lang w:eastAsia="zh-CN"/>
              </w:rPr>
              <w:t>）</w:t>
            </w:r>
            <w:r>
              <w:rPr>
                <w:rFonts w:hint="eastAsia"/>
                <w:color w:val="auto"/>
                <w:highlight w:val="none"/>
                <w:lang w:val="en-US" w:eastAsia="zh-CN"/>
              </w:rPr>
              <w:t>/建筑安装工程费最高投标限价</w:t>
            </w:r>
          </w:p>
          <w:p w14:paraId="5D2E850F">
            <w:pPr>
              <w:spacing w:line="320" w:lineRule="exact"/>
              <w:jc w:val="both"/>
              <w:rPr>
                <w:rFonts w:hint="eastAsia"/>
                <w:b/>
                <w:bCs/>
                <w:color w:val="auto"/>
                <w:highlight w:val="none"/>
                <w:u w:val="none"/>
                <w:lang w:val="en-US" w:eastAsia="zh-CN"/>
              </w:rPr>
            </w:pPr>
            <w:r>
              <w:rPr>
                <w:rFonts w:hint="eastAsia"/>
                <w:b/>
                <w:bCs/>
                <w:color w:val="auto"/>
                <w:highlight w:val="none"/>
                <w:u w:val="none"/>
                <w:lang w:val="en-US" w:eastAsia="zh-CN"/>
              </w:rPr>
              <w:t>四、暂列金额报价要求</w:t>
            </w:r>
          </w:p>
          <w:p w14:paraId="0741356F">
            <w:pPr>
              <w:spacing w:line="320" w:lineRule="exact"/>
              <w:jc w:val="both"/>
              <w:rPr>
                <w:rFonts w:hint="eastAsia"/>
                <w:color w:val="auto"/>
                <w:highlight w:val="none"/>
                <w:u w:val="none"/>
                <w:lang w:val="en-US" w:eastAsia="zh-CN"/>
              </w:rPr>
            </w:pPr>
            <w:r>
              <w:rPr>
                <w:rFonts w:hint="eastAsia"/>
                <w:color w:val="auto"/>
                <w:highlight w:val="none"/>
                <w:u w:val="none"/>
                <w:lang w:val="en-US" w:eastAsia="zh-CN"/>
              </w:rPr>
              <w:t>本项目暂列金额为人民币</w:t>
            </w:r>
            <w:r>
              <w:rPr>
                <w:rFonts w:hint="eastAsia"/>
                <w:color w:val="auto"/>
                <w:highlight w:val="none"/>
                <w:u w:val="none"/>
                <w:lang w:val="en-US" w:eastAsia="zh-CN"/>
              </w:rPr>
              <w:t>0</w:t>
            </w:r>
            <w:r>
              <w:rPr>
                <w:rFonts w:hint="eastAsia"/>
                <w:color w:val="auto"/>
                <w:highlight w:val="none"/>
                <w:u w:val="none"/>
                <w:lang w:val="en-US" w:eastAsia="zh-CN"/>
              </w:rPr>
              <w:t>元，投标人必须按招标人设定的暂定金额填报到投标报价中，否则按废标处理。</w:t>
            </w:r>
          </w:p>
          <w:p w14:paraId="3B1302ED">
            <w:pPr>
              <w:pStyle w:val="47"/>
              <w:adjustRightInd w:val="0"/>
              <w:rPr>
                <w:rFonts w:hint="eastAsia" w:ascii="Times New Roman" w:hAnsi="Times New Roman" w:eastAsia="宋体" w:cs="Times New Roman"/>
                <w:b/>
                <w:bCs/>
                <w:color w:val="auto"/>
                <w:kern w:val="2"/>
                <w:sz w:val="21"/>
                <w:szCs w:val="24"/>
                <w:highlight w:val="none"/>
                <w:u w:val="none"/>
                <w:lang w:val="en-US" w:eastAsia="zh-CN" w:bidi="ar-SA"/>
              </w:rPr>
            </w:pPr>
            <w:r>
              <w:rPr>
                <w:rFonts w:hint="eastAsia" w:ascii="Times New Roman" w:hAnsi="Times New Roman" w:eastAsia="宋体" w:cs="Times New Roman"/>
                <w:b/>
                <w:bCs/>
                <w:color w:val="auto"/>
                <w:kern w:val="2"/>
                <w:sz w:val="21"/>
                <w:szCs w:val="24"/>
                <w:highlight w:val="none"/>
                <w:u w:val="none"/>
                <w:lang w:val="en-US" w:eastAsia="zh-CN" w:bidi="ar-SA"/>
              </w:rPr>
              <w:t>五、结算要求</w:t>
            </w:r>
          </w:p>
          <w:p w14:paraId="1550F0D9">
            <w:pPr>
              <w:pStyle w:val="7"/>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u w:val="none"/>
                <w:lang w:val="en-US" w:eastAsia="zh-CN" w:bidi="ar-SA"/>
              </w:rPr>
              <w:t>竣工验收后，承包人按照最终实际实施的施工图纸、设计变更计算实际发生的工程量、以及实际发生的各项措施，依据如上的计价规则，按建设工程施工费中标报价下浮率计算EPC总包竣工结算价，并编制竣工结算资料上报发包人审核，并以发包人最终审核结果为准。如结算金额超出</w:t>
            </w:r>
            <w:r>
              <w:rPr>
                <w:rFonts w:hint="eastAsia" w:cs="Times New Roman"/>
                <w:color w:val="auto"/>
                <w:kern w:val="2"/>
                <w:sz w:val="21"/>
                <w:szCs w:val="24"/>
                <w:highlight w:val="none"/>
                <w:u w:val="none"/>
                <w:lang w:val="en-US" w:eastAsia="zh-CN" w:bidi="ar-SA"/>
              </w:rPr>
              <w:t>限额</w:t>
            </w:r>
            <w:r>
              <w:rPr>
                <w:rFonts w:hint="eastAsia" w:ascii="Times New Roman" w:hAnsi="Times New Roman" w:eastAsia="宋体" w:cs="Times New Roman"/>
                <w:color w:val="auto"/>
                <w:kern w:val="2"/>
                <w:sz w:val="21"/>
                <w:szCs w:val="24"/>
                <w:highlight w:val="none"/>
                <w:u w:val="none"/>
                <w:lang w:val="en-US" w:eastAsia="zh-CN" w:bidi="ar-SA"/>
              </w:rPr>
              <w:t>，超出部分由中标人自行承担。</w:t>
            </w:r>
          </w:p>
        </w:tc>
      </w:tr>
      <w:tr w14:paraId="2335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E6CBE5D">
            <w:pPr>
              <w:spacing w:line="320" w:lineRule="exact"/>
              <w:jc w:val="center"/>
              <w:rPr>
                <w:color w:val="auto"/>
                <w:highlight w:val="none"/>
              </w:rPr>
            </w:pPr>
            <w:r>
              <w:rPr>
                <w:rFonts w:hint="eastAsia"/>
                <w:color w:val="auto"/>
                <w:highlight w:val="none"/>
              </w:rPr>
              <w:t>3.3.1</w:t>
            </w:r>
          </w:p>
        </w:tc>
        <w:tc>
          <w:tcPr>
            <w:tcW w:w="2334" w:type="dxa"/>
            <w:vAlign w:val="center"/>
          </w:tcPr>
          <w:p w14:paraId="084C989C">
            <w:pPr>
              <w:spacing w:line="320" w:lineRule="exact"/>
              <w:jc w:val="center"/>
              <w:rPr>
                <w:color w:val="auto"/>
                <w:highlight w:val="none"/>
              </w:rPr>
            </w:pPr>
            <w:r>
              <w:rPr>
                <w:rFonts w:hint="eastAsia"/>
                <w:color w:val="auto"/>
                <w:highlight w:val="none"/>
              </w:rPr>
              <w:t>投标有效期</w:t>
            </w:r>
          </w:p>
        </w:tc>
        <w:tc>
          <w:tcPr>
            <w:tcW w:w="5436" w:type="dxa"/>
            <w:vAlign w:val="center"/>
          </w:tcPr>
          <w:p w14:paraId="7458EE2E">
            <w:pPr>
              <w:spacing w:line="320" w:lineRule="exact"/>
              <w:jc w:val="left"/>
              <w:rPr>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rPr>
              <w:t>90</w:t>
            </w:r>
            <w:r>
              <w:rPr>
                <w:rFonts w:hint="eastAsia"/>
                <w:color w:val="auto"/>
                <w:highlight w:val="none"/>
              </w:rPr>
              <w:t>日内有效</w:t>
            </w:r>
          </w:p>
        </w:tc>
      </w:tr>
      <w:tr w14:paraId="20F3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6FB06C49">
            <w:pPr>
              <w:spacing w:line="320" w:lineRule="exact"/>
              <w:jc w:val="center"/>
              <w:rPr>
                <w:color w:val="auto"/>
                <w:highlight w:val="none"/>
              </w:rPr>
            </w:pPr>
            <w:r>
              <w:rPr>
                <w:rFonts w:hint="eastAsia"/>
                <w:color w:val="auto"/>
                <w:highlight w:val="none"/>
              </w:rPr>
              <w:t>3.4.1</w:t>
            </w:r>
          </w:p>
        </w:tc>
        <w:tc>
          <w:tcPr>
            <w:tcW w:w="2334" w:type="dxa"/>
            <w:vAlign w:val="center"/>
          </w:tcPr>
          <w:p w14:paraId="3F8E2366">
            <w:pPr>
              <w:spacing w:line="320" w:lineRule="exact"/>
              <w:jc w:val="center"/>
              <w:rPr>
                <w:color w:val="auto"/>
                <w:highlight w:val="none"/>
              </w:rPr>
            </w:pPr>
            <w:r>
              <w:rPr>
                <w:rFonts w:hint="eastAsia"/>
                <w:color w:val="auto"/>
                <w:highlight w:val="none"/>
              </w:rPr>
              <w:t>投标保证金</w:t>
            </w:r>
          </w:p>
        </w:tc>
        <w:tc>
          <w:tcPr>
            <w:tcW w:w="5436" w:type="dxa"/>
            <w:vAlign w:val="center"/>
          </w:tcPr>
          <w:p w14:paraId="6E2F432F">
            <w:pPr>
              <w:spacing w:line="320" w:lineRule="exact"/>
              <w:jc w:val="left"/>
              <w:rPr>
                <w:color w:val="auto"/>
                <w:szCs w:val="21"/>
                <w:highlight w:val="none"/>
              </w:rPr>
            </w:pPr>
            <w:r>
              <w:rPr>
                <w:rFonts w:hint="eastAsia"/>
                <w:color w:val="auto"/>
                <w:szCs w:val="21"/>
                <w:highlight w:val="none"/>
              </w:rPr>
              <w:t>□不提交</w:t>
            </w:r>
          </w:p>
          <w:p w14:paraId="2E812D66">
            <w:pPr>
              <w:adjustRightInd w:val="0"/>
              <w:snapToGrid w:val="0"/>
              <w:spacing w:line="320" w:lineRule="exact"/>
              <w:jc w:val="left"/>
              <w:rPr>
                <w:color w:val="auto"/>
                <w:szCs w:val="21"/>
                <w:highlight w:val="none"/>
              </w:rPr>
            </w:pPr>
            <w:r>
              <w:rPr>
                <w:rFonts w:hint="eastAsia"/>
                <w:color w:val="auto"/>
                <w:szCs w:val="21"/>
                <w:highlight w:val="none"/>
              </w:rPr>
              <w:t>☑提交</w:t>
            </w:r>
          </w:p>
          <w:p w14:paraId="4100C4BD">
            <w:pPr>
              <w:widowControl/>
              <w:spacing w:line="320" w:lineRule="exact"/>
              <w:jc w:val="left"/>
              <w:rPr>
                <w:rFonts w:hint="eastAsia" w:ascii="宋体" w:hAnsi="宋体" w:cs="宋体"/>
                <w:b/>
                <w:color w:val="auto"/>
                <w:kern w:val="0"/>
                <w:szCs w:val="21"/>
                <w:highlight w:val="none"/>
              </w:rPr>
            </w:pPr>
            <w:r>
              <w:rPr>
                <w:rFonts w:ascii="宋体" w:hAnsi="宋体" w:cs="宋体"/>
                <w:color w:val="auto"/>
                <w:kern w:val="0"/>
                <w:szCs w:val="21"/>
                <w:highlight w:val="none"/>
              </w:rPr>
              <w:t>1.递交截止时间（到账时间）：</w:t>
            </w:r>
            <w:r>
              <w:rPr>
                <w:rFonts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ascii="宋体" w:hAnsi="宋体" w:cs="宋体"/>
                <w:b/>
                <w:color w:val="auto"/>
                <w:kern w:val="0"/>
                <w:szCs w:val="21"/>
                <w:highlight w:val="none"/>
              </w:rPr>
              <w:t>投标截止时间</w:t>
            </w:r>
          </w:p>
          <w:p w14:paraId="0C047BD8">
            <w:pPr>
              <w:widowControl/>
              <w:spacing w:line="32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2.金额：</w:t>
            </w:r>
            <w:r>
              <w:rPr>
                <w:rFonts w:hint="eastAsia" w:ascii="宋体" w:hAnsi="宋体" w:cs="宋体"/>
                <w:color w:val="auto"/>
                <w:kern w:val="0"/>
                <w:szCs w:val="21"/>
                <w:highlight w:val="none"/>
                <w:u w:val="single"/>
                <w:lang w:val="en-US" w:eastAsia="zh-CN"/>
              </w:rPr>
              <w:t>50</w:t>
            </w:r>
            <w:r>
              <w:rPr>
                <w:rFonts w:hint="eastAsia" w:ascii="宋体" w:hAnsi="宋体" w:cs="宋体"/>
                <w:color w:val="auto"/>
                <w:kern w:val="0"/>
                <w:szCs w:val="21"/>
                <w:highlight w:val="none"/>
              </w:rPr>
              <w:t>万元。</w:t>
            </w:r>
          </w:p>
          <w:p w14:paraId="6CCA057B">
            <w:pPr>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rPr>
              <w:t>☑现金（指电汇、支票）  ☑保函（保险）  □其他形式</w:t>
            </w:r>
          </w:p>
          <w:p w14:paraId="45BB38C9">
            <w:pPr>
              <w:widowControl/>
              <w:spacing w:line="320" w:lineRule="exact"/>
              <w:jc w:val="left"/>
              <w:rPr>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699E842D">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现金</w:t>
            </w:r>
          </w:p>
          <w:p w14:paraId="026A4B8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（1）收款信息</w:t>
            </w:r>
          </w:p>
          <w:p w14:paraId="614EA93F">
            <w:pPr>
              <w:widowControl/>
              <w:spacing w:line="32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lang w:eastAsia="zh-CN"/>
              </w:rPr>
              <w:t>辽宁咨发工程招标咨询服务有限公司</w:t>
            </w:r>
          </w:p>
          <w:p w14:paraId="429495AA">
            <w:pPr>
              <w:widowControl/>
              <w:spacing w:line="320" w:lineRule="exact"/>
              <w:ind w:firstLine="420" w:firstLineChars="200"/>
              <w:jc w:val="left"/>
              <w:rPr>
                <w:rFonts w:hint="eastAsia" w:ascii="宋体" w:hAnsi="宋体" w:cs="宋体"/>
                <w:color w:val="auto"/>
                <w:kern w:val="0"/>
                <w:szCs w:val="21"/>
                <w:highlight w:val="none"/>
                <w:u w:val="singl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lang w:eastAsia="zh-CN"/>
              </w:rPr>
              <w:t>招商银行沈阳北市支行</w:t>
            </w:r>
          </w:p>
          <w:p w14:paraId="591662D1">
            <w:pPr>
              <w:widowControl/>
              <w:spacing w:line="32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eastAsia="zh-CN"/>
              </w:rPr>
              <w:t>1249125397100010000008889</w:t>
            </w:r>
            <w:r>
              <w:rPr>
                <w:rFonts w:hint="eastAsia" w:ascii="宋体" w:hAnsi="宋体" w:cs="宋体"/>
                <w:color w:val="auto"/>
                <w:kern w:val="0"/>
                <w:szCs w:val="21"/>
                <w:highlight w:val="none"/>
                <w:u w:val="single"/>
                <w:lang w:val="en-US" w:eastAsia="zh-CN"/>
              </w:rPr>
              <w:t xml:space="preserve"> </w:t>
            </w:r>
          </w:p>
          <w:p w14:paraId="58297485">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）收款说明</w:t>
            </w:r>
          </w:p>
          <w:p w14:paraId="28B886D6">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2BF53257">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1E38A81F">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530F2E6F">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08E77A30">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其他</w:t>
            </w:r>
          </w:p>
          <w:p w14:paraId="228FAF0D">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6CD9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5927AEE4">
            <w:pPr>
              <w:spacing w:line="320" w:lineRule="exact"/>
              <w:jc w:val="center"/>
              <w:rPr>
                <w:color w:val="auto"/>
                <w:highlight w:val="none"/>
              </w:rPr>
            </w:pPr>
            <w:r>
              <w:rPr>
                <w:rFonts w:hint="eastAsia"/>
                <w:color w:val="auto"/>
                <w:highlight w:val="none"/>
              </w:rPr>
              <w:t>3.4.3</w:t>
            </w:r>
          </w:p>
        </w:tc>
        <w:tc>
          <w:tcPr>
            <w:tcW w:w="2334" w:type="dxa"/>
            <w:vAlign w:val="center"/>
          </w:tcPr>
          <w:p w14:paraId="690096CC">
            <w:pPr>
              <w:spacing w:line="320" w:lineRule="exact"/>
              <w:jc w:val="center"/>
              <w:rPr>
                <w:color w:val="auto"/>
                <w:highlight w:val="none"/>
              </w:rPr>
            </w:pPr>
            <w:r>
              <w:rPr>
                <w:rFonts w:hint="eastAsia"/>
                <w:color w:val="auto"/>
                <w:highlight w:val="none"/>
              </w:rPr>
              <w:t>退还投标保证金</w:t>
            </w:r>
          </w:p>
          <w:p w14:paraId="3BB939D0">
            <w:pPr>
              <w:spacing w:line="320" w:lineRule="exact"/>
              <w:jc w:val="center"/>
              <w:rPr>
                <w:color w:val="auto"/>
                <w:highlight w:val="none"/>
              </w:rPr>
            </w:pPr>
            <w:r>
              <w:rPr>
                <w:rFonts w:hint="eastAsia"/>
                <w:color w:val="auto"/>
                <w:highlight w:val="none"/>
              </w:rPr>
              <w:t>及利息</w:t>
            </w:r>
          </w:p>
        </w:tc>
        <w:tc>
          <w:tcPr>
            <w:tcW w:w="5436" w:type="dxa"/>
            <w:vAlign w:val="center"/>
          </w:tcPr>
          <w:p w14:paraId="46001E83">
            <w:pPr>
              <w:spacing w:line="320" w:lineRule="exact"/>
              <w:jc w:val="left"/>
              <w:rPr>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287D51C1">
            <w:pPr>
              <w:spacing w:line="320" w:lineRule="exact"/>
              <w:jc w:val="left"/>
              <w:rPr>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77B21F2F">
            <w:pPr>
              <w:spacing w:line="320" w:lineRule="exact"/>
              <w:ind w:left="1050" w:hanging="1050" w:hangingChars="500"/>
              <w:jc w:val="left"/>
              <w:rPr>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7293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A622EE1">
            <w:pPr>
              <w:spacing w:line="320" w:lineRule="exact"/>
              <w:jc w:val="center"/>
              <w:rPr>
                <w:color w:val="auto"/>
                <w:highlight w:val="none"/>
              </w:rPr>
            </w:pPr>
            <w:r>
              <w:rPr>
                <w:rFonts w:hint="eastAsia"/>
                <w:color w:val="auto"/>
                <w:highlight w:val="none"/>
              </w:rPr>
              <w:t>3</w:t>
            </w:r>
            <w:r>
              <w:rPr>
                <w:color w:val="auto"/>
                <w:highlight w:val="none"/>
              </w:rPr>
              <w:t>.5.2</w:t>
            </w:r>
          </w:p>
        </w:tc>
        <w:tc>
          <w:tcPr>
            <w:tcW w:w="2334" w:type="dxa"/>
            <w:vAlign w:val="center"/>
          </w:tcPr>
          <w:p w14:paraId="23748497">
            <w:pPr>
              <w:spacing w:line="320" w:lineRule="exact"/>
              <w:jc w:val="center"/>
              <w:rPr>
                <w:color w:val="auto"/>
                <w:highlight w:val="none"/>
              </w:rPr>
            </w:pPr>
            <w:r>
              <w:rPr>
                <w:rFonts w:hint="eastAsia"/>
                <w:color w:val="auto"/>
                <w:highlight w:val="none"/>
              </w:rPr>
              <w:t>企业近年财务状况的年份要求</w:t>
            </w:r>
          </w:p>
        </w:tc>
        <w:tc>
          <w:tcPr>
            <w:tcW w:w="5436" w:type="dxa"/>
            <w:vAlign w:val="center"/>
          </w:tcPr>
          <w:p w14:paraId="39911F69">
            <w:pPr>
              <w:spacing w:line="320" w:lineRule="exact"/>
              <w:jc w:val="left"/>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p>
        </w:tc>
      </w:tr>
      <w:tr w14:paraId="05DC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262B275D">
            <w:pPr>
              <w:spacing w:line="320" w:lineRule="exact"/>
              <w:jc w:val="center"/>
              <w:rPr>
                <w:color w:val="auto"/>
                <w:highlight w:val="none"/>
              </w:rPr>
            </w:pPr>
            <w:r>
              <w:rPr>
                <w:rFonts w:hint="eastAsia"/>
                <w:color w:val="auto"/>
                <w:highlight w:val="none"/>
              </w:rPr>
              <w:t>3.5.</w:t>
            </w:r>
            <w:r>
              <w:rPr>
                <w:color w:val="auto"/>
                <w:highlight w:val="none"/>
              </w:rPr>
              <w:t>3</w:t>
            </w:r>
          </w:p>
        </w:tc>
        <w:tc>
          <w:tcPr>
            <w:tcW w:w="2334" w:type="dxa"/>
            <w:vAlign w:val="center"/>
          </w:tcPr>
          <w:p w14:paraId="01A5DFA1">
            <w:pPr>
              <w:spacing w:line="320" w:lineRule="exact"/>
              <w:jc w:val="center"/>
              <w:rPr>
                <w:color w:val="auto"/>
                <w:highlight w:val="none"/>
              </w:rPr>
            </w:pPr>
            <w:r>
              <w:rPr>
                <w:rFonts w:hint="eastAsia"/>
                <w:color w:val="auto"/>
                <w:highlight w:val="none"/>
              </w:rPr>
              <w:t>企业近年已完成的类似项目的年份要求</w:t>
            </w:r>
          </w:p>
        </w:tc>
        <w:tc>
          <w:tcPr>
            <w:tcW w:w="5436" w:type="dxa"/>
            <w:vAlign w:val="center"/>
          </w:tcPr>
          <w:p w14:paraId="4D8A97BC">
            <w:pPr>
              <w:spacing w:line="320" w:lineRule="exact"/>
              <w:jc w:val="left"/>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r>
              <w:rPr>
                <w:rFonts w:hint="eastAsia"/>
                <w:color w:val="auto"/>
                <w:highlight w:val="none"/>
                <w:u w:val="single"/>
              </w:rPr>
              <w:t>/</w:t>
            </w:r>
          </w:p>
        </w:tc>
      </w:tr>
      <w:tr w14:paraId="53A9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69309B7">
            <w:pPr>
              <w:spacing w:line="320" w:lineRule="exact"/>
              <w:jc w:val="center"/>
              <w:rPr>
                <w:color w:val="auto"/>
                <w:highlight w:val="none"/>
              </w:rPr>
            </w:pPr>
            <w:r>
              <w:rPr>
                <w:rFonts w:hint="eastAsia"/>
                <w:color w:val="auto"/>
                <w:highlight w:val="none"/>
              </w:rPr>
              <w:t>3.5.</w:t>
            </w:r>
            <w:r>
              <w:rPr>
                <w:color w:val="auto"/>
                <w:highlight w:val="none"/>
              </w:rPr>
              <w:t>5</w:t>
            </w:r>
          </w:p>
        </w:tc>
        <w:tc>
          <w:tcPr>
            <w:tcW w:w="2334" w:type="dxa"/>
            <w:vAlign w:val="center"/>
          </w:tcPr>
          <w:p w14:paraId="04DF06B3">
            <w:pPr>
              <w:spacing w:line="320" w:lineRule="exact"/>
              <w:jc w:val="center"/>
              <w:rPr>
                <w:color w:val="auto"/>
                <w:highlight w:val="none"/>
              </w:rPr>
            </w:pPr>
            <w:r>
              <w:rPr>
                <w:rFonts w:hint="eastAsia"/>
                <w:color w:val="auto"/>
                <w:highlight w:val="none"/>
              </w:rPr>
              <w:t>企业近年发生的诉讼及仲裁情况的年份要求</w:t>
            </w:r>
          </w:p>
        </w:tc>
        <w:tc>
          <w:tcPr>
            <w:tcW w:w="5436" w:type="dxa"/>
            <w:vAlign w:val="center"/>
          </w:tcPr>
          <w:p w14:paraId="13FDB042">
            <w:pPr>
              <w:spacing w:line="320" w:lineRule="exact"/>
              <w:jc w:val="both"/>
              <w:rPr>
                <w:color w:val="auto"/>
                <w:highlight w:val="none"/>
                <w:u w:val="single"/>
              </w:rPr>
            </w:pPr>
            <w:r>
              <w:rPr>
                <w:color w:val="auto"/>
                <w:spacing w:val="-7"/>
                <w:highlight w:val="none"/>
              </w:rPr>
              <w:t>近</w:t>
            </w:r>
            <w:r>
              <w:rPr>
                <w:color w:val="auto"/>
                <w:highlight w:val="none"/>
                <w:u w:val="single" w:color="auto"/>
              </w:rPr>
              <w:t xml:space="preserve"> </w:t>
            </w:r>
            <w:r>
              <w:rPr>
                <w:rFonts w:hint="eastAsia"/>
                <w:color w:val="auto"/>
                <w:highlight w:val="none"/>
                <w:u w:val="single" w:color="auto"/>
                <w:lang w:val="en-US" w:eastAsia="zh-CN"/>
              </w:rPr>
              <w:t>/</w:t>
            </w:r>
            <w:r>
              <w:rPr>
                <w:color w:val="auto"/>
                <w:highlight w:val="none"/>
                <w:u w:val="single" w:color="auto"/>
              </w:rPr>
              <w:t xml:space="preserve">  </w:t>
            </w:r>
            <w:r>
              <w:rPr>
                <w:color w:val="auto"/>
                <w:spacing w:val="-91"/>
                <w:highlight w:val="none"/>
              </w:rPr>
              <w:t xml:space="preserve"> </w:t>
            </w:r>
            <w:r>
              <w:rPr>
                <w:color w:val="auto"/>
                <w:spacing w:val="-7"/>
                <w:highlight w:val="none"/>
              </w:rPr>
              <w:t>年，指</w:t>
            </w:r>
            <w:r>
              <w:rPr>
                <w:color w:val="auto"/>
                <w:spacing w:val="-91"/>
                <w:highlight w:val="none"/>
              </w:rPr>
              <w:t xml:space="preserve"> </w:t>
            </w:r>
            <w:r>
              <w:rPr>
                <w:color w:val="auto"/>
                <w:spacing w:val="34"/>
                <w:highlight w:val="none"/>
                <w:u w:val="single" w:color="auto"/>
              </w:rPr>
              <w:t xml:space="preserve"> </w:t>
            </w:r>
            <w:r>
              <w:rPr>
                <w:rFonts w:hint="eastAsia"/>
                <w:color w:val="auto"/>
                <w:spacing w:val="34"/>
                <w:highlight w:val="none"/>
                <w:u w:val="single" w:color="auto"/>
                <w:lang w:val="en-US" w:eastAsia="zh-CN"/>
              </w:rPr>
              <w:t>/</w:t>
            </w:r>
            <w:r>
              <w:rPr>
                <w:color w:val="auto"/>
                <w:spacing w:val="34"/>
                <w:highlight w:val="none"/>
                <w:u w:val="single" w:color="auto"/>
              </w:rPr>
              <w:t xml:space="preserve"> </w:t>
            </w:r>
            <w:r>
              <w:rPr>
                <w:color w:val="auto"/>
                <w:spacing w:val="-96"/>
                <w:highlight w:val="none"/>
              </w:rPr>
              <w:t xml:space="preserve"> </w:t>
            </w:r>
            <w:r>
              <w:rPr>
                <w:color w:val="auto"/>
                <w:spacing w:val="-7"/>
                <w:highlight w:val="none"/>
              </w:rPr>
              <w:t>年</w:t>
            </w:r>
            <w:r>
              <w:rPr>
                <w:color w:val="auto"/>
                <w:spacing w:val="-7"/>
                <w:highlight w:val="none"/>
                <w:u w:val="single" w:color="auto"/>
              </w:rPr>
              <w:t xml:space="preserve">  </w:t>
            </w:r>
            <w:r>
              <w:rPr>
                <w:rFonts w:hint="eastAsia"/>
                <w:color w:val="auto"/>
                <w:spacing w:val="-7"/>
                <w:highlight w:val="none"/>
                <w:u w:val="single" w:color="auto"/>
                <w:lang w:val="en-US" w:eastAsia="zh-CN"/>
              </w:rPr>
              <w:t>/</w:t>
            </w:r>
            <w:r>
              <w:rPr>
                <w:color w:val="auto"/>
                <w:spacing w:val="-7"/>
                <w:highlight w:val="none"/>
                <w:u w:val="single" w:color="auto"/>
              </w:rPr>
              <w:t xml:space="preserve"> </w:t>
            </w:r>
            <w:r>
              <w:rPr>
                <w:color w:val="auto"/>
                <w:spacing w:val="-91"/>
                <w:highlight w:val="none"/>
              </w:rPr>
              <w:t xml:space="preserve"> </w:t>
            </w:r>
            <w:r>
              <w:rPr>
                <w:color w:val="auto"/>
                <w:spacing w:val="-7"/>
                <w:highlight w:val="none"/>
              </w:rPr>
              <w:t>月</w:t>
            </w:r>
            <w:r>
              <w:rPr>
                <w:color w:val="auto"/>
                <w:spacing w:val="35"/>
                <w:highlight w:val="none"/>
                <w:u w:val="single" w:color="auto"/>
              </w:rPr>
              <w:t xml:space="preserve"> </w:t>
            </w:r>
            <w:r>
              <w:rPr>
                <w:rFonts w:hint="eastAsia"/>
                <w:color w:val="auto"/>
                <w:spacing w:val="35"/>
                <w:highlight w:val="none"/>
                <w:u w:val="single" w:color="auto"/>
                <w:lang w:val="en-US" w:eastAsia="zh-CN"/>
              </w:rPr>
              <w:t>/</w:t>
            </w:r>
            <w:r>
              <w:rPr>
                <w:color w:val="auto"/>
                <w:spacing w:val="35"/>
                <w:highlight w:val="none"/>
                <w:u w:val="single" w:color="auto"/>
              </w:rPr>
              <w:t xml:space="preserve"> </w:t>
            </w:r>
            <w:r>
              <w:rPr>
                <w:color w:val="auto"/>
                <w:spacing w:val="-61"/>
                <w:highlight w:val="none"/>
              </w:rPr>
              <w:t xml:space="preserve"> </w:t>
            </w:r>
            <w:r>
              <w:rPr>
                <w:color w:val="auto"/>
                <w:spacing w:val="-7"/>
                <w:highlight w:val="none"/>
              </w:rPr>
              <w:t>日─</w:t>
            </w:r>
            <w:r>
              <w:rPr>
                <w:color w:val="auto"/>
                <w:spacing w:val="34"/>
                <w:highlight w:val="none"/>
                <w:u w:val="single" w:color="auto"/>
              </w:rPr>
              <w:t xml:space="preserve">  </w:t>
            </w:r>
            <w:r>
              <w:rPr>
                <w:rFonts w:hint="eastAsia"/>
                <w:color w:val="auto"/>
                <w:spacing w:val="34"/>
                <w:highlight w:val="none"/>
                <w:u w:val="single" w:color="auto"/>
                <w:lang w:val="en-US" w:eastAsia="zh-CN"/>
              </w:rPr>
              <w:t>/</w:t>
            </w:r>
            <w:r>
              <w:rPr>
                <w:color w:val="auto"/>
                <w:spacing w:val="34"/>
                <w:highlight w:val="none"/>
                <w:u w:val="single" w:color="auto"/>
              </w:rPr>
              <w:t xml:space="preserve"> </w:t>
            </w:r>
            <w:r>
              <w:rPr>
                <w:color w:val="auto"/>
                <w:spacing w:val="-95"/>
                <w:highlight w:val="none"/>
              </w:rPr>
              <w:t xml:space="preserve"> </w:t>
            </w:r>
            <w:r>
              <w:rPr>
                <w:color w:val="auto"/>
                <w:spacing w:val="-7"/>
                <w:highlight w:val="none"/>
              </w:rPr>
              <w:t>年</w:t>
            </w:r>
            <w:r>
              <w:rPr>
                <w:color w:val="auto"/>
                <w:spacing w:val="-104"/>
                <w:highlight w:val="none"/>
              </w:rPr>
              <w:t xml:space="preserve"> </w:t>
            </w:r>
            <w:r>
              <w:rPr>
                <w:color w:val="auto"/>
                <w:spacing w:val="52"/>
                <w:highlight w:val="none"/>
                <w:u w:val="single" w:color="auto"/>
              </w:rPr>
              <w:t xml:space="preserve"> </w:t>
            </w:r>
            <w:r>
              <w:rPr>
                <w:rFonts w:hint="eastAsia"/>
                <w:color w:val="auto"/>
                <w:spacing w:val="52"/>
                <w:highlight w:val="none"/>
                <w:u w:val="single" w:color="auto"/>
                <w:lang w:val="en-US" w:eastAsia="zh-CN"/>
              </w:rPr>
              <w:t>/</w:t>
            </w:r>
            <w:r>
              <w:rPr>
                <w:color w:val="auto"/>
                <w:spacing w:val="52"/>
                <w:highlight w:val="none"/>
                <w:u w:val="single" w:color="auto"/>
              </w:rPr>
              <w:t xml:space="preserve"> </w:t>
            </w:r>
            <w:r>
              <w:rPr>
                <w:color w:val="auto"/>
                <w:spacing w:val="-92"/>
                <w:highlight w:val="none"/>
              </w:rPr>
              <w:t xml:space="preserve"> </w:t>
            </w:r>
            <w:r>
              <w:rPr>
                <w:color w:val="auto"/>
                <w:spacing w:val="-7"/>
                <w:highlight w:val="none"/>
              </w:rPr>
              <w:t>月</w:t>
            </w:r>
            <w:r>
              <w:rPr>
                <w:color w:val="auto"/>
                <w:spacing w:val="-7"/>
                <w:highlight w:val="none"/>
                <w:u w:val="single" w:color="auto"/>
              </w:rPr>
              <w:t xml:space="preserve">  </w:t>
            </w:r>
            <w:r>
              <w:rPr>
                <w:rFonts w:hint="eastAsia"/>
                <w:color w:val="auto"/>
                <w:spacing w:val="-7"/>
                <w:highlight w:val="none"/>
                <w:u w:val="single" w:color="auto"/>
                <w:lang w:val="en-US" w:eastAsia="zh-CN"/>
              </w:rPr>
              <w:t>/</w:t>
            </w:r>
            <w:r>
              <w:rPr>
                <w:color w:val="auto"/>
                <w:spacing w:val="-7"/>
                <w:highlight w:val="none"/>
                <w:u w:val="single" w:color="auto"/>
              </w:rPr>
              <w:t xml:space="preserve"> </w:t>
            </w:r>
            <w:r>
              <w:rPr>
                <w:color w:val="auto"/>
                <w:spacing w:val="-60"/>
                <w:highlight w:val="none"/>
              </w:rPr>
              <w:t xml:space="preserve"> </w:t>
            </w:r>
            <w:r>
              <w:rPr>
                <w:color w:val="auto"/>
                <w:spacing w:val="-7"/>
                <w:highlight w:val="none"/>
              </w:rPr>
              <w:t>日</w:t>
            </w:r>
          </w:p>
        </w:tc>
      </w:tr>
      <w:tr w14:paraId="1831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FE93A16">
            <w:pPr>
              <w:spacing w:line="320" w:lineRule="exact"/>
              <w:jc w:val="center"/>
              <w:rPr>
                <w:color w:val="auto"/>
                <w:highlight w:val="none"/>
              </w:rPr>
            </w:pPr>
            <w:r>
              <w:rPr>
                <w:rFonts w:hint="eastAsia"/>
                <w:color w:val="auto"/>
                <w:highlight w:val="none"/>
              </w:rPr>
              <w:t>3</w:t>
            </w:r>
            <w:r>
              <w:rPr>
                <w:color w:val="auto"/>
                <w:highlight w:val="none"/>
              </w:rPr>
              <w:t>.5.9</w:t>
            </w:r>
          </w:p>
        </w:tc>
        <w:tc>
          <w:tcPr>
            <w:tcW w:w="2334" w:type="dxa"/>
            <w:vAlign w:val="center"/>
          </w:tcPr>
          <w:p w14:paraId="4B76191A">
            <w:pPr>
              <w:spacing w:line="320" w:lineRule="exact"/>
              <w:jc w:val="center"/>
              <w:rPr>
                <w:color w:val="auto"/>
                <w:highlight w:val="none"/>
              </w:rPr>
            </w:pPr>
            <w:r>
              <w:rPr>
                <w:rFonts w:hint="eastAsia"/>
                <w:color w:val="auto"/>
                <w:highlight w:val="none"/>
              </w:rPr>
              <w:t>项目经理近年已完成的类似项目的年份要求</w:t>
            </w:r>
          </w:p>
        </w:tc>
        <w:tc>
          <w:tcPr>
            <w:tcW w:w="5436" w:type="dxa"/>
            <w:vAlign w:val="center"/>
          </w:tcPr>
          <w:p w14:paraId="7AAEF560">
            <w:pPr>
              <w:spacing w:line="320" w:lineRule="exact"/>
              <w:jc w:val="both"/>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r>
              <w:rPr>
                <w:rFonts w:hint="eastAsia"/>
                <w:color w:val="auto"/>
                <w:highlight w:val="none"/>
                <w:u w:val="single"/>
              </w:rPr>
              <w:t>/</w:t>
            </w:r>
          </w:p>
        </w:tc>
      </w:tr>
      <w:tr w14:paraId="2286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1FBD1D8">
            <w:pPr>
              <w:spacing w:line="320" w:lineRule="exact"/>
              <w:jc w:val="center"/>
              <w:rPr>
                <w:color w:val="auto"/>
                <w:highlight w:val="none"/>
              </w:rPr>
            </w:pPr>
            <w:r>
              <w:rPr>
                <w:rFonts w:hint="eastAsia"/>
                <w:color w:val="auto"/>
                <w:highlight w:val="none"/>
              </w:rPr>
              <w:t>3.6</w:t>
            </w:r>
          </w:p>
        </w:tc>
        <w:tc>
          <w:tcPr>
            <w:tcW w:w="2334" w:type="dxa"/>
            <w:vAlign w:val="center"/>
          </w:tcPr>
          <w:p w14:paraId="12BD03D8">
            <w:pPr>
              <w:spacing w:line="320" w:lineRule="exact"/>
              <w:jc w:val="center"/>
              <w:rPr>
                <w:color w:val="auto"/>
                <w:highlight w:val="none"/>
              </w:rPr>
            </w:pPr>
            <w:r>
              <w:rPr>
                <w:rFonts w:hint="eastAsia"/>
                <w:color w:val="auto"/>
                <w:highlight w:val="none"/>
              </w:rPr>
              <w:t>是否允许递交备选投标方案</w:t>
            </w:r>
          </w:p>
        </w:tc>
        <w:tc>
          <w:tcPr>
            <w:tcW w:w="5436" w:type="dxa"/>
            <w:vAlign w:val="center"/>
          </w:tcPr>
          <w:p w14:paraId="0E1F31B2">
            <w:pPr>
              <w:spacing w:line="320" w:lineRule="exact"/>
              <w:jc w:val="both"/>
              <w:rPr>
                <w:color w:val="auto"/>
                <w:szCs w:val="21"/>
                <w:highlight w:val="none"/>
              </w:rPr>
            </w:pPr>
            <w:r>
              <w:rPr>
                <w:rFonts w:hint="eastAsia"/>
                <w:color w:val="auto"/>
                <w:szCs w:val="21"/>
                <w:highlight w:val="none"/>
              </w:rPr>
              <w:t>☑不允许</w:t>
            </w:r>
          </w:p>
          <w:p w14:paraId="4714117C">
            <w:pPr>
              <w:spacing w:line="320" w:lineRule="exact"/>
              <w:jc w:val="both"/>
              <w:rPr>
                <w:color w:val="auto"/>
                <w:highlight w:val="none"/>
              </w:rPr>
            </w:pPr>
            <w:r>
              <w:rPr>
                <w:rFonts w:hint="eastAsia" w:ascii="宋体" w:hAnsi="宋体"/>
                <w:color w:val="auto"/>
                <w:szCs w:val="21"/>
                <w:highlight w:val="none"/>
              </w:rPr>
              <w:t>□允许</w:t>
            </w:r>
          </w:p>
        </w:tc>
      </w:tr>
      <w:tr w14:paraId="451C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A16EA0B">
            <w:pPr>
              <w:spacing w:line="320" w:lineRule="exact"/>
              <w:jc w:val="center"/>
              <w:rPr>
                <w:color w:val="auto"/>
                <w:highlight w:val="none"/>
              </w:rPr>
            </w:pPr>
            <w:r>
              <w:rPr>
                <w:rFonts w:hint="eastAsia"/>
                <w:color w:val="auto"/>
                <w:highlight w:val="none"/>
              </w:rPr>
              <w:t>3.7.3</w:t>
            </w:r>
          </w:p>
        </w:tc>
        <w:tc>
          <w:tcPr>
            <w:tcW w:w="2334" w:type="dxa"/>
            <w:vAlign w:val="center"/>
          </w:tcPr>
          <w:p w14:paraId="5C597A76">
            <w:pPr>
              <w:spacing w:line="320" w:lineRule="exact"/>
              <w:jc w:val="center"/>
              <w:rPr>
                <w:color w:val="auto"/>
                <w:highlight w:val="none"/>
              </w:rPr>
            </w:pPr>
            <w:r>
              <w:rPr>
                <w:rFonts w:hint="eastAsia"/>
                <w:color w:val="auto"/>
                <w:highlight w:val="none"/>
              </w:rPr>
              <w:t>应用于评审的佐证或证明材料</w:t>
            </w:r>
          </w:p>
        </w:tc>
        <w:tc>
          <w:tcPr>
            <w:tcW w:w="5436" w:type="dxa"/>
            <w:vAlign w:val="center"/>
          </w:tcPr>
          <w:p w14:paraId="7BF78B0A">
            <w:pPr>
              <w:spacing w:line="320" w:lineRule="exact"/>
              <w:jc w:val="both"/>
              <w:rPr>
                <w:rFonts w:ascii="Segoe UI Symbol" w:hAnsi="Segoe UI Symbol" w:cs="Segoe UI Symbol"/>
                <w:color w:val="auto"/>
                <w:highlight w:val="none"/>
              </w:rPr>
            </w:pPr>
            <w:r>
              <w:rPr>
                <w:rFonts w:hint="eastAsia"/>
                <w:color w:val="auto"/>
                <w:highlight w:val="none"/>
              </w:rPr>
              <w:t>应用数字证照评审的节点和材料内容：</w:t>
            </w:r>
          </w:p>
          <w:p w14:paraId="28BED11F">
            <w:pPr>
              <w:spacing w:line="320" w:lineRule="exact"/>
              <w:jc w:val="both"/>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企</w:t>
            </w:r>
            <w:r>
              <w:rPr>
                <w:rFonts w:hint="eastAsia" w:ascii="宋体" w:hAnsi="宋体"/>
                <w:color w:val="auto"/>
                <w:highlight w:val="none"/>
              </w:rPr>
              <w:t>业业绩</w:t>
            </w:r>
          </w:p>
          <w:p w14:paraId="2876AB8A">
            <w:pPr>
              <w:spacing w:line="320" w:lineRule="exact"/>
              <w:jc w:val="both"/>
              <w:rPr>
                <w:rFonts w:hint="eastAsia" w:ascii="宋体" w:hAnsi="宋体"/>
                <w:color w:val="auto"/>
                <w:highlight w:val="none"/>
              </w:rPr>
            </w:pPr>
            <w:r>
              <w:rPr>
                <w:rFonts w:hint="eastAsia" w:ascii="Segoe UI Symbol" w:hAnsi="Segoe UI Symbol" w:cs="Segoe UI Symbol"/>
                <w:color w:val="auto"/>
                <w:highlight w:val="none"/>
                <w:lang w:eastAsia="zh-CN"/>
              </w:rPr>
              <w:t>□</w:t>
            </w:r>
            <w:r>
              <w:rPr>
                <w:rFonts w:hint="eastAsia" w:ascii="宋体" w:hAnsi="宋体"/>
                <w:color w:val="auto"/>
                <w:highlight w:val="none"/>
              </w:rPr>
              <w:t>人员业绩</w:t>
            </w:r>
          </w:p>
          <w:p w14:paraId="71974142">
            <w:pPr>
              <w:spacing w:line="320" w:lineRule="exact"/>
              <w:jc w:val="both"/>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财务审计报告</w:t>
            </w:r>
          </w:p>
          <w:p w14:paraId="178945AC">
            <w:pPr>
              <w:spacing w:line="320" w:lineRule="exact"/>
              <w:jc w:val="both"/>
              <w:rPr>
                <w:color w:val="auto"/>
                <w:highlight w:val="none"/>
              </w:rPr>
            </w:pPr>
            <w:r>
              <w:rPr>
                <w:rFonts w:hint="eastAsia"/>
                <w:color w:val="auto"/>
                <w:highlight w:val="none"/>
              </w:rPr>
              <w:t>特别说明：1.通过企业主体信息库生成的数字证照信息</w:t>
            </w:r>
            <w:r>
              <w:rPr>
                <w:rFonts w:hint="eastAsia"/>
                <w:color w:val="auto"/>
                <w:highlight w:val="none"/>
                <w:lang w:eastAsia="zh-CN"/>
              </w:rPr>
              <w:t>，</w:t>
            </w:r>
            <w:r>
              <w:rPr>
                <w:rFonts w:hint="eastAsia"/>
                <w:color w:val="auto"/>
                <w:highlight w:val="none"/>
              </w:rPr>
              <w:t>投标人应当自行校核和确认数字证照数据信息内容，一般应当对投标文件中已生成的数字证照进行电子签名，否则视为已确认和认可数据信息内容。</w:t>
            </w:r>
          </w:p>
          <w:p w14:paraId="5664E204">
            <w:pPr>
              <w:numPr>
                <w:ilvl w:val="0"/>
                <w:numId w:val="0"/>
              </w:numPr>
              <w:spacing w:line="320" w:lineRule="exact"/>
              <w:jc w:val="both"/>
              <w:rPr>
                <w:color w:val="auto"/>
                <w:highlight w:val="none"/>
              </w:rPr>
            </w:pPr>
            <w:r>
              <w:rPr>
                <w:rFonts w:hint="eastAsia"/>
                <w:color w:val="auto"/>
                <w:highlight w:val="none"/>
                <w:lang w:val="en-US" w:eastAsia="zh-CN"/>
              </w:rPr>
              <w:t>2.</w:t>
            </w:r>
            <w:r>
              <w:rPr>
                <w:rFonts w:hint="eastAsia"/>
                <w:color w:val="auto"/>
                <w:highlight w:val="none"/>
              </w:rPr>
              <w:t>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199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8292B54">
            <w:pPr>
              <w:spacing w:line="320" w:lineRule="exact"/>
              <w:jc w:val="center"/>
              <w:rPr>
                <w:color w:val="auto"/>
                <w:highlight w:val="none"/>
              </w:rPr>
            </w:pPr>
            <w:r>
              <w:rPr>
                <w:rFonts w:hint="eastAsia"/>
                <w:color w:val="auto"/>
                <w:highlight w:val="none"/>
              </w:rPr>
              <w:t>3.7.4</w:t>
            </w:r>
          </w:p>
        </w:tc>
        <w:tc>
          <w:tcPr>
            <w:tcW w:w="2334" w:type="dxa"/>
            <w:vAlign w:val="center"/>
          </w:tcPr>
          <w:p w14:paraId="153BA098">
            <w:pPr>
              <w:spacing w:line="320" w:lineRule="exact"/>
              <w:jc w:val="center"/>
              <w:rPr>
                <w:color w:val="auto"/>
                <w:highlight w:val="none"/>
              </w:rPr>
            </w:pPr>
            <w:r>
              <w:rPr>
                <w:color w:val="auto"/>
                <w:highlight w:val="none"/>
              </w:rPr>
              <w:t>技术标（承包人实施方案）</w:t>
            </w:r>
            <w:r>
              <w:rPr>
                <w:color w:val="auto"/>
                <w:szCs w:val="21"/>
                <w:highlight w:val="none"/>
              </w:rPr>
              <w:t>是否采用暗标</w:t>
            </w:r>
          </w:p>
        </w:tc>
        <w:tc>
          <w:tcPr>
            <w:tcW w:w="5436" w:type="dxa"/>
            <w:vAlign w:val="center"/>
          </w:tcPr>
          <w:p w14:paraId="453AE164">
            <w:pPr>
              <w:spacing w:line="320" w:lineRule="exact"/>
              <w:jc w:val="left"/>
              <w:rPr>
                <w:rFonts w:hint="eastAsia" w:ascii="宋体" w:hAnsi="宋体"/>
                <w:color w:val="auto"/>
                <w:szCs w:val="21"/>
                <w:highlight w:val="none"/>
              </w:rPr>
            </w:pPr>
            <w:r>
              <w:rPr>
                <w:rFonts w:hint="eastAsia"/>
                <w:color w:val="auto"/>
                <w:szCs w:val="21"/>
                <w:highlight w:val="none"/>
              </w:rPr>
              <w:t>采用模块化暗标评审</w:t>
            </w:r>
          </w:p>
        </w:tc>
      </w:tr>
      <w:tr w14:paraId="32C1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49E39654">
            <w:pPr>
              <w:spacing w:line="320" w:lineRule="exact"/>
              <w:jc w:val="center"/>
              <w:rPr>
                <w:color w:val="auto"/>
                <w:highlight w:val="none"/>
              </w:rPr>
            </w:pPr>
            <w:r>
              <w:rPr>
                <w:rFonts w:hint="eastAsia"/>
                <w:color w:val="auto"/>
                <w:highlight w:val="none"/>
              </w:rPr>
              <w:t>4.2.1</w:t>
            </w:r>
          </w:p>
        </w:tc>
        <w:tc>
          <w:tcPr>
            <w:tcW w:w="2334" w:type="dxa"/>
            <w:vAlign w:val="center"/>
          </w:tcPr>
          <w:p w14:paraId="67985BF0">
            <w:pPr>
              <w:spacing w:line="320" w:lineRule="exact"/>
              <w:jc w:val="center"/>
              <w:rPr>
                <w:color w:val="auto"/>
                <w:highlight w:val="none"/>
              </w:rPr>
            </w:pPr>
            <w:r>
              <w:rPr>
                <w:rFonts w:hint="eastAsia"/>
                <w:color w:val="auto"/>
                <w:highlight w:val="none"/>
              </w:rPr>
              <w:t>投标截止时间</w:t>
            </w:r>
          </w:p>
        </w:tc>
        <w:tc>
          <w:tcPr>
            <w:tcW w:w="5436" w:type="dxa"/>
            <w:vAlign w:val="center"/>
          </w:tcPr>
          <w:p w14:paraId="19A933E1">
            <w:pPr>
              <w:spacing w:line="320" w:lineRule="exact"/>
              <w:jc w:val="left"/>
              <w:rPr>
                <w:color w:val="auto"/>
                <w:highlight w:val="none"/>
              </w:rPr>
            </w:pPr>
            <w:r>
              <w:rPr>
                <w:rFonts w:hint="eastAsia"/>
                <w:color w:val="auto"/>
                <w:highlight w:val="none"/>
                <w:u w:val="single"/>
              </w:rPr>
              <w:t>2025</w:t>
            </w:r>
            <w:r>
              <w:rPr>
                <w:rFonts w:hint="eastAsia"/>
                <w:color w:val="auto"/>
                <w:highlight w:val="none"/>
                <w:u w:val="single"/>
              </w:rPr>
              <w:t>年0</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 xml:space="preserve">日 </w:t>
            </w:r>
            <w:r>
              <w:rPr>
                <w:rFonts w:hint="eastAsia"/>
                <w:color w:val="auto"/>
                <w:highlight w:val="none"/>
                <w:u w:val="single"/>
                <w:lang w:val="en-US" w:eastAsia="zh-CN"/>
              </w:rPr>
              <w:t>10</w:t>
            </w:r>
            <w:r>
              <w:rPr>
                <w:rFonts w:hint="eastAsia"/>
                <w:color w:val="auto"/>
                <w:highlight w:val="none"/>
                <w:u w:val="single"/>
              </w:rPr>
              <w:t>时30分00秒</w:t>
            </w:r>
          </w:p>
        </w:tc>
      </w:tr>
      <w:tr w14:paraId="4282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34266F8C">
            <w:pPr>
              <w:spacing w:line="320" w:lineRule="exact"/>
              <w:jc w:val="center"/>
              <w:rPr>
                <w:color w:val="auto"/>
                <w:highlight w:val="none"/>
              </w:rPr>
            </w:pPr>
            <w:r>
              <w:rPr>
                <w:rFonts w:hint="eastAsia"/>
                <w:color w:val="auto"/>
                <w:highlight w:val="none"/>
              </w:rPr>
              <w:t>4.2.3</w:t>
            </w:r>
          </w:p>
        </w:tc>
        <w:tc>
          <w:tcPr>
            <w:tcW w:w="2334" w:type="dxa"/>
            <w:vAlign w:val="center"/>
          </w:tcPr>
          <w:p w14:paraId="1CCA7BEE">
            <w:pPr>
              <w:spacing w:line="320" w:lineRule="exact"/>
              <w:jc w:val="center"/>
              <w:rPr>
                <w:color w:val="auto"/>
                <w:highlight w:val="none"/>
              </w:rPr>
            </w:pPr>
            <w:r>
              <w:rPr>
                <w:rFonts w:hint="eastAsia"/>
                <w:color w:val="auto"/>
                <w:highlight w:val="none"/>
              </w:rPr>
              <w:t>是否退还投标文件</w:t>
            </w:r>
          </w:p>
        </w:tc>
        <w:tc>
          <w:tcPr>
            <w:tcW w:w="5436" w:type="dxa"/>
            <w:vAlign w:val="center"/>
          </w:tcPr>
          <w:p w14:paraId="67C73D11">
            <w:pPr>
              <w:spacing w:line="320" w:lineRule="exact"/>
              <w:jc w:val="left"/>
              <w:rPr>
                <w:color w:val="auto"/>
                <w:highlight w:val="none"/>
              </w:rPr>
            </w:pPr>
            <w:r>
              <w:rPr>
                <w:rFonts w:hint="eastAsia"/>
                <w:color w:val="auto"/>
                <w:highlight w:val="none"/>
              </w:rPr>
              <w:t>☑否</w:t>
            </w:r>
          </w:p>
          <w:p w14:paraId="0F6ECB87">
            <w:pPr>
              <w:spacing w:line="320" w:lineRule="exact"/>
              <w:jc w:val="left"/>
              <w:rPr>
                <w:color w:val="auto"/>
                <w:highlight w:val="none"/>
                <w:u w:val="single"/>
              </w:rPr>
            </w:pPr>
            <w:r>
              <w:rPr>
                <w:rFonts w:hint="eastAsia"/>
                <w:color w:val="auto"/>
                <w:highlight w:val="none"/>
              </w:rPr>
              <w:t>□是，退还具体安排：/</w:t>
            </w:r>
          </w:p>
        </w:tc>
      </w:tr>
      <w:tr w14:paraId="2986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625F52F6">
            <w:pPr>
              <w:spacing w:line="320" w:lineRule="exact"/>
              <w:jc w:val="center"/>
              <w:rPr>
                <w:color w:val="auto"/>
                <w:highlight w:val="none"/>
              </w:rPr>
            </w:pPr>
            <w:r>
              <w:rPr>
                <w:rFonts w:hint="eastAsia"/>
                <w:color w:val="auto"/>
                <w:highlight w:val="none"/>
              </w:rPr>
              <w:t>5</w:t>
            </w:r>
            <w:r>
              <w:rPr>
                <w:color w:val="auto"/>
                <w:highlight w:val="none"/>
              </w:rPr>
              <w:t>.1.1</w:t>
            </w:r>
          </w:p>
        </w:tc>
        <w:tc>
          <w:tcPr>
            <w:tcW w:w="2334" w:type="dxa"/>
            <w:vAlign w:val="center"/>
          </w:tcPr>
          <w:p w14:paraId="510B30CA">
            <w:pPr>
              <w:spacing w:line="320" w:lineRule="exact"/>
              <w:jc w:val="center"/>
              <w:rPr>
                <w:color w:val="auto"/>
                <w:highlight w:val="none"/>
              </w:rPr>
            </w:pPr>
            <w:r>
              <w:rPr>
                <w:rFonts w:hint="eastAsia"/>
                <w:color w:val="auto"/>
                <w:highlight w:val="none"/>
              </w:rPr>
              <w:t>开标组织方式</w:t>
            </w:r>
          </w:p>
        </w:tc>
        <w:tc>
          <w:tcPr>
            <w:tcW w:w="5436" w:type="dxa"/>
            <w:vAlign w:val="center"/>
          </w:tcPr>
          <w:p w14:paraId="578181EC">
            <w:pPr>
              <w:spacing w:line="320" w:lineRule="exact"/>
              <w:jc w:val="left"/>
              <w:rPr>
                <w:color w:val="auto"/>
                <w:highlight w:val="none"/>
              </w:rPr>
            </w:pPr>
            <w:r>
              <w:rPr>
                <w:rFonts w:hint="eastAsia"/>
                <w:color w:val="auto"/>
                <w:highlight w:val="none"/>
              </w:rPr>
              <w:t>□现场集中开标</w:t>
            </w:r>
          </w:p>
          <w:p w14:paraId="28354CD9">
            <w:pPr>
              <w:spacing w:line="320" w:lineRule="exact"/>
              <w:jc w:val="left"/>
              <w:rPr>
                <w:color w:val="auto"/>
                <w:highlight w:val="none"/>
              </w:rPr>
            </w:pPr>
            <w:bookmarkStart w:id="40" w:name="_Hlk154408936"/>
            <w:r>
              <w:rPr>
                <w:rFonts w:hint="eastAsia"/>
                <w:color w:val="auto"/>
                <w:highlight w:val="none"/>
              </w:rPr>
              <w:t>☑远程不见面开标</w:t>
            </w:r>
            <w:bookmarkEnd w:id="40"/>
          </w:p>
          <w:p w14:paraId="7CDCF951">
            <w:pPr>
              <w:spacing w:line="320" w:lineRule="exact"/>
              <w:jc w:val="left"/>
              <w:rPr>
                <w:color w:val="auto"/>
                <w:highlight w:val="none"/>
              </w:rPr>
            </w:pPr>
            <w:bookmarkStart w:id="41" w:name="_Hlk154408948"/>
            <w:r>
              <w:rPr>
                <w:rFonts w:hint="eastAsia"/>
                <w:color w:val="auto"/>
                <w:highlight w:val="none"/>
              </w:rPr>
              <w:t>□现场集中和远程不见面开标同时进行</w:t>
            </w:r>
            <w:bookmarkEnd w:id="41"/>
            <w:r>
              <w:rPr>
                <w:rFonts w:hint="eastAsia"/>
                <w:color w:val="auto"/>
                <w:highlight w:val="none"/>
              </w:rPr>
              <w:t>。投标人自行选择参与开标的方式。</w:t>
            </w:r>
          </w:p>
          <w:p w14:paraId="5AE6F318">
            <w:pPr>
              <w:spacing w:line="320" w:lineRule="exact"/>
              <w:jc w:val="left"/>
              <w:rPr>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14F7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1484AD8C">
            <w:pPr>
              <w:spacing w:line="320" w:lineRule="exact"/>
              <w:jc w:val="center"/>
              <w:rPr>
                <w:color w:val="auto"/>
                <w:highlight w:val="none"/>
              </w:rPr>
            </w:pPr>
            <w:r>
              <w:rPr>
                <w:color w:val="auto"/>
                <w:highlight w:val="none"/>
              </w:rPr>
              <w:t>5.1.</w:t>
            </w:r>
            <w:r>
              <w:rPr>
                <w:rFonts w:hint="eastAsia"/>
                <w:color w:val="auto"/>
                <w:highlight w:val="none"/>
              </w:rPr>
              <w:t>2</w:t>
            </w:r>
          </w:p>
        </w:tc>
        <w:tc>
          <w:tcPr>
            <w:tcW w:w="2334" w:type="dxa"/>
            <w:vAlign w:val="center"/>
          </w:tcPr>
          <w:p w14:paraId="5C9BA1D9">
            <w:pPr>
              <w:spacing w:line="320" w:lineRule="exact"/>
              <w:jc w:val="center"/>
              <w:rPr>
                <w:color w:val="auto"/>
                <w:highlight w:val="none"/>
                <w:bdr w:val="single" w:color="auto" w:sz="4" w:space="0"/>
              </w:rPr>
            </w:pPr>
            <w:r>
              <w:rPr>
                <w:rFonts w:hint="eastAsia"/>
                <w:color w:val="auto"/>
                <w:highlight w:val="none"/>
              </w:rPr>
              <w:t>开标地点</w:t>
            </w:r>
          </w:p>
        </w:tc>
        <w:tc>
          <w:tcPr>
            <w:tcW w:w="5436" w:type="dxa"/>
            <w:vAlign w:val="center"/>
          </w:tcPr>
          <w:p w14:paraId="5D14E928">
            <w:pPr>
              <w:spacing w:line="320" w:lineRule="exact"/>
              <w:jc w:val="left"/>
              <w:rPr>
                <w:color w:val="auto"/>
                <w:highlight w:val="none"/>
                <w:bdr w:val="single" w:color="auto" w:sz="4" w:space="0"/>
              </w:rPr>
            </w:pPr>
            <w:r>
              <w:rPr>
                <w:rFonts w:hint="eastAsia"/>
                <w:color w:val="auto"/>
                <w:highlight w:val="none"/>
              </w:rPr>
              <w:t>辽宁省工程建设项目数字化开评标系统https://dts.lnzb.com:8888/zjt-bid/</w:t>
            </w:r>
          </w:p>
        </w:tc>
      </w:tr>
      <w:tr w14:paraId="6080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11A1C6D">
            <w:pPr>
              <w:spacing w:line="320" w:lineRule="exact"/>
              <w:jc w:val="center"/>
              <w:rPr>
                <w:rFonts w:hint="eastAsia" w:ascii="宋体" w:hAnsi="宋体"/>
                <w:color w:val="auto"/>
                <w:szCs w:val="21"/>
                <w:highlight w:val="none"/>
              </w:rPr>
            </w:pPr>
            <w:r>
              <w:rPr>
                <w:rFonts w:hint="eastAsia"/>
                <w:color w:val="auto"/>
                <w:highlight w:val="none"/>
              </w:rPr>
              <w:t>5.2.1（5）</w:t>
            </w:r>
          </w:p>
        </w:tc>
        <w:tc>
          <w:tcPr>
            <w:tcW w:w="2334" w:type="dxa"/>
            <w:vAlign w:val="center"/>
          </w:tcPr>
          <w:p w14:paraId="4540B132">
            <w:pPr>
              <w:spacing w:line="320" w:lineRule="exact"/>
              <w:jc w:val="center"/>
              <w:rPr>
                <w:rFonts w:hint="eastAsia" w:ascii="宋体" w:hAnsi="宋体"/>
                <w:color w:val="auto"/>
                <w:szCs w:val="21"/>
                <w:highlight w:val="none"/>
              </w:rPr>
            </w:pPr>
            <w:r>
              <w:rPr>
                <w:rFonts w:hint="eastAsia" w:ascii="宋体" w:hAnsi="宋体"/>
                <w:color w:val="auto"/>
                <w:szCs w:val="21"/>
                <w:highlight w:val="none"/>
              </w:rPr>
              <w:t>解密时间</w:t>
            </w:r>
          </w:p>
        </w:tc>
        <w:tc>
          <w:tcPr>
            <w:tcW w:w="5436" w:type="dxa"/>
            <w:vAlign w:val="center"/>
          </w:tcPr>
          <w:p w14:paraId="79C4676C">
            <w:pPr>
              <w:spacing w:line="320" w:lineRule="exact"/>
              <w:jc w:val="left"/>
              <w:rPr>
                <w:rFonts w:hint="eastAsia"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07CD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01BEA631">
            <w:pPr>
              <w:spacing w:line="320" w:lineRule="exact"/>
              <w:jc w:val="center"/>
              <w:rPr>
                <w:color w:val="auto"/>
                <w:highlight w:val="none"/>
              </w:rPr>
            </w:pPr>
            <w:r>
              <w:rPr>
                <w:rFonts w:hint="eastAsia"/>
                <w:color w:val="auto"/>
                <w:highlight w:val="none"/>
              </w:rPr>
              <w:t>6.1.1</w:t>
            </w:r>
          </w:p>
        </w:tc>
        <w:tc>
          <w:tcPr>
            <w:tcW w:w="2334" w:type="dxa"/>
            <w:vAlign w:val="center"/>
          </w:tcPr>
          <w:p w14:paraId="316A4676">
            <w:pPr>
              <w:spacing w:line="320" w:lineRule="exact"/>
              <w:jc w:val="center"/>
              <w:rPr>
                <w:color w:val="auto"/>
                <w:highlight w:val="none"/>
              </w:rPr>
            </w:pPr>
            <w:r>
              <w:rPr>
                <w:rFonts w:hint="eastAsia"/>
                <w:color w:val="auto"/>
                <w:highlight w:val="none"/>
              </w:rPr>
              <w:t>评标委员会的组建</w:t>
            </w:r>
          </w:p>
        </w:tc>
        <w:tc>
          <w:tcPr>
            <w:tcW w:w="5436" w:type="dxa"/>
            <w:vAlign w:val="center"/>
          </w:tcPr>
          <w:p w14:paraId="11D01916">
            <w:pPr>
              <w:spacing w:line="320" w:lineRule="exact"/>
              <w:jc w:val="left"/>
              <w:rPr>
                <w:color w:val="auto"/>
                <w:highlight w:val="none"/>
              </w:rPr>
            </w:pPr>
            <w:r>
              <w:rPr>
                <w:rFonts w:hint="eastAsia"/>
                <w:color w:val="auto"/>
                <w:highlight w:val="none"/>
              </w:rPr>
              <w:t>评标委员会构成：</w:t>
            </w:r>
            <w:r>
              <w:rPr>
                <w:rFonts w:hint="eastAsia"/>
                <w:color w:val="auto"/>
                <w:highlight w:val="none"/>
                <w:u w:val="single"/>
              </w:rPr>
              <w:t>7</w:t>
            </w:r>
            <w:r>
              <w:rPr>
                <w:rFonts w:hint="eastAsia"/>
                <w:color w:val="auto"/>
                <w:highlight w:val="none"/>
              </w:rPr>
              <w:t>人，其中招标人代表</w:t>
            </w:r>
            <w:r>
              <w:rPr>
                <w:rFonts w:hint="eastAsia"/>
                <w:color w:val="auto"/>
                <w:highlight w:val="none"/>
                <w:u w:val="single"/>
              </w:rPr>
              <w:t>2</w:t>
            </w:r>
            <w:r>
              <w:rPr>
                <w:rFonts w:hint="eastAsia"/>
                <w:color w:val="auto"/>
                <w:highlight w:val="none"/>
              </w:rPr>
              <w:t>人，专家</w:t>
            </w:r>
            <w:r>
              <w:rPr>
                <w:rFonts w:hint="eastAsia"/>
                <w:color w:val="auto"/>
                <w:highlight w:val="none"/>
                <w:u w:val="single"/>
              </w:rPr>
              <w:t>5</w:t>
            </w:r>
            <w:r>
              <w:rPr>
                <w:rFonts w:hint="eastAsia"/>
                <w:color w:val="auto"/>
                <w:highlight w:val="none"/>
              </w:rPr>
              <w:t xml:space="preserve">人； </w:t>
            </w:r>
          </w:p>
          <w:p w14:paraId="06B85D5B">
            <w:pPr>
              <w:spacing w:line="320" w:lineRule="exact"/>
              <w:jc w:val="left"/>
              <w:rPr>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7731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65A13C03">
            <w:pPr>
              <w:spacing w:line="320" w:lineRule="exact"/>
              <w:jc w:val="center"/>
              <w:rPr>
                <w:color w:val="auto"/>
                <w:highlight w:val="none"/>
              </w:rPr>
            </w:pPr>
            <w:r>
              <w:rPr>
                <w:rFonts w:hint="eastAsia"/>
                <w:color w:val="auto"/>
                <w:highlight w:val="none"/>
              </w:rPr>
              <w:t>6</w:t>
            </w:r>
            <w:r>
              <w:rPr>
                <w:color w:val="auto"/>
                <w:highlight w:val="none"/>
              </w:rPr>
              <w:t>.3</w:t>
            </w:r>
          </w:p>
        </w:tc>
        <w:tc>
          <w:tcPr>
            <w:tcW w:w="2334" w:type="dxa"/>
            <w:vAlign w:val="center"/>
          </w:tcPr>
          <w:p w14:paraId="7EBD0CF5">
            <w:pPr>
              <w:spacing w:line="320" w:lineRule="exact"/>
              <w:jc w:val="center"/>
              <w:rPr>
                <w:color w:val="auto"/>
                <w:highlight w:val="none"/>
              </w:rPr>
            </w:pPr>
            <w:r>
              <w:rPr>
                <w:rFonts w:hint="eastAsia"/>
                <w:color w:val="auto"/>
                <w:highlight w:val="none"/>
              </w:rPr>
              <w:t>评标采用方式</w:t>
            </w:r>
          </w:p>
        </w:tc>
        <w:tc>
          <w:tcPr>
            <w:tcW w:w="5436" w:type="dxa"/>
            <w:vAlign w:val="center"/>
          </w:tcPr>
          <w:p w14:paraId="20916EB6">
            <w:pPr>
              <w:spacing w:line="320" w:lineRule="exact"/>
              <w:jc w:val="left"/>
              <w:rPr>
                <w:rFonts w:hint="eastAsia"/>
                <w:color w:val="auto"/>
                <w:highlight w:val="none"/>
              </w:rPr>
            </w:pPr>
            <w:r>
              <w:rPr>
                <w:rFonts w:hint="eastAsia"/>
                <w:color w:val="auto"/>
                <w:highlight w:val="none"/>
              </w:rPr>
              <w:t>评标组织形式：</w:t>
            </w:r>
          </w:p>
          <w:p w14:paraId="0EFD7A18">
            <w:pPr>
              <w:spacing w:line="320" w:lineRule="exact"/>
              <w:jc w:val="left"/>
              <w:rPr>
                <w:rFonts w:hint="eastAsia"/>
                <w:color w:val="auto"/>
                <w:highlight w:val="none"/>
              </w:rPr>
            </w:pPr>
            <w:r>
              <w:rPr>
                <w:rFonts w:hint="eastAsia"/>
                <w:color w:val="auto"/>
                <w:highlight w:val="none"/>
                <w:lang w:eastAsia="zh-CN"/>
              </w:rPr>
              <w:t>☑</w:t>
            </w:r>
            <w:r>
              <w:rPr>
                <w:rFonts w:hint="eastAsia"/>
                <w:color w:val="auto"/>
                <w:highlight w:val="none"/>
              </w:rPr>
              <w:t>本地集中评标方式</w:t>
            </w:r>
          </w:p>
          <w:p w14:paraId="05C3BF60">
            <w:pPr>
              <w:spacing w:line="320" w:lineRule="exact"/>
              <w:jc w:val="left"/>
              <w:rPr>
                <w:rFonts w:hint="eastAsia"/>
                <w:color w:val="auto"/>
                <w:highlight w:val="none"/>
              </w:rPr>
            </w:pPr>
            <w:r>
              <w:rPr>
                <w:rFonts w:hint="eastAsia"/>
                <w:color w:val="auto"/>
                <w:highlight w:val="none"/>
                <w:lang w:eastAsia="zh-CN"/>
              </w:rPr>
              <w:t>□</w:t>
            </w:r>
            <w:r>
              <w:rPr>
                <w:rFonts w:hint="eastAsia"/>
                <w:color w:val="auto"/>
                <w:highlight w:val="none"/>
              </w:rPr>
              <w:t>远程异地评标方式</w:t>
            </w:r>
          </w:p>
          <w:p w14:paraId="21A6D90B">
            <w:pPr>
              <w:spacing w:line="320" w:lineRule="exact"/>
              <w:jc w:val="left"/>
              <w:rPr>
                <w:rFonts w:hint="eastAsia"/>
                <w:color w:val="auto"/>
                <w:highlight w:val="none"/>
              </w:rPr>
            </w:pPr>
            <w:r>
              <w:rPr>
                <w:rFonts w:hint="eastAsia"/>
                <w:color w:val="auto"/>
                <w:highlight w:val="none"/>
              </w:rPr>
              <w:t>评标是否采用计算机辅助智能评审：</w:t>
            </w:r>
          </w:p>
          <w:p w14:paraId="47C430EA">
            <w:pPr>
              <w:spacing w:line="320" w:lineRule="exact"/>
              <w:jc w:val="left"/>
              <w:rPr>
                <w:rFonts w:hint="eastAsia"/>
                <w:color w:val="auto"/>
                <w:highlight w:val="none"/>
              </w:rPr>
            </w:pPr>
            <w:r>
              <w:rPr>
                <w:rFonts w:hint="eastAsia"/>
                <w:color w:val="auto"/>
                <w:highlight w:val="none"/>
                <w:lang w:eastAsia="zh-CN"/>
              </w:rPr>
              <w:t>□</w:t>
            </w:r>
            <w:r>
              <w:rPr>
                <w:rFonts w:hint="eastAsia"/>
                <w:color w:val="auto"/>
                <w:highlight w:val="none"/>
              </w:rPr>
              <w:t>是</w:t>
            </w:r>
          </w:p>
          <w:p w14:paraId="21A0CE9A">
            <w:pPr>
              <w:spacing w:line="320" w:lineRule="exact"/>
              <w:jc w:val="left"/>
              <w:rPr>
                <w:color w:val="auto"/>
                <w:highlight w:val="none"/>
              </w:rPr>
            </w:pPr>
            <w:r>
              <w:rPr>
                <w:rFonts w:hint="eastAsia"/>
                <w:color w:val="auto"/>
                <w:highlight w:val="none"/>
                <w:lang w:eastAsia="zh-CN"/>
              </w:rPr>
              <w:t>☑</w:t>
            </w:r>
            <w:r>
              <w:rPr>
                <w:rFonts w:hint="eastAsia"/>
                <w:color w:val="auto"/>
                <w:highlight w:val="none"/>
              </w:rPr>
              <w:t>否</w:t>
            </w:r>
          </w:p>
        </w:tc>
      </w:tr>
      <w:tr w14:paraId="533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6C22D318">
            <w:pPr>
              <w:spacing w:line="320" w:lineRule="exact"/>
              <w:jc w:val="center"/>
              <w:rPr>
                <w:color w:val="auto"/>
                <w:szCs w:val="21"/>
                <w:highlight w:val="none"/>
              </w:rPr>
            </w:pPr>
            <w:r>
              <w:rPr>
                <w:rFonts w:hint="eastAsia"/>
                <w:color w:val="auto"/>
                <w:highlight w:val="none"/>
              </w:rPr>
              <w:t>6</w:t>
            </w:r>
            <w:r>
              <w:rPr>
                <w:color w:val="auto"/>
                <w:highlight w:val="none"/>
              </w:rPr>
              <w:t>.</w:t>
            </w:r>
            <w:r>
              <w:rPr>
                <w:rFonts w:hint="eastAsia"/>
                <w:color w:val="auto"/>
                <w:highlight w:val="none"/>
              </w:rPr>
              <w:t>4</w:t>
            </w:r>
          </w:p>
        </w:tc>
        <w:tc>
          <w:tcPr>
            <w:tcW w:w="2334" w:type="dxa"/>
            <w:vAlign w:val="center"/>
          </w:tcPr>
          <w:p w14:paraId="72FF1320">
            <w:pPr>
              <w:spacing w:line="320" w:lineRule="exact"/>
              <w:jc w:val="center"/>
              <w:rPr>
                <w:color w:val="auto"/>
                <w:highlight w:val="none"/>
              </w:rPr>
            </w:pPr>
            <w:r>
              <w:rPr>
                <w:rFonts w:hint="eastAsia"/>
                <w:color w:val="auto"/>
                <w:highlight w:val="none"/>
              </w:rPr>
              <w:t>评标结果公示媒介</w:t>
            </w:r>
          </w:p>
        </w:tc>
        <w:tc>
          <w:tcPr>
            <w:tcW w:w="5436" w:type="dxa"/>
            <w:vAlign w:val="center"/>
          </w:tcPr>
          <w:p w14:paraId="7207AD9D">
            <w:pPr>
              <w:spacing w:line="320" w:lineRule="exact"/>
              <w:jc w:val="left"/>
              <w:rPr>
                <w:color w:val="auto"/>
                <w:highlight w:val="none"/>
              </w:rPr>
            </w:pPr>
            <w:r>
              <w:rPr>
                <w:rFonts w:hint="eastAsia" w:asciiTheme="majorEastAsia" w:hAnsiTheme="majorEastAsia" w:eastAsiaTheme="majorEastAsia" w:cstheme="majorEastAsia"/>
                <w:color w:val="auto"/>
                <w:highlight w:val="none"/>
                <w:u w:val="none"/>
              </w:rPr>
              <w:t>辽宁建设工程信息网、辽宁省招标投标监管网</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lang w:val="en-US" w:eastAsia="zh-CN"/>
              </w:rPr>
              <w:t>中国招标投标公共服务</w:t>
            </w:r>
            <w:r>
              <w:rPr>
                <w:rFonts w:hint="eastAsia" w:asciiTheme="majorEastAsia" w:hAnsiTheme="majorEastAsia" w:eastAsiaTheme="majorEastAsia" w:cstheme="majorEastAsia"/>
                <w:strike w:val="0"/>
                <w:dstrike w:val="0"/>
                <w:color w:val="auto"/>
                <w:highlight w:val="none"/>
                <w:u w:val="none"/>
                <w:lang w:val="en-US" w:eastAsia="zh-CN"/>
              </w:rPr>
              <w:t>平台</w:t>
            </w:r>
          </w:p>
        </w:tc>
      </w:tr>
      <w:tr w14:paraId="46A6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0A6D3259">
            <w:pPr>
              <w:spacing w:line="320" w:lineRule="exact"/>
              <w:jc w:val="center"/>
              <w:rPr>
                <w:color w:val="auto"/>
                <w:highlight w:val="none"/>
              </w:rPr>
            </w:pPr>
            <w:r>
              <w:rPr>
                <w:rFonts w:hint="eastAsia"/>
                <w:color w:val="auto"/>
                <w:highlight w:val="none"/>
              </w:rPr>
              <w:t>7.1</w:t>
            </w:r>
          </w:p>
        </w:tc>
        <w:tc>
          <w:tcPr>
            <w:tcW w:w="2334" w:type="dxa"/>
            <w:vAlign w:val="center"/>
          </w:tcPr>
          <w:p w14:paraId="508C4CEA">
            <w:pPr>
              <w:spacing w:line="320" w:lineRule="exact"/>
              <w:jc w:val="center"/>
              <w:rPr>
                <w:color w:val="auto"/>
                <w:highlight w:val="none"/>
              </w:rPr>
            </w:pPr>
            <w:r>
              <w:rPr>
                <w:rFonts w:hint="eastAsia"/>
                <w:color w:val="auto"/>
                <w:highlight w:val="none"/>
              </w:rPr>
              <w:t>定标方式</w:t>
            </w:r>
          </w:p>
        </w:tc>
        <w:tc>
          <w:tcPr>
            <w:tcW w:w="5436" w:type="dxa"/>
            <w:vAlign w:val="center"/>
          </w:tcPr>
          <w:p w14:paraId="78D04247">
            <w:pPr>
              <w:spacing w:line="320" w:lineRule="exact"/>
              <w:rPr>
                <w:color w:val="auto"/>
                <w:highlight w:val="none"/>
              </w:rPr>
            </w:pPr>
            <w:r>
              <w:rPr>
                <w:rFonts w:hint="eastAsia"/>
                <w:color w:val="auto"/>
                <w:highlight w:val="none"/>
              </w:rPr>
              <w:t>推荐的中标候选人数：不超过</w:t>
            </w:r>
            <w:r>
              <w:rPr>
                <w:rFonts w:hint="eastAsia"/>
                <w:color w:val="auto"/>
                <w:highlight w:val="none"/>
                <w:u w:val="single"/>
              </w:rPr>
              <w:t>3</w:t>
            </w:r>
            <w:r>
              <w:rPr>
                <w:rFonts w:hint="eastAsia"/>
                <w:color w:val="auto"/>
                <w:highlight w:val="none"/>
              </w:rPr>
              <w:t>名</w:t>
            </w:r>
          </w:p>
          <w:p w14:paraId="43347F8B">
            <w:pPr>
              <w:spacing w:line="320" w:lineRule="exact"/>
              <w:rPr>
                <w:color w:val="auto"/>
                <w:highlight w:val="none"/>
              </w:rPr>
            </w:pPr>
            <w:r>
              <w:rPr>
                <w:rFonts w:hint="eastAsia"/>
                <w:color w:val="auto"/>
                <w:highlight w:val="none"/>
              </w:rPr>
              <w:t>□招标人授权评标委员会直接确定中标人</w:t>
            </w:r>
          </w:p>
          <w:p w14:paraId="09FBE263">
            <w:pPr>
              <w:spacing w:line="320" w:lineRule="exact"/>
              <w:rPr>
                <w:color w:val="auto"/>
                <w:highlight w:val="none"/>
              </w:rPr>
            </w:pPr>
            <w:r>
              <w:rPr>
                <w:rFonts w:hint="eastAsia"/>
                <w:color w:val="auto"/>
                <w:highlight w:val="none"/>
              </w:rPr>
              <w:t>☑招标人依据评标委员会推荐的中标候选人确定中标人</w:t>
            </w:r>
          </w:p>
          <w:p w14:paraId="55FAC7DA">
            <w:pPr>
              <w:spacing w:line="320" w:lineRule="exact"/>
              <w:rPr>
                <w:color w:val="auto"/>
                <w:highlight w:val="none"/>
                <w:u w:val="single"/>
              </w:rPr>
            </w:pPr>
            <w:r>
              <w:rPr>
                <w:rFonts w:hint="eastAsia"/>
                <w:color w:val="auto"/>
                <w:highlight w:val="none"/>
              </w:rPr>
              <w:t>□招标人从评标委员会推荐的中标候选人范围内自主研究确定中标人</w:t>
            </w:r>
            <w:r>
              <w:rPr>
                <w:color w:val="auto"/>
                <w:highlight w:val="none"/>
              </w:rPr>
              <w:t>。</w:t>
            </w:r>
          </w:p>
        </w:tc>
      </w:tr>
      <w:tr w14:paraId="32C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2C943727">
            <w:pPr>
              <w:spacing w:line="320" w:lineRule="exact"/>
              <w:jc w:val="center"/>
              <w:rPr>
                <w:color w:val="auto"/>
                <w:highlight w:val="none"/>
              </w:rPr>
            </w:pPr>
            <w:r>
              <w:rPr>
                <w:rFonts w:hint="eastAsia"/>
                <w:color w:val="auto"/>
                <w:highlight w:val="none"/>
              </w:rPr>
              <w:t>7.3.1</w:t>
            </w:r>
          </w:p>
        </w:tc>
        <w:tc>
          <w:tcPr>
            <w:tcW w:w="2334" w:type="dxa"/>
            <w:vAlign w:val="center"/>
          </w:tcPr>
          <w:p w14:paraId="0EB0E4DF">
            <w:pPr>
              <w:spacing w:line="320" w:lineRule="exact"/>
              <w:jc w:val="center"/>
              <w:rPr>
                <w:color w:val="auto"/>
                <w:highlight w:val="none"/>
              </w:rPr>
            </w:pPr>
            <w:r>
              <w:rPr>
                <w:rFonts w:hint="eastAsia"/>
                <w:color w:val="auto"/>
                <w:highlight w:val="none"/>
              </w:rPr>
              <w:t>履约</w:t>
            </w:r>
            <w:r>
              <w:rPr>
                <w:color w:val="auto"/>
                <w:szCs w:val="21"/>
                <w:highlight w:val="none"/>
              </w:rPr>
              <w:t>保证金</w:t>
            </w:r>
          </w:p>
        </w:tc>
        <w:tc>
          <w:tcPr>
            <w:tcW w:w="5436" w:type="dxa"/>
            <w:vAlign w:val="center"/>
          </w:tcPr>
          <w:p w14:paraId="06A9358D">
            <w:pPr>
              <w:spacing w:line="320" w:lineRule="exact"/>
              <w:jc w:val="left"/>
              <w:rPr>
                <w:color w:val="auto"/>
                <w:highlight w:val="none"/>
              </w:rPr>
            </w:pPr>
            <w:r>
              <w:rPr>
                <w:rFonts w:hint="eastAsia"/>
                <w:color w:val="auto"/>
                <w:highlight w:val="none"/>
              </w:rPr>
              <w:t>□不提交</w:t>
            </w:r>
          </w:p>
          <w:p w14:paraId="4CD46DE3">
            <w:pPr>
              <w:spacing w:line="320" w:lineRule="exact"/>
              <w:jc w:val="left"/>
              <w:rPr>
                <w:color w:val="auto"/>
                <w:highlight w:val="none"/>
              </w:rPr>
            </w:pPr>
            <w:r>
              <w:rPr>
                <w:rFonts w:hint="eastAsia"/>
                <w:color w:val="auto"/>
                <w:highlight w:val="none"/>
              </w:rPr>
              <w:t>☑提交，履约</w:t>
            </w:r>
            <w:r>
              <w:rPr>
                <w:color w:val="auto"/>
                <w:szCs w:val="21"/>
                <w:highlight w:val="none"/>
              </w:rPr>
              <w:t>保证金</w:t>
            </w:r>
            <w:r>
              <w:rPr>
                <w:rFonts w:hint="eastAsia"/>
                <w:color w:val="auto"/>
                <w:highlight w:val="none"/>
              </w:rPr>
              <w:t>的形式：</w:t>
            </w:r>
          </w:p>
          <w:p w14:paraId="37BB4E8C">
            <w:pPr>
              <w:spacing w:line="320" w:lineRule="exact"/>
              <w:ind w:firstLine="420" w:firstLineChars="200"/>
              <w:jc w:val="left"/>
              <w:rPr>
                <w:rFonts w:hint="eastAsia"/>
                <w:color w:val="auto"/>
                <w:highlight w:val="none"/>
                <w:u w:val="single"/>
              </w:rPr>
            </w:pPr>
            <w:r>
              <w:rPr>
                <w:rFonts w:hint="eastAsia"/>
                <w:color w:val="auto"/>
                <w:highlight w:val="none"/>
                <w:lang w:eastAsia="zh-CN"/>
              </w:rPr>
              <w:t>☑</w:t>
            </w:r>
            <w:r>
              <w:rPr>
                <w:rFonts w:hint="eastAsia"/>
                <w:color w:val="auto"/>
                <w:highlight w:val="none"/>
              </w:rPr>
              <w:t>现金</w:t>
            </w:r>
            <w:r>
              <w:rPr>
                <w:rFonts w:hint="eastAsia"/>
                <w:color w:val="auto"/>
                <w:highlight w:val="none"/>
              </w:rPr>
              <w:t xml:space="preserve">  </w:t>
            </w:r>
            <w:r>
              <w:rPr>
                <w:rFonts w:hint="eastAsia"/>
                <w:color w:val="auto"/>
                <w:highlight w:val="none"/>
                <w:lang w:eastAsia="zh-CN"/>
              </w:rPr>
              <w:t>□</w:t>
            </w:r>
            <w:r>
              <w:rPr>
                <w:rFonts w:hint="eastAsia"/>
                <w:color w:val="auto"/>
                <w:highlight w:val="none"/>
              </w:rPr>
              <w:t>保函（保险）  □其他形式</w:t>
            </w:r>
            <w:r>
              <w:rPr>
                <w:rFonts w:hint="eastAsia"/>
                <w:color w:val="auto"/>
                <w:highlight w:val="none"/>
                <w:lang w:eastAsia="zh-CN"/>
              </w:rPr>
              <w:t>（</w:t>
            </w:r>
            <w:r>
              <w:rPr>
                <w:rFonts w:hint="eastAsia"/>
                <w:color w:val="auto"/>
                <w:highlight w:val="none"/>
                <w:u w:val="single"/>
              </w:rPr>
              <w:t>/</w:t>
            </w:r>
            <w:r>
              <w:rPr>
                <w:rFonts w:hint="eastAsia"/>
                <w:color w:val="auto"/>
                <w:highlight w:val="none"/>
                <w:u w:val="none"/>
                <w:lang w:eastAsia="zh-CN"/>
              </w:rPr>
              <w:t>）</w:t>
            </w:r>
          </w:p>
          <w:p w14:paraId="689AB0C6">
            <w:pPr>
              <w:spacing w:line="320" w:lineRule="exact"/>
              <w:jc w:val="left"/>
              <w:rPr>
                <w:color w:val="auto"/>
                <w:szCs w:val="21"/>
                <w:highlight w:val="none"/>
              </w:rPr>
            </w:pPr>
            <w:r>
              <w:rPr>
                <w:rFonts w:hint="eastAsia"/>
                <w:color w:val="auto"/>
                <w:highlight w:val="none"/>
              </w:rPr>
              <w:t>履约</w:t>
            </w:r>
            <w:r>
              <w:rPr>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lang w:val="en-US" w:eastAsia="zh-CN"/>
              </w:rPr>
              <w:t>10</w:t>
            </w:r>
            <w:r>
              <w:rPr>
                <w:rFonts w:hint="eastAsia"/>
                <w:color w:val="auto"/>
                <w:szCs w:val="21"/>
                <w:highlight w:val="none"/>
              </w:rPr>
              <w:t>%</w:t>
            </w:r>
          </w:p>
        </w:tc>
      </w:tr>
      <w:tr w14:paraId="39E9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09C23E33">
            <w:pPr>
              <w:spacing w:line="320" w:lineRule="exact"/>
              <w:jc w:val="center"/>
              <w:rPr>
                <w:color w:val="auto"/>
                <w:highlight w:val="none"/>
              </w:rPr>
            </w:pPr>
            <w:r>
              <w:rPr>
                <w:rFonts w:hint="eastAsia"/>
                <w:color w:val="auto"/>
                <w:highlight w:val="none"/>
              </w:rPr>
              <w:t>9</w:t>
            </w:r>
            <w:r>
              <w:rPr>
                <w:color w:val="auto"/>
                <w:highlight w:val="none"/>
              </w:rPr>
              <w:t>.</w:t>
            </w:r>
            <w:r>
              <w:rPr>
                <w:rFonts w:hint="eastAsia"/>
                <w:color w:val="auto"/>
                <w:highlight w:val="none"/>
              </w:rPr>
              <w:t>5</w:t>
            </w:r>
          </w:p>
        </w:tc>
        <w:tc>
          <w:tcPr>
            <w:tcW w:w="2334" w:type="dxa"/>
            <w:vAlign w:val="center"/>
          </w:tcPr>
          <w:p w14:paraId="4A2F2646">
            <w:pPr>
              <w:spacing w:line="320" w:lineRule="exact"/>
              <w:jc w:val="center"/>
              <w:rPr>
                <w:color w:val="auto"/>
                <w:szCs w:val="21"/>
                <w:highlight w:val="none"/>
              </w:rPr>
            </w:pPr>
            <w:r>
              <w:rPr>
                <w:rFonts w:hint="eastAsia"/>
                <w:color w:val="auto"/>
                <w:highlight w:val="none"/>
              </w:rPr>
              <w:t>行政监督部门</w:t>
            </w:r>
          </w:p>
        </w:tc>
        <w:tc>
          <w:tcPr>
            <w:tcW w:w="5436" w:type="dxa"/>
            <w:vAlign w:val="center"/>
          </w:tcPr>
          <w:p w14:paraId="5FA58E44">
            <w:pPr>
              <w:spacing w:line="320" w:lineRule="exact"/>
              <w:jc w:val="left"/>
              <w:rPr>
                <w:rFonts w:hint="eastAsia" w:asciiTheme="majorEastAsia" w:hAnsiTheme="majorEastAsia" w:eastAsiaTheme="majorEastAsia" w:cstheme="majorEastAsia"/>
                <w:color w:val="auto"/>
                <w:highlight w:val="none"/>
                <w:u w:val="none"/>
                <w:lang w:val="en-US" w:eastAsia="zh-CN"/>
              </w:rPr>
            </w:pPr>
            <w:r>
              <w:rPr>
                <w:rFonts w:hint="eastAsia" w:asciiTheme="majorEastAsia" w:hAnsiTheme="majorEastAsia" w:eastAsiaTheme="majorEastAsia" w:cstheme="majorEastAsia"/>
                <w:color w:val="auto"/>
                <w:highlight w:val="none"/>
                <w:u w:val="none"/>
                <w:lang w:val="en-US" w:eastAsia="zh-CN"/>
              </w:rPr>
              <w:t>名称：营口北海经济开发区管理委员会规划建设局</w:t>
            </w:r>
          </w:p>
          <w:p w14:paraId="3072F0BB">
            <w:pPr>
              <w:spacing w:line="320" w:lineRule="exact"/>
              <w:jc w:val="left"/>
              <w:rPr>
                <w:rFonts w:hint="default" w:asciiTheme="majorEastAsia" w:hAnsiTheme="majorEastAsia" w:eastAsiaTheme="majorEastAsia" w:cstheme="majorEastAsia"/>
                <w:color w:val="auto"/>
                <w:highlight w:val="none"/>
                <w:u w:val="none"/>
                <w:lang w:val="en-US" w:eastAsia="zh-CN"/>
              </w:rPr>
            </w:pPr>
            <w:r>
              <w:rPr>
                <w:rFonts w:hint="eastAsia" w:asciiTheme="majorEastAsia" w:hAnsiTheme="majorEastAsia" w:eastAsiaTheme="majorEastAsia" w:cstheme="majorEastAsia"/>
                <w:color w:val="auto"/>
                <w:highlight w:val="none"/>
                <w:u w:val="none"/>
                <w:lang w:val="en-US" w:eastAsia="zh-CN"/>
              </w:rPr>
              <w:t>地址：/</w:t>
            </w:r>
          </w:p>
          <w:p w14:paraId="43F9D96E">
            <w:pPr>
              <w:spacing w:line="320" w:lineRule="exact"/>
              <w:jc w:val="left"/>
              <w:rPr>
                <w:color w:val="auto"/>
                <w:szCs w:val="21"/>
                <w:highlight w:val="none"/>
              </w:rPr>
            </w:pPr>
            <w:r>
              <w:rPr>
                <w:rFonts w:hint="eastAsia"/>
                <w:color w:val="auto"/>
                <w:szCs w:val="21"/>
                <w:highlight w:val="none"/>
              </w:rPr>
              <w:t>电话：</w:t>
            </w:r>
            <w:r>
              <w:rPr>
                <w:rFonts w:hint="eastAsia" w:asciiTheme="majorEastAsia" w:hAnsiTheme="majorEastAsia" w:eastAsiaTheme="majorEastAsia" w:cstheme="majorEastAsia"/>
                <w:color w:val="auto"/>
                <w:highlight w:val="none"/>
                <w:u w:val="none"/>
              </w:rPr>
              <w:t>0417-6578077</w:t>
            </w:r>
          </w:p>
          <w:p w14:paraId="79F62DDD">
            <w:pPr>
              <w:spacing w:line="320" w:lineRule="exact"/>
              <w:jc w:val="left"/>
              <w:rPr>
                <w:color w:val="auto"/>
                <w:szCs w:val="21"/>
                <w:highlight w:val="none"/>
                <w:u w:val="single"/>
              </w:rPr>
            </w:pPr>
            <w:r>
              <w:rPr>
                <w:rFonts w:hint="eastAsia"/>
                <w:color w:val="auto"/>
                <w:szCs w:val="21"/>
                <w:highlight w:val="none"/>
              </w:rPr>
              <w:t>传真：</w:t>
            </w:r>
            <w:r>
              <w:rPr>
                <w:rFonts w:hint="eastAsia"/>
                <w:color w:val="auto"/>
                <w:szCs w:val="21"/>
                <w:highlight w:val="none"/>
                <w:u w:val="single"/>
              </w:rPr>
              <w:t>/</w:t>
            </w:r>
          </w:p>
          <w:p w14:paraId="5927A850">
            <w:pPr>
              <w:spacing w:line="320" w:lineRule="exact"/>
              <w:jc w:val="left"/>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314C40EC">
            <w:pPr>
              <w:spacing w:line="320" w:lineRule="exact"/>
              <w:jc w:val="left"/>
              <w:rPr>
                <w:rFonts w:hint="eastAsia"/>
                <w:color w:val="auto"/>
                <w:szCs w:val="21"/>
                <w:highlight w:val="none"/>
                <w:u w:val="single"/>
              </w:rPr>
            </w:pPr>
            <w:r>
              <w:rPr>
                <w:rFonts w:hint="eastAsia"/>
                <w:color w:val="auto"/>
                <w:szCs w:val="21"/>
                <w:highlight w:val="none"/>
              </w:rPr>
              <w:t>异议投诉渠道：辽宁省工程建设项目招标投标异议投诉处理系统</w:t>
            </w:r>
          </w:p>
        </w:tc>
      </w:tr>
      <w:tr w14:paraId="068C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39EC6BE2">
            <w:pPr>
              <w:spacing w:line="320" w:lineRule="exact"/>
              <w:jc w:val="center"/>
              <w:rPr>
                <w:color w:val="auto"/>
                <w:highlight w:val="none"/>
              </w:rPr>
            </w:pPr>
            <w:r>
              <w:rPr>
                <w:rFonts w:hint="eastAsia"/>
                <w:color w:val="auto"/>
                <w:highlight w:val="none"/>
              </w:rPr>
              <w:t>1</w:t>
            </w:r>
            <w:r>
              <w:rPr>
                <w:color w:val="auto"/>
                <w:highlight w:val="none"/>
              </w:rPr>
              <w:t>0</w:t>
            </w:r>
          </w:p>
        </w:tc>
        <w:tc>
          <w:tcPr>
            <w:tcW w:w="7770" w:type="dxa"/>
            <w:gridSpan w:val="2"/>
            <w:vAlign w:val="center"/>
          </w:tcPr>
          <w:p w14:paraId="49C8AE2A">
            <w:pPr>
              <w:spacing w:line="320" w:lineRule="exact"/>
              <w:rPr>
                <w:b/>
                <w:bCs/>
                <w:color w:val="auto"/>
                <w:szCs w:val="21"/>
                <w:highlight w:val="none"/>
              </w:rPr>
            </w:pPr>
            <w:r>
              <w:rPr>
                <w:rFonts w:hint="eastAsia"/>
                <w:b/>
                <w:bCs/>
                <w:color w:val="auto"/>
                <w:szCs w:val="21"/>
                <w:highlight w:val="none"/>
              </w:rPr>
              <w:t>需要补充的其他内容</w:t>
            </w:r>
          </w:p>
        </w:tc>
      </w:tr>
      <w:tr w14:paraId="177F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44D11FFC">
            <w:pPr>
              <w:spacing w:line="320" w:lineRule="exact"/>
              <w:jc w:val="center"/>
              <w:rPr>
                <w:color w:val="auto"/>
                <w:highlight w:val="none"/>
              </w:rPr>
            </w:pPr>
            <w:r>
              <w:rPr>
                <w:rFonts w:hint="eastAsia"/>
                <w:color w:val="auto"/>
                <w:highlight w:val="none"/>
              </w:rPr>
              <w:t>1</w:t>
            </w:r>
            <w:r>
              <w:rPr>
                <w:color w:val="auto"/>
                <w:highlight w:val="none"/>
              </w:rPr>
              <w:t>0.1</w:t>
            </w:r>
          </w:p>
        </w:tc>
        <w:tc>
          <w:tcPr>
            <w:tcW w:w="7770" w:type="dxa"/>
            <w:gridSpan w:val="2"/>
            <w:vAlign w:val="center"/>
          </w:tcPr>
          <w:p w14:paraId="15DDD2EB">
            <w:pPr>
              <w:spacing w:line="320" w:lineRule="exact"/>
              <w:rPr>
                <w:b/>
                <w:bCs/>
                <w:color w:val="auto"/>
                <w:szCs w:val="21"/>
                <w:highlight w:val="none"/>
              </w:rPr>
            </w:pPr>
            <w:r>
              <w:rPr>
                <w:rFonts w:hint="eastAsia"/>
                <w:b/>
                <w:bCs/>
                <w:color w:val="auto"/>
                <w:szCs w:val="21"/>
                <w:highlight w:val="none"/>
              </w:rPr>
              <w:t>词语定义</w:t>
            </w:r>
          </w:p>
        </w:tc>
      </w:tr>
      <w:tr w14:paraId="3660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68C1CB71">
            <w:pPr>
              <w:spacing w:line="320" w:lineRule="exact"/>
              <w:jc w:val="center"/>
              <w:rPr>
                <w:color w:val="auto"/>
                <w:szCs w:val="21"/>
                <w:highlight w:val="none"/>
              </w:rPr>
            </w:pPr>
            <w:r>
              <w:rPr>
                <w:rFonts w:hint="eastAsia"/>
                <w:color w:val="auto"/>
                <w:szCs w:val="21"/>
                <w:highlight w:val="none"/>
              </w:rPr>
              <w:t>1</w:t>
            </w:r>
            <w:r>
              <w:rPr>
                <w:color w:val="auto"/>
                <w:szCs w:val="21"/>
                <w:highlight w:val="none"/>
              </w:rPr>
              <w:t>0.1.1</w:t>
            </w:r>
          </w:p>
        </w:tc>
        <w:tc>
          <w:tcPr>
            <w:tcW w:w="2334" w:type="dxa"/>
            <w:vAlign w:val="center"/>
          </w:tcPr>
          <w:p w14:paraId="0A0E70DB">
            <w:pPr>
              <w:spacing w:line="320" w:lineRule="exact"/>
              <w:jc w:val="center"/>
              <w:rPr>
                <w:color w:val="auto"/>
                <w:szCs w:val="21"/>
                <w:highlight w:val="none"/>
              </w:rPr>
            </w:pPr>
            <w:r>
              <w:rPr>
                <w:rFonts w:hint="eastAsia"/>
                <w:color w:val="auto"/>
                <w:szCs w:val="21"/>
                <w:highlight w:val="none"/>
              </w:rPr>
              <w:t>类似项目</w:t>
            </w:r>
          </w:p>
        </w:tc>
        <w:tc>
          <w:tcPr>
            <w:tcW w:w="5436" w:type="dxa"/>
            <w:vAlign w:val="center"/>
          </w:tcPr>
          <w:p w14:paraId="2FA95F11">
            <w:pPr>
              <w:spacing w:line="320" w:lineRule="exact"/>
              <w:jc w:val="left"/>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类似项目指合同金额大于</w:t>
            </w:r>
            <w:r>
              <w:rPr>
                <w:rFonts w:hint="eastAsia" w:ascii="宋体" w:hAnsi="宋体" w:cs="宋体"/>
                <w:color w:val="auto"/>
                <w:highlight w:val="none"/>
                <w:u w:val="single"/>
              </w:rPr>
              <w:t>/</w:t>
            </w:r>
            <w:r>
              <w:rPr>
                <w:rFonts w:hint="eastAsia" w:ascii="宋体" w:hAnsi="宋体" w:cs="宋体"/>
                <w:color w:val="auto"/>
                <w:highlight w:val="none"/>
              </w:rPr>
              <w:t>万元</w:t>
            </w:r>
            <w:r>
              <w:rPr>
                <w:rFonts w:hint="eastAsia" w:ascii="宋体" w:hAnsi="宋体" w:cs="宋体"/>
                <w:color w:val="auto"/>
                <w:highlight w:val="none"/>
                <w:u w:val="single"/>
              </w:rPr>
              <w:t>/</w:t>
            </w:r>
            <w:r>
              <w:rPr>
                <w:rFonts w:hint="eastAsia" w:ascii="宋体" w:hAnsi="宋体" w:cs="宋体"/>
                <w:color w:val="auto"/>
                <w:highlight w:val="none"/>
              </w:rPr>
              <w:t>工程，且项目已完成。</w:t>
            </w:r>
          </w:p>
          <w:p w14:paraId="5B4D88E0">
            <w:pPr>
              <w:spacing w:line="320" w:lineRule="exact"/>
              <w:jc w:val="left"/>
              <w:rPr>
                <w:rFonts w:hint="eastAsia" w:ascii="宋体" w:hAnsi="宋体" w:cs="宋体"/>
                <w:color w:val="auto"/>
                <w:highlight w:val="none"/>
              </w:rPr>
            </w:pPr>
            <w:r>
              <w:rPr>
                <w:rFonts w:hint="eastAsia" w:ascii="宋体" w:hAnsi="宋体" w:cs="宋体"/>
                <w:color w:val="auto"/>
                <w:highlight w:val="none"/>
              </w:rPr>
              <w:t>（2）类似项目时间：</w:t>
            </w:r>
          </w:p>
          <w:p w14:paraId="2B186E7E">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合同签订时间为准</w:t>
            </w:r>
          </w:p>
          <w:p w14:paraId="1982EF38">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lang w:eastAsia="zh-CN"/>
              </w:rPr>
              <w:t>☑</w:t>
            </w:r>
            <w:bookmarkStart w:id="42" w:name="OLE_LINK9"/>
            <w:r>
              <w:rPr>
                <w:rFonts w:hint="eastAsia" w:ascii="宋体" w:hAnsi="宋体" w:cs="宋体"/>
                <w:color w:val="auto"/>
                <w:highlight w:val="none"/>
              </w:rPr>
              <w:t>竣工验收时间为准</w:t>
            </w:r>
            <w:bookmarkEnd w:id="42"/>
          </w:p>
          <w:p w14:paraId="417D1428">
            <w:pPr>
              <w:spacing w:line="320" w:lineRule="exact"/>
              <w:jc w:val="left"/>
              <w:rPr>
                <w:rFonts w:hint="eastAsia" w:ascii="宋体" w:hAnsi="宋体" w:cs="宋体"/>
                <w:color w:val="auto"/>
                <w:highlight w:val="none"/>
              </w:rPr>
            </w:pPr>
            <w:r>
              <w:rPr>
                <w:rFonts w:hint="eastAsia" w:ascii="宋体" w:hAnsi="宋体" w:cs="宋体"/>
                <w:color w:val="auto"/>
                <w:highlight w:val="none"/>
              </w:rPr>
              <w:t>（3）类似项目类型</w:t>
            </w:r>
          </w:p>
          <w:p w14:paraId="63C745B3">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□A类</w:t>
            </w:r>
          </w:p>
          <w:p w14:paraId="28EB8FBB">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rPr>
              <w:t>A+B类</w:t>
            </w:r>
          </w:p>
          <w:p w14:paraId="34653012">
            <w:pPr>
              <w:spacing w:line="320" w:lineRule="exact"/>
              <w:jc w:val="left"/>
              <w:rPr>
                <w:rFonts w:hint="eastAsia" w:eastAsia="宋体"/>
                <w:color w:val="auto"/>
                <w:highlight w:val="none"/>
                <w:lang w:eastAsia="zh-CN"/>
              </w:rPr>
            </w:pPr>
            <w:r>
              <w:rPr>
                <w:rFonts w:hint="eastAsia" w:ascii="宋体" w:hAnsi="宋体" w:cs="宋体"/>
                <w:color w:val="auto"/>
                <w:highlight w:val="none"/>
              </w:rPr>
              <w:t>（4）其他：</w:t>
            </w:r>
            <w:r>
              <w:rPr>
                <w:rFonts w:hint="eastAsia" w:ascii="宋体" w:hAnsi="宋体" w:cs="宋体"/>
                <w:color w:val="auto"/>
                <w:highlight w:val="none"/>
                <w:lang w:eastAsia="zh-CN"/>
              </w:rPr>
              <w:t>设计类业绩</w:t>
            </w:r>
            <w:r>
              <w:rPr>
                <w:rFonts w:hint="eastAsia" w:ascii="宋体" w:hAnsi="宋体" w:eastAsia="宋体" w:cs="宋体"/>
                <w:b w:val="0"/>
                <w:bCs/>
                <w:i w:val="0"/>
                <w:color w:val="auto"/>
                <w:szCs w:val="21"/>
                <w:highlight w:val="none"/>
                <w:u w:val="none" w:color="auto"/>
              </w:rPr>
              <w:t>时间以</w:t>
            </w:r>
            <w:r>
              <w:rPr>
                <w:rFonts w:hint="eastAsia" w:ascii="宋体" w:hAnsi="宋体" w:cs="宋体"/>
                <w:b w:val="0"/>
                <w:bCs/>
                <w:i w:val="0"/>
                <w:color w:val="auto"/>
                <w:szCs w:val="21"/>
                <w:highlight w:val="none"/>
                <w:u w:val="none" w:color="auto"/>
                <w:lang w:val="en-US" w:eastAsia="zh-CN"/>
              </w:rPr>
              <w:t>竣工验收</w:t>
            </w:r>
            <w:r>
              <w:rPr>
                <w:rFonts w:hint="eastAsia" w:ascii="宋体" w:hAnsi="宋体" w:eastAsia="宋体" w:cs="宋体"/>
                <w:b w:val="0"/>
                <w:bCs/>
                <w:i w:val="0"/>
                <w:color w:val="auto"/>
                <w:szCs w:val="21"/>
                <w:highlight w:val="none"/>
                <w:u w:val="none" w:color="auto"/>
              </w:rPr>
              <w:t>时间为准</w:t>
            </w:r>
            <w:r>
              <w:rPr>
                <w:rFonts w:hint="eastAsia" w:ascii="宋体" w:hAnsi="宋体" w:cs="宋体"/>
                <w:b w:val="0"/>
                <w:bCs/>
                <w:i w:val="0"/>
                <w:color w:val="auto"/>
                <w:szCs w:val="21"/>
                <w:highlight w:val="none"/>
                <w:u w:val="none" w:color="auto"/>
                <w:lang w:eastAsia="zh-CN"/>
              </w:rPr>
              <w:t>；施工类业绩</w:t>
            </w:r>
            <w:r>
              <w:rPr>
                <w:rFonts w:hint="eastAsia" w:ascii="宋体" w:hAnsi="宋体" w:eastAsia="宋体" w:cs="宋体"/>
                <w:b w:val="0"/>
                <w:bCs/>
                <w:i w:val="0"/>
                <w:color w:val="auto"/>
                <w:szCs w:val="21"/>
                <w:highlight w:val="none"/>
                <w:u w:val="none" w:color="auto"/>
              </w:rPr>
              <w:t>时间以竣工验收时间为准。</w:t>
            </w:r>
          </w:p>
        </w:tc>
      </w:tr>
      <w:tr w14:paraId="429A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7336106">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2</w:t>
            </w:r>
          </w:p>
        </w:tc>
        <w:tc>
          <w:tcPr>
            <w:tcW w:w="2334" w:type="dxa"/>
            <w:vAlign w:val="center"/>
          </w:tcPr>
          <w:p w14:paraId="427CA23E">
            <w:pPr>
              <w:spacing w:line="320" w:lineRule="exact"/>
              <w:jc w:val="center"/>
              <w:rPr>
                <w:color w:val="auto"/>
                <w:szCs w:val="21"/>
                <w:highlight w:val="none"/>
              </w:rPr>
            </w:pPr>
            <w:r>
              <w:rPr>
                <w:rFonts w:hint="eastAsia"/>
                <w:color w:val="auto"/>
                <w:highlight w:val="none"/>
              </w:rPr>
              <w:t>盖章</w:t>
            </w:r>
          </w:p>
        </w:tc>
        <w:tc>
          <w:tcPr>
            <w:tcW w:w="5436" w:type="dxa"/>
            <w:vAlign w:val="center"/>
          </w:tcPr>
          <w:p w14:paraId="5D05AFC8">
            <w:pPr>
              <w:spacing w:line="320" w:lineRule="exact"/>
              <w:jc w:val="both"/>
              <w:rPr>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573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E463358">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3</w:t>
            </w:r>
          </w:p>
        </w:tc>
        <w:tc>
          <w:tcPr>
            <w:tcW w:w="2334" w:type="dxa"/>
            <w:vAlign w:val="center"/>
          </w:tcPr>
          <w:p w14:paraId="3440B164">
            <w:pPr>
              <w:spacing w:line="320" w:lineRule="exact"/>
              <w:jc w:val="center"/>
              <w:rPr>
                <w:color w:val="auto"/>
                <w:highlight w:val="none"/>
              </w:rPr>
            </w:pPr>
            <w:r>
              <w:rPr>
                <w:rFonts w:hint="eastAsia"/>
                <w:color w:val="auto"/>
                <w:highlight w:val="none"/>
              </w:rPr>
              <w:t>获奖表彰时间</w:t>
            </w:r>
          </w:p>
        </w:tc>
        <w:tc>
          <w:tcPr>
            <w:tcW w:w="5436" w:type="dxa"/>
            <w:vAlign w:val="center"/>
          </w:tcPr>
          <w:p w14:paraId="79C984A1">
            <w:pPr>
              <w:spacing w:line="320" w:lineRule="exact"/>
              <w:jc w:val="both"/>
              <w:rPr>
                <w:color w:val="auto"/>
                <w:szCs w:val="21"/>
                <w:highlight w:val="none"/>
              </w:rPr>
            </w:pPr>
            <w:r>
              <w:rPr>
                <w:rFonts w:hint="eastAsia"/>
                <w:color w:val="auto"/>
                <w:szCs w:val="21"/>
                <w:highlight w:val="none"/>
              </w:rPr>
              <w:t>以表彰文件、获奖证书的颁发时间为准。</w:t>
            </w:r>
          </w:p>
        </w:tc>
      </w:tr>
      <w:tr w14:paraId="645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72FFC44">
            <w:pPr>
              <w:spacing w:line="320" w:lineRule="exact"/>
              <w:jc w:val="center"/>
              <w:rPr>
                <w:color w:val="auto"/>
                <w:szCs w:val="21"/>
                <w:highlight w:val="none"/>
              </w:rPr>
            </w:pPr>
            <w:r>
              <w:rPr>
                <w:color w:val="auto"/>
                <w:szCs w:val="21"/>
                <w:highlight w:val="none"/>
              </w:rPr>
              <w:t>10.1.</w:t>
            </w:r>
            <w:r>
              <w:rPr>
                <w:rFonts w:hint="eastAsia"/>
                <w:color w:val="auto"/>
                <w:szCs w:val="21"/>
                <w:highlight w:val="none"/>
              </w:rPr>
              <w:t>4</w:t>
            </w:r>
          </w:p>
        </w:tc>
        <w:tc>
          <w:tcPr>
            <w:tcW w:w="2334" w:type="dxa"/>
            <w:vAlign w:val="center"/>
          </w:tcPr>
          <w:p w14:paraId="0821115B">
            <w:pPr>
              <w:spacing w:line="320" w:lineRule="exact"/>
              <w:jc w:val="center"/>
              <w:rPr>
                <w:color w:val="auto"/>
                <w:highlight w:val="none"/>
              </w:rPr>
            </w:pPr>
            <w:r>
              <w:rPr>
                <w:rFonts w:hint="eastAsia"/>
                <w:color w:val="auto"/>
                <w:highlight w:val="none"/>
              </w:rPr>
              <w:t>不良行为</w:t>
            </w:r>
          </w:p>
        </w:tc>
        <w:tc>
          <w:tcPr>
            <w:tcW w:w="5436" w:type="dxa"/>
            <w:vAlign w:val="center"/>
          </w:tcPr>
          <w:p w14:paraId="670FD076">
            <w:pPr>
              <w:spacing w:line="320" w:lineRule="exact"/>
              <w:jc w:val="both"/>
              <w:rPr>
                <w:color w:val="auto"/>
                <w:highlight w:val="none"/>
              </w:rPr>
            </w:pPr>
            <w:r>
              <w:rPr>
                <w:rFonts w:hint="eastAsia"/>
                <w:color w:val="auto"/>
                <w:highlight w:val="none"/>
              </w:rPr>
              <w:t>（1）指投标人须知第1.4.3（10）至（17）条目规定的情形。</w:t>
            </w:r>
          </w:p>
          <w:p w14:paraId="0F9E2B3A">
            <w:pPr>
              <w:spacing w:line="320" w:lineRule="exact"/>
              <w:jc w:val="both"/>
              <w:rPr>
                <w:color w:val="auto"/>
                <w:highlight w:val="none"/>
              </w:rPr>
            </w:pPr>
            <w:r>
              <w:rPr>
                <w:rFonts w:hint="eastAsia"/>
                <w:color w:val="auto"/>
                <w:highlight w:val="none"/>
              </w:rPr>
              <w:t>（2）投标人须知第1.4.3（13）条目规定的在</w:t>
            </w:r>
            <w:r>
              <w:rPr>
                <w:rFonts w:hint="eastAsia"/>
                <w:color w:val="auto"/>
                <w:highlight w:val="none"/>
              </w:rPr>
              <w:t>最近三年内有骗取中标或严重违约或重大工程质量问题的时间以相关行业主管部门行政处罚决定时间或司法机关出具的法律文书时间为准。</w:t>
            </w:r>
          </w:p>
          <w:p w14:paraId="51B825FD">
            <w:pPr>
              <w:spacing w:line="320" w:lineRule="exact"/>
              <w:jc w:val="both"/>
              <w:rPr>
                <w:color w:val="auto"/>
                <w:highlight w:val="none"/>
              </w:rPr>
            </w:pPr>
            <w:r>
              <w:rPr>
                <w:rFonts w:hint="eastAsia"/>
                <w:color w:val="auto"/>
                <w:highlight w:val="none"/>
              </w:rPr>
              <w:t>特别说明：同一标段项目出现两个（含）以上不同处罚时间（或法律文书时间）均应满足时间要求。</w:t>
            </w:r>
          </w:p>
        </w:tc>
      </w:tr>
      <w:tr w14:paraId="739A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2D3873E1">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5</w:t>
            </w:r>
          </w:p>
        </w:tc>
        <w:tc>
          <w:tcPr>
            <w:tcW w:w="2334" w:type="dxa"/>
            <w:vAlign w:val="center"/>
          </w:tcPr>
          <w:p w14:paraId="020F6809">
            <w:pPr>
              <w:spacing w:line="320" w:lineRule="exact"/>
              <w:jc w:val="center"/>
              <w:rPr>
                <w:color w:val="auto"/>
                <w:highlight w:val="none"/>
              </w:rPr>
            </w:pPr>
            <w:r>
              <w:rPr>
                <w:rFonts w:hint="eastAsia"/>
                <w:color w:val="auto"/>
                <w:highlight w:val="none"/>
              </w:rPr>
              <w:t>现金</w:t>
            </w:r>
          </w:p>
        </w:tc>
        <w:tc>
          <w:tcPr>
            <w:tcW w:w="5436" w:type="dxa"/>
            <w:vAlign w:val="center"/>
          </w:tcPr>
          <w:p w14:paraId="38C37892">
            <w:pPr>
              <w:spacing w:line="320" w:lineRule="exact"/>
              <w:jc w:val="both"/>
              <w:rPr>
                <w:color w:val="auto"/>
                <w:highlight w:val="none"/>
              </w:rPr>
            </w:pPr>
            <w:r>
              <w:rPr>
                <w:rFonts w:hint="eastAsia"/>
                <w:color w:val="auto"/>
                <w:highlight w:val="none"/>
              </w:rPr>
              <w:t>投标保证金、履约</w:t>
            </w:r>
            <w:r>
              <w:rPr>
                <w:color w:val="auto"/>
                <w:szCs w:val="21"/>
                <w:highlight w:val="none"/>
              </w:rPr>
              <w:t>保证金</w:t>
            </w:r>
            <w:r>
              <w:rPr>
                <w:rFonts w:hint="eastAsia"/>
                <w:color w:val="auto"/>
                <w:highlight w:val="none"/>
              </w:rPr>
              <w:t>现金缴纳方式指通过电汇、支票等广义现金方式缴纳而非现金钞票。</w:t>
            </w:r>
          </w:p>
        </w:tc>
      </w:tr>
      <w:tr w14:paraId="7869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3CFE6520">
            <w:pPr>
              <w:spacing w:line="320" w:lineRule="exact"/>
              <w:jc w:val="center"/>
              <w:rPr>
                <w:color w:val="auto"/>
                <w:highlight w:val="none"/>
              </w:rPr>
            </w:pPr>
            <w:r>
              <w:rPr>
                <w:rFonts w:hint="eastAsia"/>
                <w:color w:val="auto"/>
                <w:highlight w:val="none"/>
              </w:rPr>
              <w:t>10.</w:t>
            </w:r>
            <w:r>
              <w:rPr>
                <w:color w:val="auto"/>
                <w:highlight w:val="none"/>
              </w:rPr>
              <w:t>2</w:t>
            </w:r>
          </w:p>
        </w:tc>
        <w:tc>
          <w:tcPr>
            <w:tcW w:w="2334" w:type="dxa"/>
            <w:vAlign w:val="center"/>
          </w:tcPr>
          <w:p w14:paraId="0E3E5F34">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中标后须提交的</w:t>
            </w:r>
          </w:p>
          <w:p w14:paraId="079D3219">
            <w:pPr>
              <w:spacing w:line="320" w:lineRule="exact"/>
              <w:jc w:val="center"/>
              <w:rPr>
                <w:rFonts w:hint="eastAsia"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436" w:type="dxa"/>
            <w:vAlign w:val="center"/>
          </w:tcPr>
          <w:p w14:paraId="60726B1B">
            <w:pPr>
              <w:spacing w:line="320" w:lineRule="exact"/>
              <w:jc w:val="both"/>
              <w:rPr>
                <w:rFonts w:hint="eastAsia"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rPr>
              <w:t>5</w:t>
            </w:r>
            <w:r>
              <w:rPr>
                <w:rFonts w:hint="eastAsia" w:ascii="宋体" w:hAnsi="宋体"/>
                <w:color w:val="auto"/>
                <w:szCs w:val="21"/>
                <w:highlight w:val="none"/>
              </w:rPr>
              <w:t>份，中标人提交的纸质投标文件应当与投标时的电子投标文件内容一致。</w:t>
            </w:r>
          </w:p>
        </w:tc>
      </w:tr>
      <w:tr w14:paraId="2898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5CB044F2">
            <w:pPr>
              <w:spacing w:line="320" w:lineRule="exact"/>
              <w:jc w:val="center"/>
              <w:rPr>
                <w:color w:val="auto"/>
                <w:highlight w:val="none"/>
              </w:rPr>
            </w:pPr>
            <w:r>
              <w:rPr>
                <w:rFonts w:hint="eastAsia"/>
                <w:color w:val="auto"/>
                <w:highlight w:val="none"/>
              </w:rPr>
              <w:t>10.6</w:t>
            </w:r>
          </w:p>
        </w:tc>
        <w:tc>
          <w:tcPr>
            <w:tcW w:w="2334" w:type="dxa"/>
            <w:vAlign w:val="center"/>
          </w:tcPr>
          <w:p w14:paraId="2BD7C396">
            <w:pPr>
              <w:spacing w:line="320" w:lineRule="exact"/>
              <w:jc w:val="center"/>
              <w:rPr>
                <w:color w:val="auto"/>
                <w:highlight w:val="none"/>
              </w:rPr>
            </w:pPr>
            <w:r>
              <w:rPr>
                <w:rFonts w:hint="eastAsia"/>
                <w:color w:val="auto"/>
                <w:highlight w:val="none"/>
              </w:rPr>
              <w:t>招标人补充的其他</w:t>
            </w:r>
          </w:p>
          <w:p w14:paraId="41509280">
            <w:pPr>
              <w:spacing w:line="320" w:lineRule="exact"/>
              <w:jc w:val="center"/>
              <w:rPr>
                <w:color w:val="auto"/>
                <w:highlight w:val="none"/>
              </w:rPr>
            </w:pPr>
            <w:r>
              <w:rPr>
                <w:rFonts w:hint="eastAsia"/>
                <w:color w:val="auto"/>
                <w:highlight w:val="none"/>
              </w:rPr>
              <w:t>内容</w:t>
            </w:r>
          </w:p>
        </w:tc>
        <w:tc>
          <w:tcPr>
            <w:tcW w:w="5436" w:type="dxa"/>
            <w:vAlign w:val="center"/>
          </w:tcPr>
          <w:p w14:paraId="6944C6A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b/>
                <w:bCs/>
                <w:color w:val="auto"/>
                <w:highlight w:val="none"/>
                <w:lang w:eastAsia="zh-CN"/>
              </w:rPr>
            </w:pPr>
            <w:r>
              <w:rPr>
                <w:rFonts w:hint="eastAsia" w:cs="Times New Roman"/>
                <w:b/>
                <w:bCs/>
                <w:color w:val="auto"/>
                <w:highlight w:val="none"/>
              </w:rPr>
              <w:t>一、付款方式</w:t>
            </w:r>
          </w:p>
          <w:p w14:paraId="0A51F94F">
            <w:pPr>
              <w:pStyle w:val="35"/>
              <w:rPr>
                <w:rFonts w:hint="eastAsia" w:ascii="宋体" w:hAnsi="宋体" w:eastAsia="宋体" w:cs="Times New Roman"/>
                <w:b/>
                <w:bCs/>
                <w:iCs w:val="0"/>
                <w:color w:val="auto"/>
                <w:kern w:val="2"/>
                <w:sz w:val="21"/>
                <w:szCs w:val="21"/>
                <w:highlight w:val="none"/>
                <w:lang w:val="en-US" w:eastAsia="zh-CN" w:bidi="ar-SA"/>
              </w:rPr>
            </w:pPr>
            <w:bookmarkStart w:id="43" w:name="OLE_LINK35"/>
            <w:r>
              <w:rPr>
                <w:rFonts w:hint="eastAsia" w:ascii="宋体" w:hAnsi="宋体" w:eastAsia="宋体" w:cs="Times New Roman"/>
                <w:b/>
                <w:bCs/>
                <w:iCs w:val="0"/>
                <w:color w:val="auto"/>
                <w:kern w:val="2"/>
                <w:sz w:val="21"/>
                <w:szCs w:val="21"/>
                <w:highlight w:val="none"/>
                <w:lang w:val="en-US" w:eastAsia="zh-CN" w:bidi="ar-SA"/>
              </w:rPr>
              <w:t>1）设计费支付及节点</w:t>
            </w:r>
          </w:p>
          <w:p w14:paraId="07AF1B2A">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1.定金支付：自合同签订生效之日起30个工作日内，招标人向中标人支付设计费总额的10% 作为定金 。</w:t>
            </w:r>
          </w:p>
          <w:p w14:paraId="4752FA08">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2.施工图设计审查通过款：中标人完成施工图设计，且施工图设计文件通过相关部门或招标人指定审查机构审查后，招标人在收到中标人提交的合格付款申请及对应金额合法发票后的30 个工作日内，向中标人支付设计费总额的40%。</w:t>
            </w:r>
          </w:p>
          <w:p w14:paraId="2C285DFF">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3.施工图预算编制款：中标人完成施工图预算编制工作，并经招标人审核确认后，招标人在收到中标人提交的付款申请及对应金额合法发票后的30个工作日内，向中标人支付设计费总额的30%。</w:t>
            </w:r>
          </w:p>
          <w:p w14:paraId="0EC9F94A">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4.竣工验收款：项目完成竣工验收，验收合格后，招标人在收到中标人提交的付款申请及对应金额合法发票后的30 个工作日内，向中标人支付设计费总额的15%。</w:t>
            </w:r>
          </w:p>
          <w:p w14:paraId="5C4953C4">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5.配合结算移交款：中标人按要求完成配合结算工作，并将相关资料完整移交使用方后，招标人在收到中标人提交的付款申请及对应金额合法发票后的30 个工作日内，向中标人支付设计费总额的5%。</w:t>
            </w:r>
          </w:p>
          <w:p w14:paraId="1C4C386E">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其他说明：本项目设计费支付完成上述全部节点后，不留尾款。中标人应按合同约定及招标人要求，及时提供完整、准确的付款申请资料及合法有效的发票，因中标人提交资料不及时或不符合要求导致付款延迟的，责任由中标人自行承担。</w:t>
            </w:r>
          </w:p>
          <w:p w14:paraId="7F461095">
            <w:pPr>
              <w:pStyle w:val="35"/>
              <w:rPr>
                <w:rFonts w:hint="eastAsia" w:ascii="宋体" w:hAnsi="宋体" w:eastAsia="宋体" w:cs="Times New Roman"/>
                <w:b/>
                <w:bCs/>
                <w:iCs w:val="0"/>
                <w:color w:val="auto"/>
                <w:kern w:val="2"/>
                <w:sz w:val="21"/>
                <w:szCs w:val="21"/>
                <w:highlight w:val="none"/>
                <w:lang w:val="en-US" w:eastAsia="zh-CN" w:bidi="ar-SA"/>
              </w:rPr>
            </w:pPr>
            <w:r>
              <w:rPr>
                <w:rFonts w:hint="eastAsia" w:ascii="宋体" w:hAnsi="宋体" w:eastAsia="宋体" w:cs="Times New Roman"/>
                <w:b/>
                <w:bCs/>
                <w:iCs w:val="0"/>
                <w:color w:val="auto"/>
                <w:kern w:val="2"/>
                <w:sz w:val="21"/>
                <w:szCs w:val="21"/>
                <w:highlight w:val="none"/>
                <w:lang w:val="en-US" w:eastAsia="zh-CN" w:bidi="ar-SA"/>
              </w:rPr>
              <w:t>2）工程款支付及节点</w:t>
            </w:r>
          </w:p>
          <w:p w14:paraId="3F734862">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1、预付款支付：</w:t>
            </w:r>
          </w:p>
          <w:p w14:paraId="0CA1275C">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预付款的金额或比例为：工程预付款的总金额为签约合同价的10%。</w:t>
            </w:r>
          </w:p>
          <w:p w14:paraId="0F665F31">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预付款支付期限：发包人应在合同签订后28天内将预付款打入承包单位指定账户内。</w:t>
            </w:r>
          </w:p>
          <w:p w14:paraId="56BB6E4E">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预付款扣回的方式：预付款在期中支付证书中的“当月实际完成工程款”累计金额达到签约合同价的50%之后开始扣回预付款，分3次在月实际完成工程款中按10%、50%、40%抵扣。</w:t>
            </w:r>
          </w:p>
          <w:p w14:paraId="4C73706E">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2、进度付款的审核方式和支付的约定：</w:t>
            </w:r>
          </w:p>
          <w:p w14:paraId="7C69ECF0">
            <w:pPr>
              <w:pStyle w:val="3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工程进度付款的审核方式和支付的约定：按发包人审核的承包人完成实际工程量月进度的85%支付、竣工验收合格后15日内支付到90%，竣工结算完成后15日内支付到竣工结算价的95%，扣除2%作为民工工资保证金，待竣工结算后且未发生劳资纠纷事件，30天内一次性予以返还，3%作为质保金待缺陷责任期结束后30天内返还。</w:t>
            </w:r>
          </w:p>
          <w:p w14:paraId="3626EBD8">
            <w:pPr>
              <w:pStyle w:val="34"/>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3、</w:t>
            </w:r>
            <w:r>
              <w:rPr>
                <w:rFonts w:hint="eastAsia" w:ascii="宋体" w:hAnsi="宋体" w:eastAsia="宋体" w:cs="Times New Roman"/>
                <w:iCs w:val="0"/>
                <w:color w:val="auto"/>
                <w:kern w:val="2"/>
                <w:sz w:val="21"/>
                <w:szCs w:val="21"/>
                <w:highlight w:val="none"/>
                <w:lang w:val="en-US" w:eastAsia="zh-CN" w:bidi="ar-SA"/>
              </w:rPr>
              <w:t>农民工工资保障金：承包人应在签署合同后10个工作日内按照当地政府有关部门之规定缴纳农民工工资保障金，且上述因缴纳保障金而产生之费用均已包括在合同金额中。在签署合同后，如因承包人责任未能按时支付农民工工资而致政府部门动用保障金，则发包人有权在应支付予承包人工程款中扣除被动用之保障金。</w:t>
            </w:r>
            <w:bookmarkEnd w:id="43"/>
          </w:p>
          <w:p w14:paraId="2F13E6C5">
            <w:pPr>
              <w:pStyle w:val="34"/>
              <w:keepNext w:val="0"/>
              <w:keepLines w:val="0"/>
              <w:pageBreakBefore w:val="0"/>
              <w:widowControl/>
              <w:numPr>
                <w:ilvl w:val="0"/>
                <w:numId w:val="0"/>
              </w:numPr>
              <w:kinsoku/>
              <w:wordWrap/>
              <w:overflowPunct/>
              <w:topLinePunct w:val="0"/>
              <w:autoSpaceDE/>
              <w:autoSpaceDN/>
              <w:bidi w:val="0"/>
              <w:adjustRightInd w:val="0"/>
              <w:snapToGrid w:val="0"/>
              <w:spacing w:line="320" w:lineRule="exact"/>
              <w:textAlignment w:val="auto"/>
              <w:rPr>
                <w:rFonts w:hint="eastAsia" w:cs="Times New Roman"/>
                <w:b/>
                <w:bCs/>
                <w:color w:val="auto"/>
                <w:highlight w:val="none"/>
              </w:rPr>
            </w:pPr>
            <w:r>
              <w:rPr>
                <w:rFonts w:hint="eastAsia" w:cs="Times New Roman"/>
                <w:b/>
                <w:bCs/>
                <w:color w:val="auto"/>
                <w:highlight w:val="none"/>
              </w:rPr>
              <w:t>二、结算原则及方式</w:t>
            </w:r>
          </w:p>
          <w:p w14:paraId="265CDC1C">
            <w:pPr>
              <w:pStyle w:val="4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1.本项目最终工程结算价按照第三方审定结算价为准。</w:t>
            </w:r>
          </w:p>
          <w:p w14:paraId="50D47E9E">
            <w:pPr>
              <w:pStyle w:val="4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bookmarkStart w:id="44" w:name="OLE_LINK10"/>
            <w:r>
              <w:rPr>
                <w:rFonts w:hint="eastAsia" w:ascii="宋体" w:hAnsi="宋体" w:eastAsia="宋体" w:cs="Times New Roman"/>
                <w:iCs w:val="0"/>
                <w:color w:val="auto"/>
                <w:kern w:val="2"/>
                <w:sz w:val="21"/>
                <w:szCs w:val="21"/>
                <w:highlight w:val="none"/>
                <w:lang w:val="en-US" w:eastAsia="zh-CN" w:bidi="ar-SA"/>
              </w:rPr>
              <w:t>2.本</w:t>
            </w:r>
            <w:r>
              <w:rPr>
                <w:rFonts w:hint="eastAsia" w:ascii="宋体" w:hAnsi="宋体" w:eastAsia="宋体" w:cs="Times New Roman"/>
                <w:iCs w:val="0"/>
                <w:color w:val="auto"/>
                <w:kern w:val="2"/>
                <w:sz w:val="21"/>
                <w:szCs w:val="21"/>
                <w:highlight w:val="none"/>
                <w:lang w:val="en-US" w:eastAsia="zh-CN" w:bidi="ar-SA"/>
              </w:rPr>
              <w:t>项目材料价按照信息价确定，信息价参与总价下浮，</w:t>
            </w:r>
            <w:r>
              <w:rPr>
                <w:rFonts w:hint="eastAsia" w:ascii="宋体" w:hAnsi="宋体" w:eastAsia="宋体" w:cs="Times New Roman"/>
                <w:iCs w:val="0"/>
                <w:color w:val="auto"/>
                <w:kern w:val="2"/>
                <w:sz w:val="21"/>
                <w:szCs w:val="21"/>
                <w:highlight w:val="none"/>
                <w:lang w:val="en-US" w:eastAsia="zh-CN" w:bidi="ar-SA"/>
              </w:rPr>
              <w:t>信息价以采购当期营口市工程造价管理站发布的《营口市建设工程造价信息》为准。若工程所在地无相关信息价，可参照沈阳地区信息价为准。</w:t>
            </w:r>
          </w:p>
          <w:p w14:paraId="6F399B72">
            <w:pPr>
              <w:pStyle w:val="4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3.如信息价中未包含的材料、设备等，由参建各方根据市场调研询价定价。结算单价在工程实施期间，除合同约定的调整因素外，不因市场价格波动、政策变化等因素进行调整。</w:t>
            </w:r>
            <w:bookmarkEnd w:id="44"/>
          </w:p>
          <w:p w14:paraId="205CB7CE">
            <w:pPr>
              <w:pStyle w:val="48"/>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4.结算工程量以第三方审计机构审核确认的实际完成工程量为准。投标人应按照招标文件及相关规范要求进行工程计量，并在工程实施过程中做好工程量记录及相关资料的整理。</w:t>
            </w:r>
          </w:p>
          <w:p w14:paraId="193F987D">
            <w:pPr>
              <w:pStyle w:val="48"/>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5.投标人应积极配合第三方审计工作，提供完整、真实的工程资料，如因投标人原因导致审计工作延误或无法正常进行，招标人有权追究投标人的违约责任。</w:t>
            </w:r>
          </w:p>
          <w:p w14:paraId="33F9F1E7">
            <w:pPr>
              <w:pStyle w:val="48"/>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6.设计费结算：最终设计费按照实际完成的设计工作量结合投标报价，据实进行结算。</w:t>
            </w:r>
          </w:p>
          <w:p w14:paraId="7B3078DE">
            <w:pPr>
              <w:pStyle w:val="34"/>
              <w:keepNext w:val="0"/>
              <w:keepLines w:val="0"/>
              <w:pageBreakBefore w:val="0"/>
              <w:widowControl/>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Times New Roman"/>
                <w:iCs w:val="0"/>
                <w:color w:val="auto"/>
                <w:kern w:val="2"/>
                <w:sz w:val="21"/>
                <w:szCs w:val="21"/>
                <w:highlight w:val="none"/>
                <w:lang w:val="en-US" w:eastAsia="zh-CN" w:bidi="ar-SA"/>
              </w:rPr>
            </w:pPr>
            <w:r>
              <w:rPr>
                <w:rFonts w:hint="eastAsia" w:ascii="宋体" w:hAnsi="宋体" w:eastAsia="宋体" w:cs="Times New Roman"/>
                <w:iCs w:val="0"/>
                <w:color w:val="auto"/>
                <w:kern w:val="2"/>
                <w:sz w:val="21"/>
                <w:szCs w:val="21"/>
                <w:highlight w:val="none"/>
                <w:lang w:val="en-US" w:eastAsia="zh-CN" w:bidi="ar-SA"/>
              </w:rPr>
              <w:t>7.最终结算价格不得超过本项目</w:t>
            </w:r>
            <w:r>
              <w:rPr>
                <w:rFonts w:hint="eastAsia" w:ascii="宋体" w:hAnsi="宋体" w:cs="Times New Roman"/>
                <w:iCs w:val="0"/>
                <w:color w:val="auto"/>
                <w:kern w:val="2"/>
                <w:sz w:val="21"/>
                <w:szCs w:val="21"/>
                <w:highlight w:val="none"/>
                <w:lang w:val="en-US" w:eastAsia="zh-CN" w:bidi="ar-SA"/>
              </w:rPr>
              <w:t>最高</w:t>
            </w:r>
            <w:r>
              <w:rPr>
                <w:rFonts w:hint="eastAsia" w:ascii="宋体" w:hAnsi="宋体" w:cs="Times New Roman"/>
                <w:iCs w:val="0"/>
                <w:color w:val="auto"/>
                <w:kern w:val="2"/>
                <w:sz w:val="21"/>
                <w:szCs w:val="21"/>
                <w:highlight w:val="none"/>
                <w:lang w:val="en-US" w:eastAsia="zh-CN" w:bidi="ar-SA"/>
              </w:rPr>
              <w:t>限额</w:t>
            </w:r>
            <w:r>
              <w:rPr>
                <w:rFonts w:hint="eastAsia" w:ascii="宋体" w:hAnsi="宋体" w:eastAsia="宋体" w:cs="Times New Roman"/>
                <w:iCs w:val="0"/>
                <w:color w:val="auto"/>
                <w:kern w:val="2"/>
                <w:sz w:val="21"/>
                <w:szCs w:val="21"/>
                <w:highlight w:val="none"/>
                <w:lang w:val="en-US" w:eastAsia="zh-CN" w:bidi="ar-SA"/>
              </w:rPr>
              <w:t>。</w:t>
            </w:r>
          </w:p>
          <w:p w14:paraId="2F99C4F9">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三、根据辽宁省住房和城乡建设厅《关于进一步落实招投标各方主体及从业人员实名制的通知》，施工和监理类项目投标单位【授权委托人】、【项目负责人】（拟派项目经理、总监理工程师）及服务和材料设备类项目投标单位【授权委托人】、【项目负责人】（拟派项目负责人）在投标期间内均必须进行身份证实名认证。</w:t>
            </w:r>
          </w:p>
          <w:p w14:paraId="238F4931">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1.实名认证可采用身份证阅读机器进行身份证实体刷卡认证（PC端），也可采用移动端APP软件进行远程实名认证（APP端）。</w:t>
            </w:r>
          </w:p>
          <w:p w14:paraId="0D0F015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2.授权委托人实名认证：</w:t>
            </w:r>
          </w:p>
          <w:p w14:paraId="68956472">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在“项目委托人授权”步骤可以点选或跳过此步骤直接进入“招标文件领取”步骤，但在上传投标文件前（电子开标项目）/中标候选人公示前（纸质开标项目），【授权委托人】必须进行实名认证，否则无法上传投标文件（电子开标项目）/无法在候选人公示选取到单位信息（纸质开标项目）。</w:t>
            </w:r>
          </w:p>
          <w:p w14:paraId="394E7F19">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（2）在“项目委托人授权”步骤直接刷其身份证带出【授权委托人】信息，视为【授权委托人】已做实名认证。</w:t>
            </w:r>
          </w:p>
          <w:p w14:paraId="62C99ABD">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3.项目负责人实名认证：</w:t>
            </w:r>
          </w:p>
          <w:p w14:paraId="7F37F7B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授权委托人】已进行实名认证的：在“招标文件领取”步骤，可以点选【项目负责人】或刷其IC卡或刷其身份证领取招标文件，未刷【项目负责人】身份证领取文件的需要在“项目负责人实名认证”步骤或在二次刷卡时刷其身份证进行实名认证。</w:t>
            </w:r>
          </w:p>
          <w:p w14:paraId="4D5D2018">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授权委托人】未进行实名认证的：在“招标文件领取”步骤，仅可刷【项目负责人】IC卡或其身份证领取招标文件，刷【项目负责人】IC卡领取文件的需要在“项目负责人实名认证”步骤或在二次刷卡时刷其身份证进行实名认证。</w:t>
            </w:r>
          </w:p>
          <w:p w14:paraId="59D6ADFB">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4.二次刷卡：</w:t>
            </w:r>
          </w:p>
          <w:p w14:paraId="1F2EA8CE">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（1）【项目负责人】已进行实名认证的，二次刷卡可以刷【项目负责人】或【授权委托人】身份证带出【项目负责人】“在建项目信息”及“不良行为信息”。</w:t>
            </w:r>
          </w:p>
          <w:p w14:paraId="17B09CC0">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（2）【项目负责人】未进行实名认证的，二次刷卡只能刷其本人身份证带出【项目负责人】“在建项目信息”及“不良行为信息”。</w:t>
            </w:r>
          </w:p>
          <w:p w14:paraId="769652A4">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（3）递交投标文件前，投标单位应完成【项目负责人】二次刷卡验证及【授权委托人】、拟派【项目负责人】身份证实名认证，否则无法在候选人公示选取到单位信息。</w:t>
            </w:r>
          </w:p>
          <w:p w14:paraId="38ECFC9C">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5.当【授权委托人】与【项目负责人】为同一人时，在以上任一环节进行过实名认证的，其另一身份也视为已实名认证。</w:t>
            </w:r>
          </w:p>
          <w:p w14:paraId="79626FD1">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6.【授权委托人】及【项目负责人】认证人员与投标文件中人员不一致的做废标处理。</w:t>
            </w:r>
          </w:p>
          <w:p w14:paraId="649DCAA1">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实名认证参考操作说明，详见辽宁建设工程信息网最新操作手册。</w:t>
            </w:r>
          </w:p>
          <w:p w14:paraId="30A770A4">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四、本项目招标代理服务费由中标人支付。中标人在中标公示发布后须向本项目的招标代理机构（辽宁咨发工程招标咨询服务有限公司）支付代理服务费。招标代理服务费不得在投保报价中单独列项，须综合考虑在投标报价中。代理服务费收费标准：</w:t>
            </w:r>
            <w:r>
              <w:rPr>
                <w:rFonts w:hint="eastAsia"/>
                <w:color w:val="auto"/>
                <w:highlight w:val="none"/>
                <w:lang w:val="en-US" w:eastAsia="zh-CN"/>
              </w:rPr>
              <w:t>参照</w:t>
            </w:r>
            <w:r>
              <w:rPr>
                <w:rFonts w:hint="eastAsia"/>
                <w:color w:val="auto"/>
                <w:highlight w:val="none"/>
                <w:lang w:eastAsia="zh-CN"/>
              </w:rPr>
              <w:t>《国家计委关于印发&lt;招标代理服务收费管理暂行办法&gt;的通知》（计价格[2002]1980号）和《国家发展改革委关于降低部分建设项目收费标准规范收费行为等有关问题的通知》（发改价格[2011]534号）规定收费标准</w:t>
            </w:r>
            <w:r>
              <w:rPr>
                <w:rFonts w:hint="eastAsia"/>
                <w:color w:val="auto"/>
                <w:highlight w:val="none"/>
                <w:lang w:val="en-US" w:eastAsia="zh-CN"/>
              </w:rPr>
              <w:t>的80%</w:t>
            </w:r>
            <w:r>
              <w:rPr>
                <w:rFonts w:hint="eastAsia"/>
                <w:color w:val="auto"/>
                <w:highlight w:val="none"/>
                <w:lang w:eastAsia="zh-CN"/>
              </w:rPr>
              <w:t>计算</w:t>
            </w:r>
            <w:r>
              <w:rPr>
                <w:rFonts w:hint="eastAsia"/>
                <w:color w:val="auto"/>
                <w:highlight w:val="none"/>
              </w:rPr>
              <w:t>。</w:t>
            </w:r>
          </w:p>
          <w:p w14:paraId="4986B5D6">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五、投标人应将 “实名制管理费用”按《关于建筑工人实名制费用计价方法（暂行）的通知》的要求，作为不可竞争费用计入投标报价，结算时应按建设单位批准的施工方案据实结算。</w:t>
            </w:r>
          </w:p>
          <w:p w14:paraId="72562ADD">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六、以联合形式参与投标的，除招标文件规定的联合体协议等须各方签字盖章外，其他材料由联合体牵头人按照要求盖章签字即可。</w:t>
            </w:r>
          </w:p>
          <w:p w14:paraId="420ACC48">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七、其他补充约定： </w:t>
            </w:r>
          </w:p>
          <w:p w14:paraId="129A579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1.中标人对工程竣工验收范围内的设计和施工等工作以及竣工验收资料负总责</w:t>
            </w:r>
            <w:r>
              <w:rPr>
                <w:rFonts w:hint="eastAsia"/>
                <w:color w:val="auto"/>
                <w:highlight w:val="none"/>
                <w:lang w:eastAsia="zh-CN"/>
              </w:rPr>
              <w:t>。</w:t>
            </w:r>
          </w:p>
          <w:p w14:paraId="02EAA8A5">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 xml:space="preserve">2.中标人需负责整个项目的安全生产工作，施工围挡需最终经招标人同意后方可进行搭建，施工过程需控制噪音及环境卫生等相关工作。 </w:t>
            </w:r>
          </w:p>
          <w:p w14:paraId="37B456E1">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rPr>
              <w:t>3.中标人除不可抗力外无论何种原因均确保连续施工。</w:t>
            </w:r>
          </w:p>
          <w:p w14:paraId="6D202247">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4.投标人项目实施过程中，如勘查发现问题等不可抗力，延误工期或造成项目终止，中标人应自行承担招标图纸、工程技术要求</w:t>
            </w:r>
            <w:r>
              <w:rPr>
                <w:rFonts w:hint="eastAsia"/>
                <w:color w:val="auto"/>
                <w:highlight w:val="none"/>
                <w:lang w:eastAsia="zh-CN"/>
              </w:rPr>
              <w:t>、</w:t>
            </w:r>
            <w:r>
              <w:rPr>
                <w:rFonts w:hint="eastAsia"/>
                <w:color w:val="auto"/>
                <w:highlight w:val="none"/>
              </w:rPr>
              <w:t>设计与施工规范、施工措施、市场状况、政策调整、天气影响（冬、雨季施工等）、开工延误（招标人原因及不可抗力除外）、工期变化（发包人原因及不可抗力除外）、施工干扰、生产干扰等所有的风险因素。</w:t>
            </w:r>
          </w:p>
          <w:p w14:paraId="051B534F">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5.投标人必须充分考虑现场可能发生的各种情况，综合各种因素进行报价，并考虑到风险因素</w:t>
            </w:r>
            <w:r>
              <w:rPr>
                <w:rFonts w:hint="eastAsia"/>
                <w:color w:val="auto"/>
                <w:highlight w:val="none"/>
                <w:lang w:eastAsia="zh-CN"/>
              </w:rPr>
              <w:t>。</w:t>
            </w:r>
            <w:r>
              <w:rPr>
                <w:rFonts w:hint="eastAsia"/>
                <w:color w:val="auto"/>
                <w:highlight w:val="none"/>
              </w:rPr>
              <w:t xml:space="preserve"> </w:t>
            </w:r>
          </w:p>
          <w:p w14:paraId="36AA383B">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6.所有的招标资料招标人有权查核确认，如发现弄虚作假的现象，投标人的投标文件将被拒绝</w:t>
            </w:r>
            <w:r>
              <w:rPr>
                <w:rFonts w:hint="eastAsia"/>
                <w:color w:val="auto"/>
                <w:highlight w:val="none"/>
                <w:lang w:eastAsia="zh-CN"/>
              </w:rPr>
              <w:t>。</w:t>
            </w:r>
          </w:p>
          <w:p w14:paraId="18E535C2">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 xml:space="preserve">7.投标文件必须按照招标文件规定的格式、内容填写，投标人对招标文件格式的任何改动均视为偏离。 </w:t>
            </w:r>
          </w:p>
          <w:p w14:paraId="19D048A1">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rPr>
              <w:t>8.中标人须协助招标人办理与本工程相关的一切手续，包括但不限于以下工作：施工图纸审查、图纸会审及设计报批审查、消防审核等工作，且设计图纸须通过审核，并提供上述审查所需的所有材料，如设计图纸与法律法规不符，中标人应及时作出调整并重新申报，且中标人负责期间发生的所有费用。</w:t>
            </w:r>
          </w:p>
          <w:p w14:paraId="2A01ADA8">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 xml:space="preserve">9.中标人负责协助招标人办理与本工程相关的手续，按规定由发包人向政府交纳的相关费用由发包人承担，其他费用由承包人自行承担。 </w:t>
            </w:r>
          </w:p>
          <w:p w14:paraId="35380CDC">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10.投标人报价必须充分考虑到环卫、交通、噪音、扰民、临建拆迁、道路标识标线恢复施划等不可预见的外界障碍或自然条件等风险因素的影响，投标人在报价中自行考虑。在城区内施工的工程，所有土方不许落地，要充分考虑文明施工的要求。</w:t>
            </w:r>
          </w:p>
          <w:p w14:paraId="01E3449F">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11.投标人报价应充分考虑工程施工所必</w:t>
            </w:r>
            <w:r>
              <w:rPr>
                <w:rFonts w:hint="eastAsia"/>
                <w:color w:val="auto"/>
                <w:highlight w:val="none"/>
                <w:lang w:val="en-US" w:eastAsia="zh-CN"/>
              </w:rPr>
              <w:t>需</w:t>
            </w:r>
            <w:r>
              <w:rPr>
                <w:rFonts w:hint="eastAsia"/>
                <w:color w:val="auto"/>
                <w:highlight w:val="none"/>
              </w:rPr>
              <w:t>的封道、交通警示等费用。</w:t>
            </w:r>
          </w:p>
          <w:p w14:paraId="4942EC85">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12.工程保险：必须依法缴纳人身意外伤害险及第三方责任险，所发生的费用均由中标人缴纳。中标人在投保项目及其投保期限内，向发包人提供保险单副本、保费支付单据复印件和保险单生效的证明</w:t>
            </w:r>
            <w:r>
              <w:rPr>
                <w:rFonts w:hint="eastAsia"/>
                <w:color w:val="auto"/>
                <w:highlight w:val="none"/>
                <w:lang w:eastAsia="zh-CN"/>
              </w:rPr>
              <w:t>。</w:t>
            </w:r>
          </w:p>
          <w:p w14:paraId="18591D28">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13.主要材料、设备要求：投标人在设计成果文件中的材料、设备技术参数必须满足国家强制性标准和省、市技术标准要求，设计审批通过后，施工过程</w:t>
            </w:r>
            <w:r>
              <w:rPr>
                <w:rFonts w:hint="eastAsia"/>
                <w:color w:val="auto"/>
                <w:highlight w:val="none"/>
                <w:lang w:val="en-US" w:eastAsia="zh-CN"/>
              </w:rPr>
              <w:t>中</w:t>
            </w:r>
            <w:r>
              <w:rPr>
                <w:rFonts w:hint="eastAsia"/>
                <w:color w:val="auto"/>
                <w:highlight w:val="none"/>
              </w:rPr>
              <w:t>须严格按照设计图纸的技术参数要求选用材料、设备，产品生产许可证、合格证等证书齐全，检测报告合格有效。严禁使用国家禁止和限制使用产品</w:t>
            </w:r>
            <w:r>
              <w:rPr>
                <w:rFonts w:hint="eastAsia"/>
                <w:color w:val="auto"/>
                <w:highlight w:val="none"/>
                <w:lang w:eastAsia="zh-CN"/>
              </w:rPr>
              <w:t>。</w:t>
            </w:r>
            <w:r>
              <w:rPr>
                <w:rFonts w:hint="eastAsia"/>
                <w:color w:val="auto"/>
                <w:highlight w:val="none"/>
              </w:rPr>
              <w:t xml:space="preserve"> </w:t>
            </w:r>
          </w:p>
          <w:p w14:paraId="20726847">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14.中标人提供完整施工图并明确主要材料及设备的技术参数、规格，如中标人可以优化设计或提供新的设计，经招标人认可后予以实施</w:t>
            </w:r>
            <w:r>
              <w:rPr>
                <w:rFonts w:hint="eastAsia"/>
                <w:color w:val="auto"/>
                <w:highlight w:val="none"/>
                <w:lang w:eastAsia="zh-CN"/>
              </w:rPr>
              <w:t>。</w:t>
            </w:r>
          </w:p>
          <w:p w14:paraId="0E9D641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rPr>
              <w:t>15.竣工清理：在工程竣工后，不管发包人是否已办妥政府有关机构所要求的一切必要的批准、备案手续以及是否已发布移交证书，承包人应安排专业队伍全面履行其合同责任和义务，包括但不限于：从现场清除所有剩余材料、杂物、垃圾等；从现场拆除所有的临时建筑物、构筑物和临时设施并恢复地面原状</w:t>
            </w:r>
            <w:r>
              <w:rPr>
                <w:rFonts w:hint="eastAsia"/>
                <w:color w:val="auto"/>
                <w:highlight w:val="none"/>
                <w:lang w:eastAsia="zh-CN"/>
              </w:rPr>
              <w:t>。</w:t>
            </w:r>
            <w:r>
              <w:rPr>
                <w:rFonts w:hint="eastAsia"/>
                <w:color w:val="auto"/>
                <w:highlight w:val="none"/>
              </w:rPr>
              <w:t xml:space="preserve"> </w:t>
            </w:r>
          </w:p>
          <w:p w14:paraId="4D97C7BA">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rPr>
              <w:t>注：整个工程应达到干净、整洁和能随时投入使用的状态</w:t>
            </w:r>
          </w:p>
          <w:p w14:paraId="00ACFC4E">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lang w:val="en-US" w:eastAsia="zh-CN"/>
              </w:rPr>
              <w:t>16.</w:t>
            </w:r>
            <w:r>
              <w:rPr>
                <w:rFonts w:hint="eastAsia"/>
                <w:color w:val="auto"/>
                <w:highlight w:val="none"/>
              </w:rPr>
              <w:t>招标文件未尽事宜，以具体签订的合同为准。投标人应认真研究招标文件中的合同文件。中标后，发包人和中标人将在此合同条款的基础上商签合同，招标文件合同条款中已有规定的，须按已有的规定签署不得修改；招标文件合同条款中没有规定的，发包人和中标人可以友好协商。</w:t>
            </w:r>
          </w:p>
          <w:p w14:paraId="3A172516">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lang w:val="en-US" w:eastAsia="zh-CN"/>
              </w:rPr>
              <w:t>17.</w:t>
            </w:r>
            <w:r>
              <w:rPr>
                <w:rFonts w:hint="eastAsia"/>
                <w:color w:val="auto"/>
                <w:highlight w:val="none"/>
              </w:rPr>
              <w:t>如果中标单位为联合体，招标人在向牵头人通报后，招标人向联合体牵头方支付合同款项，再由牵头方向成员方支付，联合体成员分别向招标人开具发票</w:t>
            </w:r>
            <w:r>
              <w:rPr>
                <w:rFonts w:hint="eastAsia"/>
                <w:color w:val="auto"/>
                <w:highlight w:val="none"/>
                <w:lang w:eastAsia="zh-CN"/>
              </w:rPr>
              <w:t>。</w:t>
            </w:r>
          </w:p>
          <w:p w14:paraId="694C8A55">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lang w:val="en-US" w:eastAsia="zh-CN"/>
              </w:rPr>
              <w:t>18.</w:t>
            </w:r>
            <w:r>
              <w:rPr>
                <w:rFonts w:hint="eastAsia"/>
                <w:color w:val="auto"/>
                <w:highlight w:val="none"/>
              </w:rPr>
              <w:t>中标人应当根据合同约定和项目特点，制定项目管理计划和项目实施计划，建立工程管理与协调制度，加强设计、采购与施工的协调，完善和优化设计，改进施工方案，合理调配设计、采购和施工力量，实现对工程总承包项目的有效控制。</w:t>
            </w:r>
          </w:p>
          <w:p w14:paraId="07C566DD">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color w:val="auto"/>
                <w:highlight w:val="none"/>
                <w:lang w:val="en-US" w:eastAsia="zh-CN"/>
              </w:rPr>
            </w:pPr>
            <w:r>
              <w:rPr>
                <w:rFonts w:hint="default"/>
                <w:color w:val="auto"/>
                <w:highlight w:val="none"/>
                <w:lang w:val="en-US" w:eastAsia="zh-CN"/>
              </w:rPr>
              <w:t>19.</w:t>
            </w:r>
            <w:r>
              <w:rPr>
                <w:rFonts w:hint="eastAsia"/>
                <w:color w:val="auto"/>
                <w:highlight w:val="none"/>
                <w:lang w:val="zh-CN"/>
              </w:rPr>
              <w:t>中标人配合招标人调整工程建设进度，招标人有权根据实际情况调整工期及建设计划。</w:t>
            </w:r>
          </w:p>
          <w:p w14:paraId="09349C59">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lang w:eastAsia="zh-CN"/>
              </w:rPr>
            </w:pPr>
            <w:r>
              <w:rPr>
                <w:rFonts w:hint="eastAsia"/>
                <w:color w:val="auto"/>
                <w:highlight w:val="none"/>
                <w:lang w:val="en-US" w:eastAsia="zh-CN"/>
              </w:rPr>
              <w:t>20</w:t>
            </w:r>
            <w:r>
              <w:rPr>
                <w:rFonts w:hint="eastAsia"/>
                <w:color w:val="auto"/>
                <w:highlight w:val="none"/>
              </w:rPr>
              <w:t>、知识产权：</w:t>
            </w:r>
          </w:p>
          <w:p w14:paraId="5B50BE5B">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rPr>
              <w:t>构成本招标文件各个组成部分的文件，未经招标人书面同意，投标人不得擅自复印和用于非本招标项目所需的其他目的。招标人有权全部或者部分使用未中标人投标文件中的技术成果或技术方案时，并不给予费用补偿。</w:t>
            </w:r>
          </w:p>
          <w:p w14:paraId="3611A950">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lang w:val="en-US" w:eastAsia="en-US"/>
              </w:rPr>
              <w:t>2</w:t>
            </w:r>
            <w:r>
              <w:rPr>
                <w:rFonts w:hint="eastAsia"/>
                <w:color w:val="auto"/>
                <w:highlight w:val="none"/>
                <w:lang w:val="en-US" w:eastAsia="zh-CN"/>
              </w:rPr>
              <w:t>1</w:t>
            </w:r>
            <w:r>
              <w:rPr>
                <w:rFonts w:hint="eastAsia"/>
                <w:color w:val="auto"/>
                <w:highlight w:val="none"/>
                <w:lang w:val="en-US" w:eastAsia="en-US"/>
              </w:rPr>
              <w:t>.</w:t>
            </w:r>
            <w:r>
              <w:rPr>
                <w:rFonts w:hint="eastAsia"/>
                <w:color w:val="auto"/>
                <w:highlight w:val="none"/>
              </w:rPr>
              <w:t>本项目建设工程交易服务费按照《省发改委关于降低我省建设工程交易服务收费标准的通知》（辽发改价格【2023】128号）文件要求向</w:t>
            </w:r>
            <w:r>
              <w:rPr>
                <w:rFonts w:hint="eastAsia"/>
                <w:color w:val="auto"/>
                <w:highlight w:val="none"/>
                <w:lang w:val="zh-CN"/>
              </w:rPr>
              <w:t>营口市公共资源交易服务中心盖州分中心</w:t>
            </w:r>
            <w:r>
              <w:rPr>
                <w:rFonts w:hint="eastAsia"/>
                <w:color w:val="auto"/>
                <w:highlight w:val="none"/>
              </w:rPr>
              <w:t>缴纳。</w:t>
            </w:r>
          </w:p>
          <w:p w14:paraId="5FA608D3">
            <w:pPr>
              <w:pStyle w:val="34"/>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color w:val="auto"/>
                <w:highlight w:val="none"/>
                <w:lang w:val="en-US" w:eastAsia="zh-CN"/>
              </w:rPr>
              <w:t>22.</w:t>
            </w:r>
            <w:r>
              <w:rPr>
                <w:rFonts w:hint="eastAsia"/>
                <w:color w:val="auto"/>
                <w:highlight w:val="none"/>
              </w:rPr>
              <w:t>投标人下载招标文件后，法定代表人或授权委托人应持</w:t>
            </w:r>
            <w:r>
              <w:rPr>
                <w:rFonts w:hint="eastAsia"/>
                <w:color w:val="auto"/>
                <w:highlight w:val="none"/>
                <w:lang w:val="en-US" w:eastAsia="zh-CN"/>
              </w:rPr>
              <w:t>下载招标文件证明资料</w:t>
            </w:r>
            <w:r>
              <w:rPr>
                <w:rFonts w:hint="eastAsia"/>
                <w:color w:val="auto"/>
                <w:highlight w:val="none"/>
              </w:rPr>
              <w:t>到招标人单位处借阅《</w:t>
            </w:r>
            <w:r>
              <w:rPr>
                <w:rFonts w:hint="eastAsia"/>
                <w:color w:val="auto"/>
                <w:highlight w:val="none"/>
              </w:rPr>
              <w:t>营口国盛轩宇产业开发建设有限公司清洁能源高端装备制造产业基地基础设施配套项目初步设计</w:t>
            </w:r>
            <w:r>
              <w:rPr>
                <w:rFonts w:hint="eastAsia"/>
                <w:color w:val="auto"/>
                <w:highlight w:val="none"/>
              </w:rPr>
              <w:t>》等资料，押金 500元/套，因本项目涉及商业秘密</w:t>
            </w:r>
            <w:r>
              <w:rPr>
                <w:rFonts w:hint="eastAsia"/>
                <w:color w:val="auto"/>
                <w:highlight w:val="none"/>
                <w:lang w:eastAsia="zh-CN"/>
              </w:rPr>
              <w:t>，</w:t>
            </w:r>
            <w:r>
              <w:rPr>
                <w:rFonts w:hint="eastAsia"/>
                <w:color w:val="auto"/>
                <w:highlight w:val="none"/>
              </w:rPr>
              <w:t>同时现场签订保密协议。如投标人因未借阅《</w:t>
            </w:r>
            <w:r>
              <w:rPr>
                <w:rFonts w:hint="eastAsia"/>
                <w:color w:val="auto"/>
                <w:highlight w:val="none"/>
              </w:rPr>
              <w:t>营口国盛轩宇产业开发建设有限公司清洁能源高端装备制造产业基地基础设施配套项目初步设计</w:t>
            </w:r>
            <w:r>
              <w:rPr>
                <w:rFonts w:hint="eastAsia"/>
                <w:color w:val="auto"/>
                <w:highlight w:val="none"/>
              </w:rPr>
              <w:t>》等资料，而造成的承包人建议书未通过评审的后果由投标人自行承担</w:t>
            </w:r>
          </w:p>
          <w:p w14:paraId="6B99F3F5">
            <w:pPr>
              <w:pStyle w:val="35"/>
              <w:rPr>
                <w:rFonts w:hint="default" w:eastAsia="宋体"/>
                <w:color w:val="auto"/>
                <w:highlight w:val="none"/>
                <w:lang w:val="en-US" w:eastAsia="zh-CN"/>
              </w:rPr>
            </w:pPr>
            <w:r>
              <w:rPr>
                <w:rFonts w:hint="eastAsia" w:ascii="Calibri" w:hAnsi="Calibri" w:eastAsia="宋体" w:cs="Times New Roman"/>
                <w:iCs w:val="0"/>
                <w:color w:val="auto"/>
                <w:kern w:val="2"/>
                <w:sz w:val="21"/>
                <w:szCs w:val="22"/>
                <w:highlight w:val="none"/>
                <w:lang w:val="en-US" w:eastAsia="zh-CN" w:bidi="ar-SA"/>
              </w:rPr>
              <w:t>23.编制项目可行性研究报告、工程方案设计、初步设计且具备工程设计资质、工程总承包条件的单位可以参与该工程总承包项目的投标</w:t>
            </w:r>
            <w:r>
              <w:rPr>
                <w:rFonts w:hint="eastAsia" w:cs="Times New Roman"/>
                <w:iCs w:val="0"/>
                <w:color w:val="auto"/>
                <w:kern w:val="2"/>
                <w:sz w:val="21"/>
                <w:szCs w:val="22"/>
                <w:highlight w:val="none"/>
                <w:lang w:val="en-US" w:eastAsia="zh-CN" w:bidi="ar-SA"/>
              </w:rPr>
              <w:t>。</w:t>
            </w:r>
          </w:p>
        </w:tc>
      </w:tr>
    </w:tbl>
    <w:p w14:paraId="04BE5C37">
      <w:pPr>
        <w:rPr>
          <w:color w:val="auto"/>
          <w:highlight w:val="none"/>
        </w:rPr>
      </w:pPr>
      <w:r>
        <w:rPr>
          <w:rFonts w:hint="eastAsia"/>
          <w:color w:val="auto"/>
          <w:highlight w:val="none"/>
        </w:rPr>
        <w:br w:type="page"/>
      </w:r>
    </w:p>
    <w:bookmarkEnd w:id="33"/>
    <w:bookmarkEnd w:id="34"/>
    <w:p w14:paraId="447B592B">
      <w:pPr>
        <w:pStyle w:val="30"/>
        <w:spacing w:line="360" w:lineRule="exact"/>
        <w:rPr>
          <w:rFonts w:cs="Times New Roman"/>
          <w:color w:val="auto"/>
          <w:highlight w:val="none"/>
        </w:rPr>
      </w:pPr>
      <w:bookmarkStart w:id="45" w:name="_Toc122602628"/>
      <w:bookmarkStart w:id="46" w:name="_Toc167542376"/>
      <w:bookmarkStart w:id="47" w:name="_Toc256000004"/>
      <w:bookmarkStart w:id="48" w:name="_Toc145002173"/>
      <w:bookmarkStart w:id="49" w:name="_Toc152042305"/>
      <w:bookmarkStart w:id="50" w:name="_Toc152045529"/>
      <w:bookmarkStart w:id="51" w:name="_Toc247527553"/>
      <w:bookmarkStart w:id="52" w:name="_Toc144974497"/>
      <w:bookmarkStart w:id="53" w:name="_Toc247513952"/>
      <w:r>
        <w:rPr>
          <w:rFonts w:cs="Times New Roman"/>
          <w:color w:val="auto"/>
          <w:highlight w:val="none"/>
        </w:rPr>
        <w:t>投标人须知正文部分</w:t>
      </w:r>
      <w:bookmarkEnd w:id="45"/>
      <w:bookmarkEnd w:id="46"/>
      <w:bookmarkEnd w:id="47"/>
      <w:bookmarkEnd w:id="48"/>
    </w:p>
    <w:p w14:paraId="674E2E8F">
      <w:pPr>
        <w:pStyle w:val="30"/>
        <w:spacing w:line="360" w:lineRule="exact"/>
        <w:rPr>
          <w:rFonts w:cs="Times New Roman"/>
          <w:color w:val="auto"/>
          <w:highlight w:val="none"/>
        </w:rPr>
      </w:pPr>
      <w:bookmarkStart w:id="54" w:name="_Toc256000005"/>
      <w:bookmarkStart w:id="55" w:name="_Toc167542377"/>
      <w:r>
        <w:rPr>
          <w:rFonts w:cs="Times New Roman"/>
          <w:color w:val="auto"/>
          <w:highlight w:val="none"/>
        </w:rPr>
        <w:t>1.总则</w:t>
      </w:r>
      <w:bookmarkEnd w:id="49"/>
      <w:bookmarkEnd w:id="50"/>
      <w:bookmarkEnd w:id="51"/>
      <w:bookmarkEnd w:id="52"/>
      <w:bookmarkEnd w:id="53"/>
      <w:bookmarkEnd w:id="54"/>
      <w:bookmarkEnd w:id="55"/>
    </w:p>
    <w:p w14:paraId="29E7DDF4">
      <w:pPr>
        <w:pStyle w:val="32"/>
        <w:spacing w:line="360" w:lineRule="exact"/>
        <w:ind w:firstLine="118"/>
        <w:rPr>
          <w:rFonts w:cs="Times New Roman"/>
          <w:color w:val="auto"/>
          <w:highlight w:val="none"/>
        </w:rPr>
      </w:pPr>
      <w:bookmarkStart w:id="56" w:name="_Toc145081411"/>
      <w:bookmarkStart w:id="57" w:name="_Toc247513953"/>
      <w:bookmarkStart w:id="58" w:name="_Toc167542378"/>
      <w:bookmarkStart w:id="59" w:name="_Toc152042306"/>
      <w:bookmarkStart w:id="60" w:name="_Toc152045530"/>
      <w:bookmarkStart w:id="61" w:name="_Toc144974498"/>
      <w:bookmarkStart w:id="62" w:name="_Toc247527554"/>
      <w:bookmarkStart w:id="63" w:name="_Toc256000006"/>
      <w:r>
        <w:rPr>
          <w:rFonts w:cs="Times New Roman"/>
          <w:color w:val="auto"/>
          <w:highlight w:val="none"/>
        </w:rPr>
        <w:t>1.1项目概况</w:t>
      </w:r>
      <w:bookmarkEnd w:id="56"/>
      <w:bookmarkEnd w:id="57"/>
      <w:bookmarkEnd w:id="58"/>
      <w:bookmarkEnd w:id="59"/>
      <w:bookmarkEnd w:id="60"/>
      <w:bookmarkEnd w:id="61"/>
      <w:bookmarkEnd w:id="62"/>
      <w:bookmarkEnd w:id="63"/>
    </w:p>
    <w:p w14:paraId="1D12B1C8">
      <w:pPr>
        <w:spacing w:line="400" w:lineRule="exact"/>
        <w:ind w:firstLine="420" w:firstLineChars="200"/>
        <w:rPr>
          <w:color w:val="auto"/>
          <w:highlight w:val="none"/>
        </w:rPr>
      </w:pPr>
      <w:r>
        <w:rPr>
          <w:color w:val="auto"/>
          <w:highlight w:val="none"/>
        </w:rPr>
        <w:t>1.1.1根据《中华人民共和国招标投标法》等有关法律、法规和规章的规定，本招标项目已具备招标条件，现对该项目设计施工进行总承包招标。</w:t>
      </w:r>
    </w:p>
    <w:p w14:paraId="0D4A22C7">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本招标项目招标人</w:t>
      </w:r>
      <w:r>
        <w:rPr>
          <w:color w:val="auto"/>
          <w:highlight w:val="none"/>
        </w:rPr>
        <w:t>：见投标人须知前附表。</w:t>
      </w:r>
    </w:p>
    <w:p w14:paraId="068546DD">
      <w:pPr>
        <w:spacing w:line="400" w:lineRule="exact"/>
        <w:ind w:firstLine="420" w:firstLineChars="200"/>
        <w:rPr>
          <w:color w:val="auto"/>
          <w:highlight w:val="none"/>
        </w:rPr>
      </w:pPr>
      <w:r>
        <w:rPr>
          <w:color w:val="auto"/>
          <w:highlight w:val="none"/>
        </w:rPr>
        <w:t xml:space="preserve">1.1.3 </w:t>
      </w:r>
      <w:r>
        <w:rPr>
          <w:rFonts w:hint="eastAsia"/>
          <w:color w:val="auto"/>
          <w:highlight w:val="none"/>
        </w:rPr>
        <w:t>本标段招标代理机构：</w:t>
      </w:r>
      <w:r>
        <w:rPr>
          <w:color w:val="auto"/>
          <w:highlight w:val="none"/>
        </w:rPr>
        <w:t>见投标人须知前附表。</w:t>
      </w:r>
    </w:p>
    <w:p w14:paraId="73CF8E00">
      <w:pPr>
        <w:spacing w:line="400" w:lineRule="exact"/>
        <w:ind w:firstLine="420" w:firstLineChars="200"/>
        <w:rPr>
          <w:color w:val="auto"/>
          <w:highlight w:val="none"/>
        </w:rPr>
      </w:pPr>
      <w:r>
        <w:rPr>
          <w:color w:val="auto"/>
          <w:highlight w:val="none"/>
        </w:rPr>
        <w:t xml:space="preserve">1.1.4 </w:t>
      </w:r>
      <w:r>
        <w:rPr>
          <w:rFonts w:hint="eastAsia"/>
          <w:color w:val="auto"/>
          <w:highlight w:val="none"/>
        </w:rPr>
        <w:t>本标段项目名称：</w:t>
      </w:r>
      <w:r>
        <w:rPr>
          <w:color w:val="auto"/>
          <w:highlight w:val="none"/>
        </w:rPr>
        <w:t>见投标人须知前附表。</w:t>
      </w:r>
    </w:p>
    <w:p w14:paraId="588656F7">
      <w:pPr>
        <w:spacing w:line="400" w:lineRule="exact"/>
        <w:ind w:firstLine="420" w:firstLineChars="200"/>
        <w:rPr>
          <w:color w:val="auto"/>
          <w:highlight w:val="none"/>
        </w:rPr>
      </w:pPr>
      <w:r>
        <w:rPr>
          <w:color w:val="auto"/>
          <w:highlight w:val="none"/>
        </w:rPr>
        <w:t xml:space="preserve">1.1.5 </w:t>
      </w:r>
      <w:r>
        <w:rPr>
          <w:rFonts w:hint="eastAsia"/>
          <w:color w:val="auto"/>
          <w:highlight w:val="none"/>
        </w:rPr>
        <w:t>本标段建设地点：</w:t>
      </w:r>
      <w:r>
        <w:rPr>
          <w:color w:val="auto"/>
          <w:highlight w:val="none"/>
        </w:rPr>
        <w:t>见投标人须知前附表。</w:t>
      </w:r>
    </w:p>
    <w:p w14:paraId="051E7829">
      <w:pPr>
        <w:spacing w:line="400" w:lineRule="exact"/>
        <w:ind w:firstLine="420" w:firstLineChars="200"/>
        <w:rPr>
          <w:color w:val="auto"/>
          <w:highlight w:val="none"/>
        </w:rPr>
      </w:pPr>
      <w:bookmarkStart w:id="64" w:name="_Toc152045531"/>
      <w:bookmarkStart w:id="65" w:name="_Toc144974499"/>
      <w:bookmarkStart w:id="66" w:name="_Toc152042307"/>
      <w:bookmarkStart w:id="67" w:name="_Toc247513954"/>
      <w:bookmarkStart w:id="68" w:name="_Toc247527555"/>
      <w:r>
        <w:rPr>
          <w:color w:val="auto"/>
          <w:highlight w:val="none"/>
        </w:rPr>
        <w:t xml:space="preserve">1.1.6 </w:t>
      </w:r>
      <w:r>
        <w:rPr>
          <w:rFonts w:hint="eastAsia"/>
          <w:color w:val="auto"/>
          <w:highlight w:val="none"/>
        </w:rPr>
        <w:t>本</w:t>
      </w:r>
      <w:r>
        <w:rPr>
          <w:color w:val="auto"/>
          <w:highlight w:val="none"/>
        </w:rPr>
        <w:t>项目建设规模：见投标人须知前附表。</w:t>
      </w:r>
    </w:p>
    <w:p w14:paraId="7FD12A9F">
      <w:pPr>
        <w:spacing w:line="400" w:lineRule="exact"/>
        <w:ind w:firstLine="420" w:firstLineChars="200"/>
        <w:rPr>
          <w:color w:val="auto"/>
          <w:highlight w:val="none"/>
        </w:rPr>
      </w:pPr>
      <w:r>
        <w:rPr>
          <w:color w:val="auto"/>
          <w:highlight w:val="none"/>
        </w:rPr>
        <w:t xml:space="preserve">1.1.7 </w:t>
      </w:r>
      <w:r>
        <w:rPr>
          <w:rFonts w:hint="eastAsia"/>
          <w:color w:val="auto"/>
          <w:highlight w:val="none"/>
        </w:rPr>
        <w:t>本招标项目</w:t>
      </w:r>
      <w:r>
        <w:rPr>
          <w:color w:val="auto"/>
          <w:highlight w:val="none"/>
        </w:rPr>
        <w:t>投资估算：见投标人须知前附表。</w:t>
      </w:r>
    </w:p>
    <w:p w14:paraId="1F59413B">
      <w:pPr>
        <w:spacing w:line="400" w:lineRule="exact"/>
        <w:ind w:firstLine="420" w:firstLineChars="200"/>
        <w:rPr>
          <w:color w:val="auto"/>
          <w:highlight w:val="none"/>
        </w:rPr>
      </w:pPr>
      <w:r>
        <w:rPr>
          <w:color w:val="auto"/>
          <w:highlight w:val="none"/>
        </w:rPr>
        <w:t xml:space="preserve">1.1.8 </w:t>
      </w:r>
      <w:bookmarkStart w:id="69" w:name="_Hlk144976007"/>
      <w:r>
        <w:rPr>
          <w:color w:val="auto"/>
          <w:highlight w:val="none"/>
        </w:rPr>
        <w:t>本标段采用的电子交易系统名称：见投标人须知前附表。</w:t>
      </w:r>
      <w:bookmarkEnd w:id="69"/>
    </w:p>
    <w:p w14:paraId="2068F3F9">
      <w:pPr>
        <w:pStyle w:val="32"/>
        <w:spacing w:line="360" w:lineRule="exact"/>
        <w:ind w:firstLine="118"/>
        <w:rPr>
          <w:rFonts w:cs="Times New Roman"/>
          <w:color w:val="auto"/>
          <w:highlight w:val="none"/>
        </w:rPr>
      </w:pPr>
      <w:bookmarkStart w:id="70" w:name="_Toc145081412"/>
      <w:bookmarkStart w:id="71" w:name="_Toc167542379"/>
      <w:bookmarkStart w:id="72" w:name="_Toc256000007"/>
      <w:r>
        <w:rPr>
          <w:rFonts w:cs="Times New Roman"/>
          <w:color w:val="auto"/>
          <w:highlight w:val="none"/>
        </w:rPr>
        <w:t>1.2 项目的资金来源和落实情况</w:t>
      </w:r>
      <w:bookmarkEnd w:id="64"/>
      <w:bookmarkEnd w:id="65"/>
      <w:bookmarkEnd w:id="66"/>
      <w:bookmarkEnd w:id="67"/>
      <w:bookmarkEnd w:id="68"/>
      <w:bookmarkEnd w:id="70"/>
      <w:bookmarkEnd w:id="71"/>
      <w:bookmarkEnd w:id="72"/>
    </w:p>
    <w:p w14:paraId="735D01B6">
      <w:pPr>
        <w:spacing w:line="400" w:lineRule="exact"/>
        <w:ind w:firstLine="420" w:firstLineChars="200"/>
        <w:rPr>
          <w:color w:val="auto"/>
          <w:highlight w:val="none"/>
        </w:rPr>
      </w:pPr>
      <w:r>
        <w:rPr>
          <w:color w:val="auto"/>
          <w:highlight w:val="none"/>
        </w:rPr>
        <w:t xml:space="preserve">1.2.1 </w:t>
      </w:r>
      <w:r>
        <w:rPr>
          <w:rFonts w:hint="eastAsia"/>
          <w:color w:val="auto"/>
          <w:highlight w:val="none"/>
        </w:rPr>
        <w:t>本招标项目的</w:t>
      </w:r>
      <w:r>
        <w:rPr>
          <w:color w:val="auto"/>
          <w:highlight w:val="none"/>
        </w:rPr>
        <w:t>资金来源及比例：见投标人须知前附表。</w:t>
      </w:r>
    </w:p>
    <w:p w14:paraId="1EF1EC29">
      <w:pPr>
        <w:spacing w:line="360" w:lineRule="exact"/>
        <w:ind w:firstLine="420" w:firstLineChars="200"/>
        <w:rPr>
          <w:color w:val="auto"/>
          <w:highlight w:val="none"/>
        </w:rPr>
      </w:pPr>
      <w:bookmarkStart w:id="73" w:name="_Hlk165114533"/>
      <w:bookmarkStart w:id="74" w:name="_Hlk165114515"/>
      <w:r>
        <w:rPr>
          <w:rFonts w:hint="eastAsia"/>
          <w:color w:val="auto"/>
          <w:highlight w:val="none"/>
        </w:rPr>
        <w:t>1.2.</w:t>
      </w:r>
      <w:bookmarkStart w:id="75" w:name="_Hlk165114740"/>
      <w:r>
        <w:rPr>
          <w:rFonts w:hint="eastAsia"/>
          <w:color w:val="auto"/>
          <w:highlight w:val="none"/>
        </w:rPr>
        <w:t>2 本</w:t>
      </w:r>
      <w:bookmarkStart w:id="76" w:name="_Hlk165116025"/>
      <w:r>
        <w:rPr>
          <w:rFonts w:hint="eastAsia"/>
          <w:color w:val="auto"/>
          <w:highlight w:val="none"/>
        </w:rPr>
        <w:t>标段合同估算价：见投标人须知前附表。</w:t>
      </w:r>
      <w:bookmarkEnd w:id="73"/>
      <w:bookmarkEnd w:id="75"/>
      <w:bookmarkEnd w:id="76"/>
    </w:p>
    <w:bookmarkEnd w:id="74"/>
    <w:p w14:paraId="64A061E3">
      <w:pPr>
        <w:spacing w:line="400" w:lineRule="exact"/>
        <w:ind w:firstLine="420" w:firstLineChars="200"/>
        <w:rPr>
          <w:color w:val="auto"/>
          <w:highlight w:val="none"/>
        </w:rPr>
      </w:pPr>
      <w:r>
        <w:rPr>
          <w:color w:val="auto"/>
          <w:highlight w:val="none"/>
        </w:rPr>
        <w:t>1.2.</w:t>
      </w:r>
      <w:r>
        <w:rPr>
          <w:rFonts w:hint="eastAsia"/>
          <w:color w:val="auto"/>
          <w:highlight w:val="none"/>
        </w:rPr>
        <w:t>3</w:t>
      </w:r>
      <w:r>
        <w:rPr>
          <w:color w:val="auto"/>
          <w:highlight w:val="none"/>
        </w:rPr>
        <w:t xml:space="preserve"> </w:t>
      </w:r>
      <w:r>
        <w:rPr>
          <w:rFonts w:hint="eastAsia"/>
          <w:color w:val="auto"/>
          <w:highlight w:val="none"/>
        </w:rPr>
        <w:t>本标段</w:t>
      </w:r>
      <w:r>
        <w:rPr>
          <w:color w:val="auto"/>
          <w:highlight w:val="none"/>
        </w:rPr>
        <w:t>资金落实情况：见投标人须知前附表。</w:t>
      </w:r>
    </w:p>
    <w:p w14:paraId="5450B56F">
      <w:pPr>
        <w:pStyle w:val="32"/>
        <w:spacing w:line="360" w:lineRule="exact"/>
        <w:ind w:firstLine="118"/>
        <w:rPr>
          <w:rFonts w:cs="Times New Roman"/>
          <w:color w:val="auto"/>
          <w:highlight w:val="none"/>
        </w:rPr>
      </w:pPr>
      <w:bookmarkStart w:id="77" w:name="_Toc144974500"/>
      <w:bookmarkStart w:id="78" w:name="_Toc152042308"/>
      <w:bookmarkStart w:id="79" w:name="_Toc247527556"/>
      <w:bookmarkStart w:id="80" w:name="_Toc247513955"/>
      <w:bookmarkStart w:id="81" w:name="_Toc152045532"/>
      <w:bookmarkStart w:id="82" w:name="_Toc256000008"/>
      <w:bookmarkStart w:id="83" w:name="_Toc145081413"/>
      <w:bookmarkStart w:id="84" w:name="_Toc167542380"/>
      <w:r>
        <w:rPr>
          <w:rFonts w:cs="Times New Roman"/>
          <w:color w:val="auto"/>
          <w:highlight w:val="none"/>
        </w:rPr>
        <w:t>1.3 招标范围、计划工期和</w:t>
      </w:r>
      <w:bookmarkEnd w:id="77"/>
      <w:bookmarkEnd w:id="78"/>
      <w:bookmarkEnd w:id="79"/>
      <w:bookmarkEnd w:id="80"/>
      <w:bookmarkEnd w:id="81"/>
      <w:r>
        <w:rPr>
          <w:rFonts w:cs="Times New Roman"/>
          <w:color w:val="auto"/>
          <w:highlight w:val="none"/>
        </w:rPr>
        <w:t>质量标准</w:t>
      </w:r>
      <w:bookmarkEnd w:id="82"/>
      <w:bookmarkEnd w:id="83"/>
      <w:bookmarkEnd w:id="84"/>
    </w:p>
    <w:p w14:paraId="22484B60">
      <w:pPr>
        <w:spacing w:line="400" w:lineRule="exact"/>
        <w:ind w:firstLine="420" w:firstLineChars="200"/>
        <w:rPr>
          <w:color w:val="auto"/>
          <w:highlight w:val="none"/>
        </w:rPr>
      </w:pPr>
      <w:r>
        <w:rPr>
          <w:color w:val="auto"/>
          <w:highlight w:val="none"/>
        </w:rPr>
        <w:t>1.3.1 招标范围：见投标人须知前附表。</w:t>
      </w:r>
    </w:p>
    <w:p w14:paraId="013D0CE0">
      <w:pPr>
        <w:spacing w:line="400" w:lineRule="exact"/>
        <w:ind w:firstLine="420" w:firstLineChars="200"/>
        <w:rPr>
          <w:color w:val="auto"/>
          <w:highlight w:val="none"/>
        </w:rPr>
      </w:pPr>
      <w:r>
        <w:rPr>
          <w:color w:val="auto"/>
          <w:highlight w:val="none"/>
        </w:rPr>
        <w:t>1.3.2 计划工期：见投标人须知前附表。</w:t>
      </w:r>
    </w:p>
    <w:p w14:paraId="579486C3">
      <w:pPr>
        <w:spacing w:line="400" w:lineRule="exact"/>
        <w:ind w:firstLine="420" w:firstLineChars="200"/>
        <w:rPr>
          <w:color w:val="auto"/>
          <w:highlight w:val="none"/>
        </w:rPr>
      </w:pPr>
      <w:r>
        <w:rPr>
          <w:color w:val="auto"/>
          <w:highlight w:val="none"/>
        </w:rPr>
        <w:t>1.3.3 质量标准：见投标人须知前附表。</w:t>
      </w:r>
    </w:p>
    <w:p w14:paraId="4CD9331E">
      <w:pPr>
        <w:pStyle w:val="32"/>
        <w:spacing w:line="360" w:lineRule="exact"/>
        <w:ind w:firstLine="118"/>
        <w:rPr>
          <w:rFonts w:cs="Times New Roman"/>
          <w:color w:val="auto"/>
          <w:highlight w:val="none"/>
        </w:rPr>
      </w:pPr>
      <w:bookmarkStart w:id="85" w:name="_Toc152042309"/>
      <w:bookmarkStart w:id="86" w:name="_Toc152045533"/>
      <w:bookmarkStart w:id="87" w:name="_Toc167542381"/>
      <w:bookmarkStart w:id="88" w:name="_Toc144974501"/>
      <w:bookmarkStart w:id="89" w:name="_Toc145081414"/>
      <w:bookmarkStart w:id="90" w:name="_Toc247513956"/>
      <w:bookmarkStart w:id="91" w:name="_Toc256000009"/>
      <w:bookmarkStart w:id="92" w:name="_Toc247527557"/>
      <w:r>
        <w:rPr>
          <w:rFonts w:cs="Times New Roman"/>
          <w:color w:val="auto"/>
          <w:highlight w:val="none"/>
        </w:rPr>
        <w:t>1.4 投标人资格要求（适用于已进行资格预审的）</w:t>
      </w:r>
      <w:bookmarkEnd w:id="85"/>
      <w:bookmarkEnd w:id="86"/>
      <w:bookmarkEnd w:id="87"/>
      <w:bookmarkEnd w:id="88"/>
      <w:bookmarkEnd w:id="89"/>
      <w:bookmarkEnd w:id="90"/>
      <w:bookmarkEnd w:id="91"/>
      <w:bookmarkEnd w:id="92"/>
    </w:p>
    <w:p w14:paraId="3DE6D438">
      <w:pPr>
        <w:spacing w:line="400" w:lineRule="exact"/>
        <w:ind w:firstLine="420" w:firstLineChars="200"/>
        <w:rPr>
          <w:color w:val="auto"/>
          <w:highlight w:val="none"/>
        </w:rPr>
      </w:pPr>
      <w:r>
        <w:rPr>
          <w:color w:val="auto"/>
          <w:highlight w:val="none"/>
        </w:rPr>
        <w:t>投标人应是收到招标人发出投标邀请书的单位。</w:t>
      </w:r>
    </w:p>
    <w:p w14:paraId="63D336E3">
      <w:pPr>
        <w:pStyle w:val="32"/>
        <w:spacing w:line="360" w:lineRule="exact"/>
        <w:ind w:firstLine="118"/>
        <w:rPr>
          <w:rFonts w:cs="Times New Roman"/>
          <w:color w:val="auto"/>
          <w:highlight w:val="none"/>
        </w:rPr>
      </w:pPr>
      <w:bookmarkStart w:id="93" w:name="_Toc152042310"/>
      <w:bookmarkStart w:id="94" w:name="_Toc247527558"/>
      <w:bookmarkStart w:id="95" w:name="_Toc256000010"/>
      <w:bookmarkStart w:id="96" w:name="_Toc145081415"/>
      <w:bookmarkStart w:id="97" w:name="_Toc167542382"/>
      <w:bookmarkStart w:id="98" w:name="_Toc152045534"/>
      <w:bookmarkStart w:id="99" w:name="_Toc247513957"/>
      <w:bookmarkStart w:id="100" w:name="_Toc144974502"/>
      <w:r>
        <w:rPr>
          <w:rFonts w:cs="Times New Roman"/>
          <w:color w:val="auto"/>
          <w:highlight w:val="none"/>
        </w:rPr>
        <w:t>1.4 投标人资格要求（适用于未进行资格预审的）</w:t>
      </w:r>
      <w:bookmarkEnd w:id="93"/>
      <w:bookmarkEnd w:id="94"/>
      <w:bookmarkEnd w:id="95"/>
      <w:bookmarkEnd w:id="96"/>
      <w:bookmarkEnd w:id="97"/>
      <w:bookmarkEnd w:id="98"/>
      <w:bookmarkEnd w:id="99"/>
      <w:bookmarkEnd w:id="100"/>
    </w:p>
    <w:p w14:paraId="63BEE7FE">
      <w:pPr>
        <w:spacing w:line="400" w:lineRule="exact"/>
        <w:ind w:firstLine="420" w:firstLineChars="200"/>
        <w:rPr>
          <w:color w:val="auto"/>
          <w:highlight w:val="none"/>
        </w:rPr>
      </w:pPr>
      <w:r>
        <w:rPr>
          <w:color w:val="auto"/>
          <w:highlight w:val="none"/>
        </w:rPr>
        <w:t>1.4.1 投标人应具备承担本招标项目资质条件、能力和信誉。</w:t>
      </w:r>
    </w:p>
    <w:p w14:paraId="573DB220">
      <w:pPr>
        <w:spacing w:line="400" w:lineRule="exact"/>
        <w:ind w:firstLine="315" w:firstLineChars="150"/>
        <w:rPr>
          <w:color w:val="auto"/>
          <w:highlight w:val="none"/>
        </w:rPr>
      </w:pPr>
      <w:r>
        <w:rPr>
          <w:color w:val="auto"/>
          <w:highlight w:val="none"/>
        </w:rPr>
        <w:t>（1）资质要求：见投标人须知前附表；</w:t>
      </w:r>
    </w:p>
    <w:p w14:paraId="78D7C290">
      <w:pPr>
        <w:spacing w:line="400" w:lineRule="exact"/>
        <w:ind w:firstLine="315" w:firstLineChars="150"/>
        <w:rPr>
          <w:color w:val="auto"/>
          <w:highlight w:val="none"/>
        </w:rPr>
      </w:pPr>
      <w:r>
        <w:rPr>
          <w:color w:val="auto"/>
          <w:highlight w:val="none"/>
        </w:rPr>
        <w:t>（2）财务要求：见投标人须知前附表（如有）；</w:t>
      </w:r>
    </w:p>
    <w:p w14:paraId="0E7BFD92">
      <w:pPr>
        <w:spacing w:line="400" w:lineRule="exact"/>
        <w:ind w:firstLine="315" w:firstLineChars="150"/>
        <w:rPr>
          <w:color w:val="auto"/>
          <w:highlight w:val="none"/>
        </w:rPr>
      </w:pPr>
      <w:r>
        <w:rPr>
          <w:color w:val="auto"/>
          <w:highlight w:val="none"/>
        </w:rPr>
        <w:t>（3）业绩要求：见投标人须知前附表（如有）；</w:t>
      </w:r>
    </w:p>
    <w:p w14:paraId="471267F6">
      <w:pPr>
        <w:spacing w:line="400" w:lineRule="exact"/>
        <w:ind w:firstLine="315" w:firstLineChars="150"/>
        <w:rPr>
          <w:color w:val="auto"/>
          <w:highlight w:val="none"/>
        </w:rPr>
      </w:pPr>
      <w:r>
        <w:rPr>
          <w:color w:val="auto"/>
          <w:highlight w:val="none"/>
        </w:rPr>
        <w:t>（4）信誉要求：见投标人须知前附表；</w:t>
      </w:r>
    </w:p>
    <w:p w14:paraId="64435311">
      <w:pPr>
        <w:spacing w:line="400" w:lineRule="exact"/>
        <w:ind w:firstLine="315" w:firstLineChars="150"/>
        <w:rPr>
          <w:color w:val="auto"/>
          <w:highlight w:val="none"/>
        </w:rPr>
      </w:pPr>
      <w:r>
        <w:rPr>
          <w:color w:val="auto"/>
          <w:highlight w:val="none"/>
        </w:rPr>
        <w:t>（5）项目经理资格要求：应当具备工程设计类或者工程施工类注册执业资格，具体要求见投标人须知前附表；</w:t>
      </w:r>
    </w:p>
    <w:p w14:paraId="7A1E529F">
      <w:pPr>
        <w:spacing w:line="400" w:lineRule="exact"/>
        <w:ind w:firstLine="315" w:firstLineChars="150"/>
        <w:rPr>
          <w:color w:val="auto"/>
          <w:highlight w:val="none"/>
        </w:rPr>
      </w:pPr>
      <w:r>
        <w:rPr>
          <w:color w:val="auto"/>
          <w:highlight w:val="none"/>
        </w:rPr>
        <w:t>（6）施工负责人资格要求：应当具备工程施工类注册执业资格，具体要求见投标人须知前附表；</w:t>
      </w:r>
    </w:p>
    <w:p w14:paraId="5346AD9B">
      <w:pPr>
        <w:spacing w:line="400" w:lineRule="exact"/>
        <w:ind w:firstLine="315" w:firstLineChars="150"/>
        <w:rPr>
          <w:color w:val="auto"/>
          <w:highlight w:val="none"/>
        </w:rPr>
      </w:pPr>
      <w:r>
        <w:rPr>
          <w:color w:val="auto"/>
          <w:highlight w:val="none"/>
        </w:rPr>
        <w:t>（7）设计负责人资格要求：应当具备工程设计类注册执业资格，具体要求见投标人须知前附表；</w:t>
      </w:r>
    </w:p>
    <w:p w14:paraId="5D30A608">
      <w:pPr>
        <w:spacing w:line="400" w:lineRule="exact"/>
        <w:ind w:firstLine="315" w:firstLineChars="150"/>
        <w:rPr>
          <w:color w:val="auto"/>
          <w:highlight w:val="none"/>
        </w:rPr>
      </w:pPr>
      <w:r>
        <w:rPr>
          <w:color w:val="auto"/>
          <w:highlight w:val="none"/>
        </w:rPr>
        <w:t>（8）施工机械设备要求：见投标人须知前附表；</w:t>
      </w:r>
    </w:p>
    <w:p w14:paraId="550D3EE2">
      <w:pPr>
        <w:spacing w:line="400" w:lineRule="exact"/>
        <w:ind w:firstLine="315" w:firstLineChars="150"/>
        <w:rPr>
          <w:color w:val="auto"/>
          <w:highlight w:val="none"/>
        </w:rPr>
      </w:pPr>
      <w:r>
        <w:rPr>
          <w:color w:val="auto"/>
          <w:highlight w:val="none"/>
        </w:rPr>
        <w:t>（9）项目管理机构主要人员要求：见投标人须知前附表；</w:t>
      </w:r>
    </w:p>
    <w:p w14:paraId="01E443CE">
      <w:pPr>
        <w:spacing w:line="400" w:lineRule="exact"/>
        <w:ind w:firstLine="315" w:firstLineChars="150"/>
        <w:rPr>
          <w:color w:val="auto"/>
          <w:highlight w:val="none"/>
        </w:rPr>
      </w:pPr>
      <w:r>
        <w:rPr>
          <w:color w:val="auto"/>
          <w:highlight w:val="none"/>
        </w:rPr>
        <w:t>（10）其他要求：见投标人须知前附表。</w:t>
      </w:r>
    </w:p>
    <w:p w14:paraId="06A98017">
      <w:pPr>
        <w:spacing w:line="400" w:lineRule="exact"/>
        <w:ind w:firstLine="420" w:firstLineChars="200"/>
        <w:rPr>
          <w:color w:val="auto"/>
          <w:highlight w:val="none"/>
        </w:rPr>
      </w:pPr>
      <w:r>
        <w:rPr>
          <w:color w:val="auto"/>
          <w:highlight w:val="none"/>
        </w:rPr>
        <w:t xml:space="preserve">1.4.2 投标人须知前附表规定接受联合体投标的，除应符合本章第1.4.1项和投标人须知前附表的要求外，还应遵守以下规定： </w:t>
      </w:r>
    </w:p>
    <w:p w14:paraId="1C5EF555">
      <w:pPr>
        <w:spacing w:line="400" w:lineRule="exact"/>
        <w:ind w:firstLine="315" w:firstLineChars="150"/>
        <w:rPr>
          <w:color w:val="auto"/>
          <w:highlight w:val="none"/>
        </w:rPr>
      </w:pPr>
      <w:r>
        <w:rPr>
          <w:color w:val="auto"/>
          <w:highlight w:val="none"/>
        </w:rPr>
        <w:t>（1）联合体各方应按招标文件提供的格式签订联合体协议书，明确联合体牵头人和各方权利义务；</w:t>
      </w:r>
    </w:p>
    <w:p w14:paraId="5EA88CE4">
      <w:pPr>
        <w:spacing w:line="400" w:lineRule="exact"/>
        <w:ind w:firstLine="315" w:firstLineChars="150"/>
        <w:rPr>
          <w:color w:val="auto"/>
          <w:highlight w:val="none"/>
        </w:rPr>
      </w:pPr>
      <w:r>
        <w:rPr>
          <w:color w:val="auto"/>
          <w:highlight w:val="none"/>
        </w:rPr>
        <w:t>（2）由同一专业的单位组成的联合体，按照资质等级较低的单位确定资质等级；</w:t>
      </w:r>
    </w:p>
    <w:p w14:paraId="63F95221">
      <w:pPr>
        <w:spacing w:line="400" w:lineRule="exact"/>
        <w:ind w:firstLine="315" w:firstLineChars="150"/>
        <w:rPr>
          <w:color w:val="auto"/>
          <w:highlight w:val="none"/>
        </w:rPr>
      </w:pPr>
      <w:r>
        <w:rPr>
          <w:color w:val="auto"/>
          <w:highlight w:val="none"/>
        </w:rPr>
        <w:t>（3）联合体各方不得再以自己名义单独或参加其他联合体在本招标项目中投标</w:t>
      </w:r>
      <w:bookmarkStart w:id="101" w:name="_Hlk165796926"/>
      <w:r>
        <w:rPr>
          <w:color w:val="auto"/>
          <w:highlight w:val="none"/>
        </w:rPr>
        <w:t>，否则各相关投标均无效。</w:t>
      </w:r>
      <w:bookmarkEnd w:id="101"/>
    </w:p>
    <w:p w14:paraId="26C286F4">
      <w:pPr>
        <w:spacing w:line="400" w:lineRule="exact"/>
        <w:ind w:firstLine="420" w:firstLineChars="200"/>
        <w:rPr>
          <w:color w:val="auto"/>
          <w:highlight w:val="none"/>
        </w:rPr>
      </w:pPr>
      <w:r>
        <w:rPr>
          <w:color w:val="auto"/>
          <w:highlight w:val="none"/>
        </w:rPr>
        <w:t>1.4.3 投标人不得存在下列情形之一：</w:t>
      </w:r>
    </w:p>
    <w:p w14:paraId="49A5FCCB">
      <w:pPr>
        <w:spacing w:line="400" w:lineRule="exact"/>
        <w:ind w:firstLine="315" w:firstLineChars="150"/>
        <w:rPr>
          <w:color w:val="auto"/>
          <w:highlight w:val="none"/>
        </w:rPr>
      </w:pPr>
      <w:bookmarkStart w:id="102" w:name="_Hlk165797020"/>
      <w:r>
        <w:rPr>
          <w:color w:val="auto"/>
          <w:highlight w:val="none"/>
        </w:rPr>
        <w:t>（1）为招标人不具有独立法人资格的附属机构（单位）；</w:t>
      </w:r>
    </w:p>
    <w:p w14:paraId="06CBBBC6">
      <w:pPr>
        <w:spacing w:line="400" w:lineRule="exact"/>
        <w:ind w:firstLine="315" w:firstLineChars="150"/>
        <w:rPr>
          <w:color w:val="auto"/>
          <w:highlight w:val="none"/>
        </w:rPr>
      </w:pPr>
      <w:r>
        <w:rPr>
          <w:color w:val="auto"/>
          <w:highlight w:val="none"/>
        </w:rPr>
        <w:t>（2）为本招标项目前期准备提供设计或咨询服务的（招标文件另有规定的情形除外）；</w:t>
      </w:r>
    </w:p>
    <w:p w14:paraId="5988DACF">
      <w:pPr>
        <w:spacing w:line="400" w:lineRule="exact"/>
        <w:ind w:firstLine="315" w:firstLineChars="150"/>
        <w:rPr>
          <w:color w:val="auto"/>
          <w:highlight w:val="none"/>
        </w:rPr>
      </w:pPr>
      <w:r>
        <w:rPr>
          <w:color w:val="auto"/>
          <w:highlight w:val="none"/>
        </w:rPr>
        <w:t>（3）为本招标项目的监理人；</w:t>
      </w:r>
    </w:p>
    <w:p w14:paraId="1E831B0A">
      <w:pPr>
        <w:spacing w:line="400" w:lineRule="exact"/>
        <w:ind w:firstLine="315" w:firstLineChars="150"/>
        <w:rPr>
          <w:color w:val="auto"/>
          <w:highlight w:val="none"/>
        </w:rPr>
      </w:pPr>
      <w:r>
        <w:rPr>
          <w:color w:val="auto"/>
          <w:highlight w:val="none"/>
        </w:rPr>
        <w:t xml:space="preserve">（4）为本招标项目的代建人； </w:t>
      </w:r>
    </w:p>
    <w:p w14:paraId="5728878D">
      <w:pPr>
        <w:spacing w:line="400" w:lineRule="exact"/>
        <w:ind w:firstLine="315" w:firstLineChars="150"/>
        <w:rPr>
          <w:color w:val="auto"/>
          <w:highlight w:val="none"/>
        </w:rPr>
      </w:pPr>
      <w:r>
        <w:rPr>
          <w:color w:val="auto"/>
          <w:highlight w:val="none"/>
        </w:rPr>
        <w:t>（5）为本招标项目提供招标代理服务的；</w:t>
      </w:r>
    </w:p>
    <w:p w14:paraId="082DFA6A">
      <w:pPr>
        <w:spacing w:line="400" w:lineRule="exact"/>
        <w:ind w:firstLine="315" w:firstLineChars="150"/>
        <w:rPr>
          <w:color w:val="auto"/>
          <w:highlight w:val="none"/>
        </w:rPr>
      </w:pPr>
      <w:r>
        <w:rPr>
          <w:color w:val="auto"/>
          <w:highlight w:val="none"/>
        </w:rPr>
        <w:t xml:space="preserve">（6）与本招标项目的监理人或代建人或招标代理机构同为一个法定代表人或单位负责人； </w:t>
      </w:r>
    </w:p>
    <w:p w14:paraId="6D065B4A">
      <w:pPr>
        <w:spacing w:line="400" w:lineRule="exact"/>
        <w:ind w:firstLine="315" w:firstLineChars="150"/>
        <w:rPr>
          <w:color w:val="auto"/>
          <w:highlight w:val="none"/>
        </w:rPr>
      </w:pPr>
      <w:r>
        <w:rPr>
          <w:color w:val="auto"/>
          <w:highlight w:val="none"/>
        </w:rPr>
        <w:t>（7）与本招标项目的监理人或代建人或招标代理机构相互控股或参股的；</w:t>
      </w:r>
    </w:p>
    <w:p w14:paraId="5360B2E6">
      <w:pPr>
        <w:spacing w:line="400" w:lineRule="exact"/>
        <w:ind w:firstLine="315" w:firstLineChars="150"/>
        <w:rPr>
          <w:color w:val="auto"/>
          <w:highlight w:val="none"/>
        </w:rPr>
      </w:pPr>
      <w:r>
        <w:rPr>
          <w:color w:val="auto"/>
          <w:highlight w:val="none"/>
        </w:rPr>
        <w:t>（8）与本招标项目的监理人或代建人或招标代理机构法定代表人或单位负责人相互任职或工作；</w:t>
      </w:r>
    </w:p>
    <w:p w14:paraId="5C16537C">
      <w:pPr>
        <w:spacing w:line="400" w:lineRule="exact"/>
        <w:ind w:firstLine="315" w:firstLineChars="150"/>
        <w:rPr>
          <w:color w:val="auto"/>
          <w:highlight w:val="none"/>
        </w:rPr>
      </w:pPr>
      <w:r>
        <w:rPr>
          <w:color w:val="auto"/>
          <w:highlight w:val="none"/>
        </w:rPr>
        <w:t>（9）单位负责人为同一人或者存在控股、管理关系的不同单位，同时参加本标段投标的；</w:t>
      </w:r>
    </w:p>
    <w:p w14:paraId="07EA2FB4">
      <w:pPr>
        <w:spacing w:line="400" w:lineRule="exact"/>
        <w:ind w:firstLine="315" w:firstLineChars="150"/>
        <w:rPr>
          <w:color w:val="auto"/>
          <w:highlight w:val="none"/>
        </w:rPr>
      </w:pPr>
      <w:r>
        <w:rPr>
          <w:color w:val="auto"/>
          <w:highlight w:val="none"/>
        </w:rPr>
        <w:t xml:space="preserve">（10）被依法暂停或取消投标资格（指被本招标项目所在地县级及以上住房城乡建设主管部门或其他行政主管部门暂停或取消投标资格或禁止进入该区域建设市场且处于有效期内）； </w:t>
      </w:r>
    </w:p>
    <w:p w14:paraId="457491B8">
      <w:pPr>
        <w:spacing w:line="400" w:lineRule="exact"/>
        <w:ind w:firstLine="315" w:firstLineChars="150"/>
        <w:rPr>
          <w:color w:val="auto"/>
          <w:highlight w:val="none"/>
        </w:rPr>
      </w:pPr>
      <w:r>
        <w:rPr>
          <w:color w:val="auto"/>
          <w:highlight w:val="none"/>
        </w:rPr>
        <w:t>（11）被责令停产停业、暂扣或者吊销许可证、暂扣或者吊销执照；</w:t>
      </w:r>
    </w:p>
    <w:p w14:paraId="3394CD3C">
      <w:pPr>
        <w:spacing w:line="400" w:lineRule="exact"/>
        <w:ind w:firstLine="315" w:firstLineChars="150"/>
        <w:rPr>
          <w:color w:val="auto"/>
          <w:highlight w:val="none"/>
        </w:rPr>
      </w:pPr>
      <w:r>
        <w:rPr>
          <w:color w:val="auto"/>
          <w:highlight w:val="none"/>
        </w:rPr>
        <w:t>（12）进入清算程序，或被宣告破产，或其他丧失履约能力的情形；</w:t>
      </w:r>
    </w:p>
    <w:p w14:paraId="5CAFF4FF">
      <w:pPr>
        <w:spacing w:line="400" w:lineRule="exact"/>
        <w:ind w:firstLine="315" w:firstLineChars="150"/>
        <w:rPr>
          <w:color w:val="auto"/>
          <w:highlight w:val="none"/>
        </w:rPr>
      </w:pPr>
      <w:r>
        <w:rPr>
          <w:color w:val="auto"/>
          <w:highlight w:val="none"/>
        </w:rPr>
        <w:t>（13）在最近三年内有骗取中标或严重违约或重大工程质量问题的（以相关行业主管部门的行政处罚决定或司法机关出具的有关法律文书为准）；</w:t>
      </w:r>
    </w:p>
    <w:p w14:paraId="2A89C087">
      <w:pPr>
        <w:spacing w:line="400" w:lineRule="exact"/>
        <w:ind w:firstLine="315" w:firstLineChars="150"/>
        <w:rPr>
          <w:color w:val="auto"/>
          <w:highlight w:val="none"/>
        </w:rPr>
      </w:pPr>
      <w:r>
        <w:rPr>
          <w:color w:val="auto"/>
          <w:highlight w:val="none"/>
        </w:rPr>
        <w:t>（14）在“国家企业信用信息公示系统”（www.gsxt.gov.cn）中被列入严重违法失信企业名单；</w:t>
      </w:r>
    </w:p>
    <w:p w14:paraId="21DB3BEA">
      <w:pPr>
        <w:spacing w:line="400" w:lineRule="exact"/>
        <w:ind w:firstLine="315" w:firstLineChars="150"/>
        <w:rPr>
          <w:color w:val="auto"/>
          <w:highlight w:val="none"/>
        </w:rPr>
      </w:pPr>
      <w:r>
        <w:rPr>
          <w:color w:val="auto"/>
          <w:highlight w:val="none"/>
        </w:rPr>
        <w:t>（15）在“信用中国”网站（www.creditchina.gov.cn）或“中国执行信息公开网”（http://zxgk.court.gov.cn/shixin/）被列入失信被执行人名单；</w:t>
      </w:r>
    </w:p>
    <w:p w14:paraId="0C3981A3">
      <w:pPr>
        <w:spacing w:line="400" w:lineRule="exact"/>
        <w:ind w:firstLine="315" w:firstLineChars="150"/>
        <w:rPr>
          <w:color w:val="auto"/>
          <w:highlight w:val="none"/>
        </w:rPr>
      </w:pPr>
      <w:r>
        <w:rPr>
          <w:color w:val="auto"/>
          <w:highlight w:val="none"/>
        </w:rPr>
        <w:t>（16）在辽宁省建设工程招投标监督平台-辽宁建设工程信息网上被列入不良行为记录且在公布期内的；</w:t>
      </w:r>
    </w:p>
    <w:p w14:paraId="4EAC1154">
      <w:pPr>
        <w:spacing w:line="400" w:lineRule="exact"/>
        <w:ind w:firstLine="315" w:firstLineChars="150"/>
        <w:rPr>
          <w:color w:val="auto"/>
          <w:highlight w:val="none"/>
        </w:rPr>
      </w:pPr>
      <w:r>
        <w:rPr>
          <w:color w:val="auto"/>
          <w:highlight w:val="none"/>
        </w:rPr>
        <w:t>（17）法律法规规定的其他情形。</w:t>
      </w:r>
    </w:p>
    <w:bookmarkEnd w:id="102"/>
    <w:p w14:paraId="3B14FDCE">
      <w:pPr>
        <w:pStyle w:val="32"/>
        <w:spacing w:line="360" w:lineRule="exact"/>
        <w:ind w:firstLine="118"/>
        <w:rPr>
          <w:rFonts w:cs="Times New Roman"/>
          <w:color w:val="auto"/>
          <w:highlight w:val="none"/>
        </w:rPr>
      </w:pPr>
      <w:bookmarkStart w:id="103" w:name="_Toc152045535"/>
      <w:bookmarkStart w:id="104" w:name="_Toc152042311"/>
      <w:bookmarkStart w:id="105" w:name="_Toc247527559"/>
      <w:bookmarkStart w:id="106" w:name="_Toc247513958"/>
      <w:bookmarkStart w:id="107" w:name="_Toc144974503"/>
      <w:bookmarkStart w:id="108" w:name="_Toc167542383"/>
      <w:bookmarkStart w:id="109" w:name="_Toc145081416"/>
      <w:bookmarkStart w:id="110" w:name="_Toc256000011"/>
      <w:r>
        <w:rPr>
          <w:rFonts w:cs="Times New Roman"/>
          <w:color w:val="auto"/>
          <w:highlight w:val="none"/>
        </w:rPr>
        <w:t>1.5 费用承担</w:t>
      </w:r>
      <w:bookmarkEnd w:id="103"/>
      <w:bookmarkEnd w:id="104"/>
      <w:bookmarkEnd w:id="105"/>
      <w:bookmarkEnd w:id="106"/>
      <w:bookmarkEnd w:id="107"/>
      <w:r>
        <w:rPr>
          <w:rFonts w:cs="Times New Roman"/>
          <w:color w:val="auto"/>
          <w:highlight w:val="none"/>
        </w:rPr>
        <w:t>和设计成果补偿</w:t>
      </w:r>
      <w:bookmarkEnd w:id="108"/>
      <w:bookmarkEnd w:id="109"/>
      <w:bookmarkEnd w:id="110"/>
    </w:p>
    <w:p w14:paraId="381C7803">
      <w:pPr>
        <w:spacing w:line="400" w:lineRule="exact"/>
        <w:ind w:firstLine="420" w:firstLineChars="200"/>
        <w:rPr>
          <w:color w:val="auto"/>
          <w:highlight w:val="none"/>
        </w:rPr>
      </w:pPr>
      <w:r>
        <w:rPr>
          <w:color w:val="auto"/>
          <w:highlight w:val="none"/>
        </w:rPr>
        <w:t>1.5.1 投标人准备和参加投标活动发生的费用自理。</w:t>
      </w:r>
    </w:p>
    <w:p w14:paraId="2C7DBB6B">
      <w:pPr>
        <w:spacing w:line="400" w:lineRule="exact"/>
        <w:ind w:firstLine="420" w:firstLineChars="200"/>
        <w:rPr>
          <w:color w:val="auto"/>
          <w:highlight w:val="none"/>
        </w:rPr>
      </w:pPr>
      <w:r>
        <w:rPr>
          <w:color w:val="auto"/>
          <w:highlight w:val="none"/>
        </w:rPr>
        <w:t>1.5.2 招标人对符合招标文件规定的未中标人的设计成果进行补偿的，按投标人须知前附表规定给予补偿，并有权免费使用未中标人设计成果。</w:t>
      </w:r>
    </w:p>
    <w:p w14:paraId="3CBC94ED">
      <w:pPr>
        <w:pStyle w:val="32"/>
        <w:spacing w:line="360" w:lineRule="exact"/>
        <w:ind w:firstLine="118"/>
        <w:rPr>
          <w:rFonts w:cs="Times New Roman"/>
          <w:color w:val="auto"/>
          <w:highlight w:val="none"/>
        </w:rPr>
      </w:pPr>
      <w:bookmarkStart w:id="111" w:name="_Toc167542384"/>
      <w:bookmarkStart w:id="112" w:name="_Toc144974504"/>
      <w:bookmarkStart w:id="113" w:name="_Toc145081417"/>
      <w:bookmarkStart w:id="114" w:name="_Toc152045536"/>
      <w:bookmarkStart w:id="115" w:name="_Toc152042312"/>
      <w:bookmarkStart w:id="116" w:name="_Toc247527560"/>
      <w:bookmarkStart w:id="117" w:name="_Toc247513959"/>
      <w:bookmarkStart w:id="118" w:name="_Toc256000012"/>
      <w:r>
        <w:rPr>
          <w:rFonts w:cs="Times New Roman"/>
          <w:color w:val="auto"/>
          <w:highlight w:val="none"/>
        </w:rPr>
        <w:t>1.6 保密</w:t>
      </w:r>
      <w:bookmarkEnd w:id="111"/>
      <w:bookmarkEnd w:id="112"/>
      <w:bookmarkEnd w:id="113"/>
      <w:bookmarkEnd w:id="114"/>
      <w:bookmarkEnd w:id="115"/>
      <w:bookmarkEnd w:id="116"/>
      <w:bookmarkEnd w:id="117"/>
      <w:bookmarkEnd w:id="118"/>
    </w:p>
    <w:p w14:paraId="6B525237">
      <w:pPr>
        <w:spacing w:line="400" w:lineRule="exact"/>
        <w:ind w:firstLine="420" w:firstLineChars="200"/>
        <w:rPr>
          <w:color w:val="auto"/>
          <w:highlight w:val="none"/>
        </w:rPr>
      </w:pPr>
      <w:r>
        <w:rPr>
          <w:color w:val="auto"/>
          <w:highlight w:val="none"/>
        </w:rPr>
        <w:t xml:space="preserve">参与招标投标活动的各方应对招标文件和投标文件中的商业和技术等秘密保密，否则应承担相应的法律责任。 </w:t>
      </w:r>
    </w:p>
    <w:p w14:paraId="7EC53F3A">
      <w:pPr>
        <w:pStyle w:val="32"/>
        <w:spacing w:line="360" w:lineRule="exact"/>
        <w:ind w:firstLine="118"/>
        <w:rPr>
          <w:rFonts w:cs="Times New Roman"/>
          <w:color w:val="auto"/>
          <w:highlight w:val="none"/>
        </w:rPr>
      </w:pPr>
      <w:bookmarkStart w:id="119" w:name="_Toc144974505"/>
      <w:bookmarkStart w:id="120" w:name="_Toc167542385"/>
      <w:bookmarkStart w:id="121" w:name="_Toc152045537"/>
      <w:bookmarkStart w:id="122" w:name="_Toc256000013"/>
      <w:bookmarkStart w:id="123" w:name="_Toc152042313"/>
      <w:bookmarkStart w:id="124" w:name="_Toc247527561"/>
      <w:bookmarkStart w:id="125" w:name="_Toc145081418"/>
      <w:bookmarkStart w:id="126" w:name="_Toc247513960"/>
      <w:r>
        <w:rPr>
          <w:rFonts w:cs="Times New Roman"/>
          <w:color w:val="auto"/>
          <w:highlight w:val="none"/>
        </w:rPr>
        <w:t>1.7 语言</w:t>
      </w:r>
      <w:bookmarkEnd w:id="119"/>
      <w:r>
        <w:rPr>
          <w:rFonts w:cs="Times New Roman"/>
          <w:color w:val="auto"/>
          <w:highlight w:val="none"/>
        </w:rPr>
        <w:t>文字</w:t>
      </w:r>
      <w:bookmarkEnd w:id="120"/>
      <w:bookmarkEnd w:id="121"/>
      <w:bookmarkEnd w:id="122"/>
      <w:bookmarkEnd w:id="123"/>
      <w:bookmarkEnd w:id="124"/>
      <w:bookmarkEnd w:id="125"/>
      <w:bookmarkEnd w:id="126"/>
    </w:p>
    <w:p w14:paraId="1BA86D6F">
      <w:pPr>
        <w:spacing w:line="400" w:lineRule="exact"/>
        <w:ind w:firstLine="420" w:firstLineChars="200"/>
        <w:rPr>
          <w:color w:val="auto"/>
          <w:highlight w:val="none"/>
        </w:rPr>
      </w:pPr>
      <w:r>
        <w:rPr>
          <w:color w:val="auto"/>
          <w:highlight w:val="none"/>
        </w:rPr>
        <w:t>招标投标文件使用的语言文字为中文。专用术语使用外文的，应附有中文注释。</w:t>
      </w:r>
    </w:p>
    <w:p w14:paraId="4E4639E4">
      <w:pPr>
        <w:pStyle w:val="32"/>
        <w:spacing w:line="360" w:lineRule="exact"/>
        <w:ind w:firstLine="118"/>
        <w:rPr>
          <w:rFonts w:cs="Times New Roman"/>
          <w:color w:val="auto"/>
          <w:highlight w:val="none"/>
        </w:rPr>
      </w:pPr>
      <w:bookmarkStart w:id="127" w:name="_Toc144974506"/>
      <w:bookmarkStart w:id="128" w:name="_Toc167542386"/>
      <w:bookmarkStart w:id="129" w:name="_Toc152045538"/>
      <w:bookmarkStart w:id="130" w:name="_Toc145081419"/>
      <w:bookmarkStart w:id="131" w:name="_Toc256000014"/>
      <w:bookmarkStart w:id="132" w:name="_Toc247527562"/>
      <w:bookmarkStart w:id="133" w:name="_Toc152042314"/>
      <w:bookmarkStart w:id="134" w:name="_Toc247513961"/>
      <w:r>
        <w:rPr>
          <w:rFonts w:cs="Times New Roman"/>
          <w:color w:val="auto"/>
          <w:highlight w:val="none"/>
        </w:rPr>
        <w:t>1.8 计量单位</w:t>
      </w:r>
      <w:bookmarkEnd w:id="127"/>
      <w:bookmarkEnd w:id="128"/>
      <w:bookmarkEnd w:id="129"/>
      <w:bookmarkEnd w:id="130"/>
      <w:bookmarkEnd w:id="131"/>
      <w:bookmarkEnd w:id="132"/>
      <w:bookmarkEnd w:id="133"/>
      <w:bookmarkEnd w:id="134"/>
    </w:p>
    <w:p w14:paraId="7DE83861">
      <w:pPr>
        <w:spacing w:line="400" w:lineRule="exact"/>
        <w:ind w:firstLine="420" w:firstLineChars="200"/>
        <w:rPr>
          <w:color w:val="auto"/>
          <w:highlight w:val="none"/>
        </w:rPr>
      </w:pPr>
      <w:r>
        <w:rPr>
          <w:color w:val="auto"/>
          <w:highlight w:val="none"/>
        </w:rPr>
        <w:t>所有计量均采用中华人民共和国法定计量单位。</w:t>
      </w:r>
    </w:p>
    <w:p w14:paraId="03EC6B5B">
      <w:pPr>
        <w:pStyle w:val="32"/>
        <w:spacing w:line="360" w:lineRule="exact"/>
        <w:ind w:firstLine="118"/>
        <w:rPr>
          <w:rFonts w:cs="Times New Roman"/>
          <w:color w:val="auto"/>
          <w:highlight w:val="none"/>
        </w:rPr>
      </w:pPr>
      <w:bookmarkStart w:id="135" w:name="_Toc152045539"/>
      <w:bookmarkStart w:id="136" w:name="_Toc152042315"/>
      <w:bookmarkStart w:id="137" w:name="_Toc144974507"/>
      <w:bookmarkStart w:id="138" w:name="_Toc167542387"/>
      <w:bookmarkStart w:id="139" w:name="_Toc247513962"/>
      <w:bookmarkStart w:id="140" w:name="_Toc256000015"/>
      <w:bookmarkStart w:id="141" w:name="_Toc145081420"/>
      <w:bookmarkStart w:id="142" w:name="_Toc247527563"/>
      <w:r>
        <w:rPr>
          <w:rFonts w:cs="Times New Roman"/>
          <w:color w:val="auto"/>
          <w:highlight w:val="none"/>
        </w:rPr>
        <w:t>1.9 踏勘现场</w:t>
      </w:r>
      <w:bookmarkEnd w:id="135"/>
      <w:bookmarkEnd w:id="136"/>
      <w:bookmarkEnd w:id="137"/>
      <w:bookmarkEnd w:id="138"/>
      <w:bookmarkEnd w:id="139"/>
      <w:bookmarkEnd w:id="140"/>
      <w:bookmarkEnd w:id="141"/>
      <w:bookmarkEnd w:id="142"/>
    </w:p>
    <w:p w14:paraId="40169BE9">
      <w:pPr>
        <w:spacing w:line="400" w:lineRule="exact"/>
        <w:ind w:firstLine="420" w:firstLineChars="200"/>
        <w:rPr>
          <w:color w:val="auto"/>
          <w:highlight w:val="none"/>
        </w:rPr>
      </w:pPr>
      <w:r>
        <w:rPr>
          <w:color w:val="auto"/>
          <w:highlight w:val="none"/>
        </w:rPr>
        <w:t xml:space="preserve">1.9.1 投标人须知前附表规定组织踏勘现场的，招标人按投标人须知前附表规定的时间、地点组织投标人踏勘项目现场。 </w:t>
      </w:r>
    </w:p>
    <w:p w14:paraId="2FCE3779">
      <w:pPr>
        <w:spacing w:line="400" w:lineRule="exact"/>
        <w:ind w:firstLine="420" w:firstLineChars="200"/>
        <w:rPr>
          <w:color w:val="auto"/>
          <w:highlight w:val="none"/>
        </w:rPr>
      </w:pPr>
      <w:r>
        <w:rPr>
          <w:color w:val="auto"/>
          <w:highlight w:val="none"/>
        </w:rPr>
        <w:t>1.9.2 投标人踏勘现场发生的费用自理。</w:t>
      </w:r>
    </w:p>
    <w:p w14:paraId="77627E20">
      <w:pPr>
        <w:spacing w:line="400" w:lineRule="exact"/>
        <w:ind w:firstLine="420" w:firstLineChars="200"/>
        <w:rPr>
          <w:color w:val="auto"/>
          <w:highlight w:val="none"/>
        </w:rPr>
      </w:pPr>
      <w:r>
        <w:rPr>
          <w:color w:val="auto"/>
          <w:highlight w:val="none"/>
        </w:rPr>
        <w:t>1.9.3 除招标人的原因外，投标人自行负责在踏勘现场中所发生的人员伤亡和财产损失。</w:t>
      </w:r>
    </w:p>
    <w:p w14:paraId="22D96314">
      <w:pPr>
        <w:spacing w:line="400" w:lineRule="exact"/>
        <w:ind w:firstLine="420" w:firstLineChars="200"/>
        <w:rPr>
          <w:color w:val="auto"/>
          <w:highlight w:val="none"/>
        </w:rPr>
      </w:pPr>
      <w:r>
        <w:rPr>
          <w:color w:val="auto"/>
          <w:highlight w:val="none"/>
        </w:rPr>
        <w:t>1.9.4 招标人在踏勘现场中介绍的工程场地和相关的周边环境情况，供投标人在编制投标文件时参考，招标人不对投标人据此作出的判断和决策负责。</w:t>
      </w:r>
    </w:p>
    <w:p w14:paraId="6EC17CC5">
      <w:pPr>
        <w:pStyle w:val="32"/>
        <w:spacing w:line="360" w:lineRule="exact"/>
        <w:ind w:firstLine="118"/>
        <w:rPr>
          <w:rFonts w:cs="Times New Roman"/>
          <w:color w:val="auto"/>
          <w:highlight w:val="none"/>
        </w:rPr>
      </w:pPr>
      <w:bookmarkStart w:id="143" w:name="_Toc247513963"/>
      <w:bookmarkStart w:id="144" w:name="_Toc144974508"/>
      <w:bookmarkStart w:id="145" w:name="_Toc256000016"/>
      <w:bookmarkStart w:id="146" w:name="_Toc152042316"/>
      <w:bookmarkStart w:id="147" w:name="_Toc145081421"/>
      <w:bookmarkStart w:id="148" w:name="_Toc167542388"/>
      <w:bookmarkStart w:id="149" w:name="_Toc152045540"/>
      <w:bookmarkStart w:id="150" w:name="_Toc247527564"/>
      <w:r>
        <w:rPr>
          <w:rFonts w:cs="Times New Roman"/>
          <w:color w:val="auto"/>
          <w:highlight w:val="none"/>
        </w:rPr>
        <w:t>1.10 投标预备会</w:t>
      </w:r>
      <w:bookmarkEnd w:id="143"/>
      <w:bookmarkEnd w:id="144"/>
      <w:bookmarkEnd w:id="145"/>
      <w:bookmarkEnd w:id="146"/>
      <w:bookmarkEnd w:id="147"/>
      <w:bookmarkEnd w:id="148"/>
      <w:bookmarkEnd w:id="149"/>
      <w:bookmarkEnd w:id="150"/>
    </w:p>
    <w:p w14:paraId="635583BC">
      <w:pPr>
        <w:spacing w:line="400" w:lineRule="exact"/>
        <w:ind w:firstLine="420" w:firstLineChars="200"/>
        <w:rPr>
          <w:color w:val="auto"/>
          <w:highlight w:val="none"/>
        </w:rPr>
      </w:pPr>
      <w:r>
        <w:rPr>
          <w:color w:val="auto"/>
          <w:highlight w:val="none"/>
        </w:rPr>
        <w:t>1.10.1 投标人须知前附表规定召开投标预备会的，招标人按投标人须知前附表规定的时间和地点召开投标预备会，澄清投标人提出的问题。</w:t>
      </w:r>
    </w:p>
    <w:p w14:paraId="07CF7F26">
      <w:pPr>
        <w:spacing w:line="400" w:lineRule="exact"/>
        <w:ind w:firstLine="420" w:firstLineChars="200"/>
        <w:rPr>
          <w:color w:val="auto"/>
          <w:highlight w:val="none"/>
        </w:rPr>
      </w:pPr>
      <w:r>
        <w:rPr>
          <w:color w:val="auto"/>
          <w:highlight w:val="none"/>
        </w:rPr>
        <w:t>1.10.2 在投标人须知前附表规定的时间前，投标人应通过电子交易系统以书面形式将提出的问题送达招标人，以便招标人在会议期间澄清。</w:t>
      </w:r>
    </w:p>
    <w:p w14:paraId="2D46B4E0">
      <w:pPr>
        <w:spacing w:line="400" w:lineRule="exact"/>
        <w:ind w:firstLine="420" w:firstLineChars="200"/>
        <w:rPr>
          <w:color w:val="auto"/>
          <w:highlight w:val="none"/>
        </w:rPr>
      </w:pPr>
      <w:r>
        <w:rPr>
          <w:color w:val="auto"/>
          <w:highlight w:val="none"/>
        </w:rPr>
        <w:t>1.10.3 投标预备会后，招标人将对投标人所提问题的澄清，以投标人须知前附表规定的时间内以书面形式通过法定公告公示信息发布媒介、电子交易系统（投标盲盒工具）等渠道通知所有下载招标文件的投标人。该澄清内容为招标文件的组成部分。</w:t>
      </w:r>
    </w:p>
    <w:p w14:paraId="7B16984B">
      <w:pPr>
        <w:pStyle w:val="32"/>
        <w:spacing w:line="360" w:lineRule="exact"/>
        <w:ind w:firstLine="118"/>
        <w:rPr>
          <w:rFonts w:cs="Times New Roman"/>
          <w:color w:val="auto"/>
          <w:highlight w:val="none"/>
        </w:rPr>
      </w:pPr>
      <w:bookmarkStart w:id="151" w:name="_Toc247527565"/>
      <w:bookmarkStart w:id="152" w:name="_Toc152045541"/>
      <w:bookmarkStart w:id="153" w:name="_Toc152042317"/>
      <w:bookmarkStart w:id="154" w:name="_Toc247513964"/>
      <w:bookmarkStart w:id="155" w:name="_Toc256000017"/>
      <w:bookmarkStart w:id="156" w:name="_Toc144974509"/>
      <w:bookmarkStart w:id="157" w:name="_Toc145081422"/>
      <w:bookmarkStart w:id="158" w:name="_Toc167542389"/>
      <w:r>
        <w:rPr>
          <w:rFonts w:cs="Times New Roman"/>
          <w:color w:val="auto"/>
          <w:highlight w:val="none"/>
        </w:rPr>
        <w:t>1.11 分包</w:t>
      </w:r>
      <w:bookmarkEnd w:id="151"/>
      <w:bookmarkEnd w:id="152"/>
      <w:bookmarkEnd w:id="153"/>
      <w:bookmarkEnd w:id="154"/>
      <w:bookmarkEnd w:id="155"/>
      <w:bookmarkEnd w:id="156"/>
      <w:bookmarkEnd w:id="157"/>
      <w:bookmarkEnd w:id="158"/>
    </w:p>
    <w:p w14:paraId="4116E64B">
      <w:pPr>
        <w:spacing w:line="400" w:lineRule="exact"/>
        <w:ind w:firstLine="567" w:firstLineChars="270"/>
        <w:rPr>
          <w:color w:val="auto"/>
          <w:highlight w:val="none"/>
        </w:rPr>
      </w:pPr>
      <w:r>
        <w:rPr>
          <w:color w:val="auto"/>
          <w:highlight w:val="none"/>
        </w:rPr>
        <w:t>1.11.1 投标人须知前附表规定应当由分包人实施的非主体、非关键性工作，投标人应当按照第五章“发包人要求”的规定提供分包人</w:t>
      </w:r>
      <w:r>
        <w:rPr>
          <w:rFonts w:hint="eastAsia"/>
          <w:color w:val="auto"/>
          <w:highlight w:val="none"/>
          <w:lang w:val="en-US" w:eastAsia="zh-CN"/>
        </w:rPr>
        <w:t>候</w:t>
      </w:r>
      <w:r>
        <w:rPr>
          <w:color w:val="auto"/>
          <w:highlight w:val="none"/>
        </w:rPr>
        <w:t>选名单及其相应资料。</w:t>
      </w:r>
    </w:p>
    <w:p w14:paraId="700A4E67">
      <w:pPr>
        <w:spacing w:line="400" w:lineRule="exact"/>
        <w:ind w:firstLine="567" w:firstLineChars="270"/>
        <w:rPr>
          <w:color w:val="auto"/>
          <w:highlight w:val="none"/>
        </w:rPr>
      </w:pPr>
      <w:r>
        <w:rPr>
          <w:color w:val="auto"/>
          <w:highlight w:val="none"/>
        </w:rPr>
        <w:t>1.11.2 投标人拟在中标后将中标项目的部分非主体、非关键性工作进行分包的，应符合投标人须知前附表规定的分包内容、分包金额和资质要求等限制性条件。</w:t>
      </w:r>
    </w:p>
    <w:p w14:paraId="1A1CF92C">
      <w:pPr>
        <w:pStyle w:val="32"/>
        <w:spacing w:line="360" w:lineRule="exact"/>
        <w:ind w:firstLine="118"/>
        <w:rPr>
          <w:rFonts w:cs="Times New Roman"/>
          <w:color w:val="auto"/>
          <w:highlight w:val="none"/>
        </w:rPr>
      </w:pPr>
      <w:bookmarkStart w:id="159" w:name="_Toc247527566"/>
      <w:bookmarkStart w:id="160" w:name="_Toc256000018"/>
      <w:bookmarkStart w:id="161" w:name="_Toc167542390"/>
      <w:bookmarkStart w:id="162" w:name="_Toc145081423"/>
      <w:bookmarkStart w:id="163" w:name="_Toc247513965"/>
      <w:r>
        <w:rPr>
          <w:rFonts w:cs="Times New Roman"/>
          <w:color w:val="auto"/>
          <w:highlight w:val="none"/>
        </w:rPr>
        <w:t>1.12 偏离</w:t>
      </w:r>
      <w:bookmarkEnd w:id="159"/>
      <w:bookmarkEnd w:id="160"/>
      <w:bookmarkEnd w:id="161"/>
      <w:bookmarkEnd w:id="162"/>
      <w:bookmarkEnd w:id="163"/>
    </w:p>
    <w:p w14:paraId="29F84F35">
      <w:pPr>
        <w:spacing w:line="400" w:lineRule="exact"/>
        <w:ind w:firstLine="359" w:firstLineChars="171"/>
        <w:rPr>
          <w:color w:val="auto"/>
          <w:highlight w:val="none"/>
        </w:rPr>
      </w:pPr>
      <w:r>
        <w:rPr>
          <w:color w:val="auto"/>
          <w:highlight w:val="none"/>
        </w:rPr>
        <w:t>投标人须知前附表允许投标文件偏离招标文件某些要求的，偏离应当符合招标文件规定的偏离范围和幅度。</w:t>
      </w:r>
    </w:p>
    <w:p w14:paraId="7C531C23">
      <w:pPr>
        <w:pStyle w:val="30"/>
        <w:spacing w:line="360" w:lineRule="exact"/>
        <w:rPr>
          <w:rFonts w:cs="Times New Roman"/>
          <w:color w:val="auto"/>
          <w:highlight w:val="none"/>
        </w:rPr>
      </w:pPr>
      <w:bookmarkStart w:id="164" w:name="_Toc256000019"/>
      <w:bookmarkStart w:id="165" w:name="_Toc152042318"/>
      <w:bookmarkStart w:id="166" w:name="_Toc247527567"/>
      <w:bookmarkStart w:id="167" w:name="_Toc247513966"/>
      <w:bookmarkStart w:id="168" w:name="_Toc144974510"/>
      <w:bookmarkStart w:id="169" w:name="_Toc167542391"/>
      <w:bookmarkStart w:id="170" w:name="_Toc152045542"/>
      <w:r>
        <w:rPr>
          <w:rFonts w:cs="Times New Roman"/>
          <w:color w:val="auto"/>
          <w:highlight w:val="none"/>
        </w:rPr>
        <w:t>2. 招标文件</w:t>
      </w:r>
      <w:bookmarkEnd w:id="164"/>
      <w:bookmarkEnd w:id="165"/>
      <w:bookmarkEnd w:id="166"/>
      <w:bookmarkEnd w:id="167"/>
      <w:bookmarkEnd w:id="168"/>
      <w:bookmarkEnd w:id="169"/>
      <w:bookmarkEnd w:id="170"/>
    </w:p>
    <w:p w14:paraId="0432A400">
      <w:pPr>
        <w:pStyle w:val="32"/>
        <w:spacing w:line="360" w:lineRule="exact"/>
        <w:ind w:firstLine="118"/>
        <w:rPr>
          <w:rFonts w:cs="Times New Roman"/>
          <w:color w:val="auto"/>
          <w:highlight w:val="none"/>
        </w:rPr>
      </w:pPr>
      <w:bookmarkStart w:id="171" w:name="_Toc152045543"/>
      <w:bookmarkStart w:id="172" w:name="_Toc247527568"/>
      <w:bookmarkStart w:id="173" w:name="_Toc144974511"/>
      <w:bookmarkStart w:id="174" w:name="_Toc247513967"/>
      <w:bookmarkStart w:id="175" w:name="_Toc145081425"/>
      <w:bookmarkStart w:id="176" w:name="_Toc167542392"/>
      <w:bookmarkStart w:id="177" w:name="_Toc256000020"/>
      <w:bookmarkStart w:id="178" w:name="_Toc152042319"/>
      <w:r>
        <w:rPr>
          <w:rFonts w:cs="Times New Roman"/>
          <w:color w:val="auto"/>
          <w:highlight w:val="none"/>
        </w:rPr>
        <w:t>2.1 招标文件的组成</w:t>
      </w:r>
      <w:bookmarkEnd w:id="171"/>
      <w:bookmarkEnd w:id="172"/>
      <w:bookmarkEnd w:id="173"/>
      <w:bookmarkEnd w:id="174"/>
      <w:bookmarkEnd w:id="175"/>
      <w:bookmarkEnd w:id="176"/>
      <w:bookmarkEnd w:id="177"/>
      <w:bookmarkEnd w:id="178"/>
    </w:p>
    <w:p w14:paraId="3A9C985B">
      <w:pPr>
        <w:spacing w:line="400" w:lineRule="exact"/>
        <w:rPr>
          <w:color w:val="auto"/>
          <w:highlight w:val="none"/>
        </w:rPr>
      </w:pPr>
      <w:r>
        <w:rPr>
          <w:color w:val="auto"/>
          <w:highlight w:val="none"/>
        </w:rPr>
        <w:t>　　本招标文件包括：</w:t>
      </w:r>
    </w:p>
    <w:p w14:paraId="24C55243">
      <w:pPr>
        <w:spacing w:line="400" w:lineRule="exact"/>
        <w:ind w:firstLine="359" w:firstLineChars="171"/>
        <w:rPr>
          <w:color w:val="auto"/>
          <w:highlight w:val="none"/>
        </w:rPr>
      </w:pPr>
      <w:r>
        <w:rPr>
          <w:color w:val="auto"/>
          <w:highlight w:val="none"/>
        </w:rPr>
        <w:t>（1）招标公告（或投标邀请书）；</w:t>
      </w:r>
    </w:p>
    <w:p w14:paraId="6FE5574C">
      <w:pPr>
        <w:spacing w:line="400" w:lineRule="exact"/>
        <w:ind w:firstLine="359" w:firstLineChars="171"/>
        <w:rPr>
          <w:color w:val="auto"/>
          <w:highlight w:val="none"/>
        </w:rPr>
      </w:pPr>
      <w:r>
        <w:rPr>
          <w:color w:val="auto"/>
          <w:highlight w:val="none"/>
        </w:rPr>
        <w:t>（2）投标人须知；</w:t>
      </w:r>
    </w:p>
    <w:p w14:paraId="50EB44F2">
      <w:pPr>
        <w:spacing w:line="400" w:lineRule="exact"/>
        <w:ind w:firstLine="359" w:firstLineChars="171"/>
        <w:rPr>
          <w:color w:val="auto"/>
          <w:highlight w:val="none"/>
        </w:rPr>
      </w:pPr>
      <w:r>
        <w:rPr>
          <w:color w:val="auto"/>
          <w:highlight w:val="none"/>
        </w:rPr>
        <w:t>（3）评标办法；</w:t>
      </w:r>
    </w:p>
    <w:p w14:paraId="65070B28">
      <w:pPr>
        <w:spacing w:line="400" w:lineRule="exact"/>
        <w:ind w:firstLine="359" w:firstLineChars="171"/>
        <w:rPr>
          <w:color w:val="auto"/>
          <w:highlight w:val="none"/>
        </w:rPr>
      </w:pPr>
      <w:r>
        <w:rPr>
          <w:color w:val="auto"/>
          <w:highlight w:val="none"/>
        </w:rPr>
        <w:t>（4）合同条款及格式；</w:t>
      </w:r>
    </w:p>
    <w:p w14:paraId="7E7DC256">
      <w:pPr>
        <w:spacing w:line="400" w:lineRule="exact"/>
        <w:ind w:firstLine="359" w:firstLineChars="171"/>
        <w:rPr>
          <w:color w:val="auto"/>
          <w:highlight w:val="none"/>
        </w:rPr>
      </w:pPr>
      <w:r>
        <w:rPr>
          <w:color w:val="auto"/>
          <w:highlight w:val="none"/>
        </w:rPr>
        <w:t>（5）发包人要求；</w:t>
      </w:r>
    </w:p>
    <w:p w14:paraId="7DC76EC4">
      <w:pPr>
        <w:spacing w:line="400" w:lineRule="exact"/>
        <w:ind w:firstLine="359" w:firstLineChars="171"/>
        <w:rPr>
          <w:color w:val="auto"/>
          <w:highlight w:val="none"/>
        </w:rPr>
      </w:pPr>
      <w:r>
        <w:rPr>
          <w:color w:val="auto"/>
          <w:highlight w:val="none"/>
        </w:rPr>
        <w:t>（6）发包人提供的资料；</w:t>
      </w:r>
    </w:p>
    <w:p w14:paraId="3AF3A4E0">
      <w:pPr>
        <w:spacing w:line="400" w:lineRule="exact"/>
        <w:ind w:firstLine="359" w:firstLineChars="171"/>
        <w:rPr>
          <w:color w:val="auto"/>
          <w:highlight w:val="none"/>
        </w:rPr>
      </w:pPr>
      <w:r>
        <w:rPr>
          <w:color w:val="auto"/>
          <w:highlight w:val="none"/>
        </w:rPr>
        <w:t>（7）投标文件格式；</w:t>
      </w:r>
    </w:p>
    <w:p w14:paraId="583B6E9A">
      <w:pPr>
        <w:spacing w:line="400" w:lineRule="exact"/>
        <w:ind w:firstLine="359" w:firstLineChars="171"/>
        <w:rPr>
          <w:color w:val="auto"/>
          <w:highlight w:val="none"/>
        </w:rPr>
      </w:pPr>
      <w:r>
        <w:rPr>
          <w:color w:val="auto"/>
          <w:highlight w:val="none"/>
        </w:rPr>
        <w:t>（8）投标人须知前附表规定的其他资料。</w:t>
      </w:r>
    </w:p>
    <w:p w14:paraId="6789322F">
      <w:pPr>
        <w:spacing w:line="400" w:lineRule="exact"/>
        <w:ind w:firstLine="420" w:firstLineChars="200"/>
        <w:rPr>
          <w:color w:val="auto"/>
          <w:highlight w:val="none"/>
        </w:rPr>
      </w:pPr>
      <w:r>
        <w:rPr>
          <w:color w:val="auto"/>
          <w:highlight w:val="none"/>
        </w:rPr>
        <w:t>根据本章第1.10款、第2.2款和第2.3款对招标文件所作的澄清、修改，构成招标文件的组成部分。</w:t>
      </w:r>
    </w:p>
    <w:p w14:paraId="133132B8">
      <w:pPr>
        <w:pStyle w:val="32"/>
        <w:spacing w:line="360" w:lineRule="exact"/>
        <w:ind w:firstLine="118"/>
        <w:rPr>
          <w:rFonts w:cs="Times New Roman"/>
          <w:color w:val="auto"/>
          <w:highlight w:val="none"/>
        </w:rPr>
      </w:pPr>
      <w:bookmarkStart w:id="179" w:name="_Toc167542393"/>
      <w:bookmarkStart w:id="180" w:name="_Toc144974512"/>
      <w:bookmarkStart w:id="181" w:name="_Toc256000021"/>
      <w:bookmarkStart w:id="182" w:name="_Toc247513968"/>
      <w:bookmarkStart w:id="183" w:name="_Toc152042320"/>
      <w:bookmarkStart w:id="184" w:name="_Toc152045544"/>
      <w:bookmarkStart w:id="185" w:name="_Toc247527569"/>
      <w:bookmarkStart w:id="186" w:name="_Toc145081426"/>
      <w:r>
        <w:rPr>
          <w:rFonts w:cs="Times New Roman"/>
          <w:color w:val="auto"/>
          <w:highlight w:val="none"/>
        </w:rPr>
        <w:t>2.2 招标文件的澄清</w:t>
      </w:r>
      <w:bookmarkEnd w:id="179"/>
      <w:bookmarkEnd w:id="180"/>
      <w:bookmarkEnd w:id="181"/>
      <w:bookmarkEnd w:id="182"/>
      <w:bookmarkEnd w:id="183"/>
      <w:bookmarkEnd w:id="184"/>
      <w:bookmarkEnd w:id="185"/>
      <w:bookmarkEnd w:id="186"/>
    </w:p>
    <w:p w14:paraId="73252F2D">
      <w:pPr>
        <w:spacing w:line="400" w:lineRule="exact"/>
        <w:ind w:firstLine="420" w:firstLineChars="200"/>
        <w:rPr>
          <w:color w:val="auto"/>
          <w:highlight w:val="none"/>
        </w:rPr>
      </w:pPr>
      <w:r>
        <w:rPr>
          <w:color w:val="auto"/>
          <w:highlight w:val="none"/>
        </w:rPr>
        <w:t>2.2.1 投标人应仔细阅读和检查招标文件的全部内容。</w:t>
      </w:r>
      <w:r>
        <w:rPr>
          <w:color w:val="auto"/>
          <w:szCs w:val="21"/>
          <w:highlight w:val="none"/>
        </w:rPr>
        <w:t>如发现缺页或附件不全，应及时向招标人提出，以便补齐。</w:t>
      </w:r>
      <w:r>
        <w:rPr>
          <w:color w:val="auto"/>
          <w:highlight w:val="none"/>
        </w:rPr>
        <w:t>如有疑问，应在投标人须知前附表规定的时间前，通过法定公告公示信息发布媒介、电子交易系统（投标盲盒工具）等渠道以书面形式要求招标人对招标文件予以澄清。</w:t>
      </w:r>
    </w:p>
    <w:p w14:paraId="1798914E">
      <w:pPr>
        <w:spacing w:line="400" w:lineRule="exact"/>
        <w:ind w:firstLine="420" w:firstLineChars="200"/>
        <w:rPr>
          <w:color w:val="auto"/>
          <w:highlight w:val="none"/>
        </w:rPr>
      </w:pPr>
      <w:r>
        <w:rPr>
          <w:color w:val="auto"/>
          <w:highlight w:val="none"/>
        </w:rPr>
        <w:t>2.2.2 招标人对招标文件的澄清通过法定公告公示信息发布媒介、电子交易系统（投标盲盒工具）等渠道以书面形式发给所有下载招标文件的投标人，但不指明澄清问题的来源。澄清发出的时间距投标人须知前附表规定的投标截止时间不足15天的，并且澄清内容确实影响投标文件编制的，</w:t>
      </w:r>
      <w:r>
        <w:rPr>
          <w:rFonts w:hint="eastAsia"/>
          <w:color w:val="auto"/>
          <w:highlight w:val="none"/>
        </w:rPr>
        <w:t>应当</w:t>
      </w:r>
      <w:r>
        <w:rPr>
          <w:color w:val="auto"/>
          <w:highlight w:val="none"/>
        </w:rPr>
        <w:t>相应延长投标截止时间。</w:t>
      </w:r>
    </w:p>
    <w:p w14:paraId="3A60AA68">
      <w:pPr>
        <w:spacing w:line="400" w:lineRule="exact"/>
        <w:ind w:firstLine="420" w:firstLineChars="200"/>
        <w:rPr>
          <w:color w:val="auto"/>
          <w:highlight w:val="none"/>
        </w:rPr>
      </w:pPr>
      <w:r>
        <w:rPr>
          <w:color w:val="auto"/>
          <w:highlight w:val="none"/>
        </w:rPr>
        <w:t>2.2.3 投标人应实时自行关注法定公告公示信息发布媒介、电子交易系统（投标盲盒工具）等渠道上发出的澄清通知，因投标人自身原因未及时获知澄清内容而导致的任何后果将由投标人自行承担。</w:t>
      </w:r>
    </w:p>
    <w:p w14:paraId="08D918AD">
      <w:pPr>
        <w:pStyle w:val="32"/>
        <w:spacing w:line="360" w:lineRule="exact"/>
        <w:ind w:firstLine="118"/>
        <w:rPr>
          <w:rFonts w:cs="Times New Roman"/>
          <w:color w:val="auto"/>
          <w:highlight w:val="none"/>
        </w:rPr>
      </w:pPr>
      <w:bookmarkStart w:id="187" w:name="_Toc144974513"/>
      <w:bookmarkStart w:id="188" w:name="_Toc145081427"/>
      <w:bookmarkStart w:id="189" w:name="_Toc152045545"/>
      <w:bookmarkStart w:id="190" w:name="_Toc247527570"/>
      <w:bookmarkStart w:id="191" w:name="_Toc247513969"/>
      <w:bookmarkStart w:id="192" w:name="_Toc152042321"/>
      <w:bookmarkStart w:id="193" w:name="_Toc256000022"/>
      <w:bookmarkStart w:id="194" w:name="_Toc167542394"/>
      <w:r>
        <w:rPr>
          <w:rFonts w:cs="Times New Roman"/>
          <w:color w:val="auto"/>
          <w:highlight w:val="none"/>
        </w:rPr>
        <w:t>2.3 招标文件的修改</w:t>
      </w:r>
      <w:bookmarkEnd w:id="187"/>
      <w:bookmarkEnd w:id="188"/>
      <w:bookmarkEnd w:id="189"/>
      <w:bookmarkEnd w:id="190"/>
      <w:bookmarkEnd w:id="191"/>
      <w:bookmarkEnd w:id="192"/>
      <w:bookmarkEnd w:id="193"/>
      <w:bookmarkEnd w:id="194"/>
    </w:p>
    <w:p w14:paraId="342A2CE7">
      <w:pPr>
        <w:spacing w:line="400" w:lineRule="exact"/>
        <w:ind w:firstLine="420" w:firstLineChars="200"/>
        <w:rPr>
          <w:color w:val="auto"/>
          <w:highlight w:val="none"/>
        </w:rPr>
      </w:pPr>
      <w:r>
        <w:rPr>
          <w:color w:val="auto"/>
          <w:highlight w:val="none"/>
        </w:rPr>
        <w:t>2.3.1 招标人可以书面形式修改招标文件，并通过法定公告公示信息发布媒介、电子交易系统（投标盲盒工具）等渠道通知所有已下载招标文件的投标人。修改招标文件的时间距投标人须知前附表规定的投标截止时间不足15天的，并且澄清内容确实影响投标文件编制的，</w:t>
      </w:r>
      <w:r>
        <w:rPr>
          <w:rFonts w:hint="eastAsia"/>
          <w:color w:val="auto"/>
          <w:highlight w:val="none"/>
        </w:rPr>
        <w:t>应当</w:t>
      </w:r>
      <w:r>
        <w:rPr>
          <w:color w:val="auto"/>
          <w:highlight w:val="none"/>
        </w:rPr>
        <w:t xml:space="preserve">相应延长投标截止时间。 </w:t>
      </w:r>
    </w:p>
    <w:p w14:paraId="7110649C">
      <w:pPr>
        <w:spacing w:line="400" w:lineRule="exact"/>
        <w:ind w:firstLine="420" w:firstLineChars="200"/>
        <w:rPr>
          <w:color w:val="auto"/>
          <w:highlight w:val="none"/>
        </w:rPr>
      </w:pPr>
      <w:r>
        <w:rPr>
          <w:color w:val="auto"/>
          <w:highlight w:val="none"/>
        </w:rPr>
        <w:t>2.3.2 投标人应实时自行关注法定公告公示信息发布媒介、电子交易系统（投标盲盒工具）等渠道上发出的修改通知，因投标人自身原因未及时获知修改内容而导致的任何后果将由投标人自行承担。</w:t>
      </w:r>
    </w:p>
    <w:p w14:paraId="70572185">
      <w:pPr>
        <w:pStyle w:val="32"/>
        <w:spacing w:line="360" w:lineRule="exact"/>
        <w:ind w:firstLine="118"/>
        <w:rPr>
          <w:rFonts w:cs="Times New Roman"/>
          <w:color w:val="auto"/>
          <w:highlight w:val="none"/>
        </w:rPr>
      </w:pPr>
      <w:bookmarkStart w:id="195" w:name="_Toc256000023"/>
      <w:bookmarkStart w:id="196" w:name="_Toc167542395"/>
      <w:bookmarkStart w:id="197" w:name="_Toc145002191"/>
      <w:bookmarkStart w:id="198" w:name="_Toc145081428"/>
      <w:r>
        <w:rPr>
          <w:rFonts w:cs="Times New Roman"/>
          <w:color w:val="auto"/>
          <w:highlight w:val="none"/>
        </w:rPr>
        <w:t>2.4 招标文件的异议</w:t>
      </w:r>
      <w:bookmarkEnd w:id="195"/>
      <w:bookmarkEnd w:id="196"/>
      <w:bookmarkEnd w:id="197"/>
      <w:bookmarkEnd w:id="198"/>
    </w:p>
    <w:p w14:paraId="00F5889B">
      <w:pPr>
        <w:spacing w:line="360" w:lineRule="exact"/>
        <w:ind w:firstLine="420" w:firstLineChars="200"/>
        <w:rPr>
          <w:color w:val="auto"/>
          <w:highlight w:val="none"/>
        </w:rPr>
      </w:pPr>
      <w:r>
        <w:rPr>
          <w:color w:val="auto"/>
          <w:highlight w:val="none"/>
        </w:rPr>
        <w:t>2.4.</w:t>
      </w:r>
      <w:r>
        <w:rPr>
          <w:rFonts w:hint="eastAsia"/>
          <w:color w:val="auto"/>
          <w:highlight w:val="none"/>
        </w:rPr>
        <w:t>1</w:t>
      </w:r>
      <w:r>
        <w:rPr>
          <w:color w:val="auto"/>
          <w:highlight w:val="none"/>
        </w:rPr>
        <w:t>投标人或者其他利害关系人对招标文件有异议的，应当在投标截止时间 10 日前以书面形式提出。招标人将在收到异议之日起 3 日内作出答复；作出答复前，将暂停招标投标活动。逾期提出的，招标人可不予受理。</w:t>
      </w:r>
      <w:r>
        <w:rPr>
          <w:rFonts w:hint="eastAsia"/>
          <w:color w:val="auto"/>
          <w:highlight w:val="none"/>
        </w:rPr>
        <w:t>异议与答复应通过电子招标投标系统（辽宁省工程建设项目招标投标异议投诉处理系统）以书面形式进行。</w:t>
      </w:r>
    </w:p>
    <w:p w14:paraId="32C896FF">
      <w:pPr>
        <w:spacing w:line="360" w:lineRule="exact"/>
        <w:ind w:firstLine="420" w:firstLineChars="200"/>
        <w:rPr>
          <w:color w:val="auto"/>
          <w:highlight w:val="none"/>
        </w:rPr>
      </w:pPr>
      <w:r>
        <w:rPr>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0A9EF651">
      <w:pPr>
        <w:spacing w:line="360" w:lineRule="exact"/>
        <w:ind w:firstLine="420" w:firstLineChars="200"/>
        <w:rPr>
          <w:color w:val="auto"/>
          <w:highlight w:val="none"/>
        </w:rPr>
      </w:pPr>
      <w:r>
        <w:rPr>
          <w:color w:val="auto"/>
          <w:highlight w:val="none"/>
        </w:rPr>
        <w:t>有关异议受理部门及联系方式见投标人须知前附表。</w:t>
      </w:r>
    </w:p>
    <w:p w14:paraId="17C4FCC6">
      <w:pPr>
        <w:spacing w:line="360" w:lineRule="exact"/>
        <w:ind w:firstLine="420" w:firstLineChars="200"/>
        <w:rPr>
          <w:color w:val="auto"/>
          <w:highlight w:val="none"/>
        </w:rPr>
      </w:pPr>
      <w:r>
        <w:rPr>
          <w:color w:val="auto"/>
          <w:highlight w:val="none"/>
        </w:rPr>
        <w:t>2.4.2招标人对异议的答复构成对招标文件澄清或者修改的，招标人将按照本章第2.2款、第2.3款规定办理。</w:t>
      </w:r>
    </w:p>
    <w:p w14:paraId="5C516119">
      <w:pPr>
        <w:pStyle w:val="30"/>
        <w:spacing w:line="360" w:lineRule="exact"/>
        <w:rPr>
          <w:rFonts w:cs="Times New Roman"/>
          <w:color w:val="auto"/>
          <w:highlight w:val="none"/>
        </w:rPr>
      </w:pPr>
      <w:bookmarkStart w:id="199" w:name="_Toc167542396"/>
      <w:bookmarkStart w:id="200" w:name="_Toc247527571"/>
      <w:bookmarkStart w:id="201" w:name="_Toc247513970"/>
      <w:bookmarkStart w:id="202" w:name="_Toc152045546"/>
      <w:bookmarkStart w:id="203" w:name="_Toc256000024"/>
      <w:bookmarkStart w:id="204" w:name="_Toc144974514"/>
      <w:bookmarkStart w:id="205" w:name="_Toc152042322"/>
      <w:r>
        <w:rPr>
          <w:rFonts w:cs="Times New Roman"/>
          <w:color w:val="auto"/>
          <w:highlight w:val="none"/>
        </w:rPr>
        <w:t>3. 投标文件</w:t>
      </w:r>
      <w:bookmarkEnd w:id="199"/>
      <w:bookmarkEnd w:id="200"/>
      <w:bookmarkEnd w:id="201"/>
      <w:bookmarkEnd w:id="202"/>
      <w:bookmarkEnd w:id="203"/>
      <w:bookmarkEnd w:id="204"/>
      <w:bookmarkEnd w:id="205"/>
    </w:p>
    <w:p w14:paraId="7EBB2435">
      <w:pPr>
        <w:pStyle w:val="32"/>
        <w:spacing w:line="360" w:lineRule="exact"/>
        <w:ind w:firstLine="118"/>
        <w:rPr>
          <w:rFonts w:cs="Times New Roman"/>
          <w:color w:val="auto"/>
          <w:highlight w:val="none"/>
        </w:rPr>
      </w:pPr>
      <w:bookmarkStart w:id="206" w:name="_Toc152045547"/>
      <w:bookmarkStart w:id="207" w:name="_Toc256000025"/>
      <w:bookmarkStart w:id="208" w:name="_Toc247513971"/>
      <w:bookmarkStart w:id="209" w:name="_Toc167542397"/>
      <w:bookmarkStart w:id="210" w:name="_Toc247527572"/>
      <w:bookmarkStart w:id="211" w:name="_Toc152042323"/>
      <w:bookmarkStart w:id="212" w:name="_Toc144974515"/>
      <w:r>
        <w:rPr>
          <w:rFonts w:cs="Times New Roman"/>
          <w:color w:val="auto"/>
          <w:highlight w:val="none"/>
        </w:rPr>
        <w:t>3.1 投标文件的组成</w:t>
      </w:r>
      <w:bookmarkEnd w:id="206"/>
      <w:bookmarkEnd w:id="207"/>
      <w:bookmarkEnd w:id="208"/>
      <w:bookmarkEnd w:id="209"/>
      <w:bookmarkEnd w:id="210"/>
      <w:bookmarkEnd w:id="211"/>
      <w:bookmarkEnd w:id="212"/>
    </w:p>
    <w:p w14:paraId="4A60143A">
      <w:pPr>
        <w:spacing w:line="400" w:lineRule="exact"/>
        <w:rPr>
          <w:color w:val="auto"/>
          <w:highlight w:val="none"/>
        </w:rPr>
      </w:pPr>
      <w:r>
        <w:rPr>
          <w:color w:val="auto"/>
          <w:highlight w:val="none"/>
        </w:rPr>
        <w:t>　　3.1.1 投标文件应包括下列内容：</w:t>
      </w:r>
    </w:p>
    <w:p w14:paraId="59D11527">
      <w:pPr>
        <w:spacing w:line="400" w:lineRule="exact"/>
        <w:ind w:firstLine="359" w:firstLineChars="171"/>
        <w:rPr>
          <w:color w:val="auto"/>
          <w:highlight w:val="none"/>
        </w:rPr>
      </w:pPr>
      <w:r>
        <w:rPr>
          <w:color w:val="auto"/>
          <w:highlight w:val="none"/>
        </w:rPr>
        <w:t>（1）投标函及投标函附录等；</w:t>
      </w:r>
    </w:p>
    <w:p w14:paraId="733EF83B">
      <w:pPr>
        <w:spacing w:line="400" w:lineRule="exact"/>
        <w:ind w:firstLine="359" w:firstLineChars="171"/>
        <w:rPr>
          <w:rFonts w:hint="eastAsia"/>
          <w:color w:val="auto"/>
          <w:highlight w:val="none"/>
        </w:rPr>
      </w:pPr>
      <w:r>
        <w:rPr>
          <w:color w:val="auto"/>
          <w:highlight w:val="none"/>
        </w:rPr>
        <w:t>（2）法定代表人身份证明</w:t>
      </w:r>
      <w:r>
        <w:rPr>
          <w:rFonts w:hint="eastAsia"/>
          <w:color w:val="auto"/>
          <w:highlight w:val="none"/>
          <w:lang w:eastAsia="zh-CN"/>
        </w:rPr>
        <w:t>；</w:t>
      </w:r>
    </w:p>
    <w:p w14:paraId="2382FC32">
      <w:pPr>
        <w:spacing w:line="400" w:lineRule="exact"/>
        <w:ind w:firstLine="359" w:firstLineChars="171"/>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授权委托书；</w:t>
      </w:r>
    </w:p>
    <w:p w14:paraId="2F3AE6D9">
      <w:pPr>
        <w:spacing w:line="400" w:lineRule="exact"/>
        <w:ind w:firstLine="359" w:firstLineChars="171"/>
        <w:rPr>
          <w:color w:val="auto"/>
          <w:highlight w:val="none"/>
        </w:rPr>
      </w:pPr>
      <w:r>
        <w:rPr>
          <w:color w:val="auto"/>
          <w:highlight w:val="none"/>
        </w:rPr>
        <w:t>（3）投标保证金；</w:t>
      </w:r>
    </w:p>
    <w:p w14:paraId="51334515">
      <w:pPr>
        <w:spacing w:line="400" w:lineRule="exact"/>
        <w:ind w:firstLine="359" w:firstLineChars="171"/>
        <w:rPr>
          <w:color w:val="auto"/>
          <w:highlight w:val="none"/>
        </w:rPr>
      </w:pPr>
      <w:r>
        <w:rPr>
          <w:color w:val="auto"/>
          <w:highlight w:val="none"/>
        </w:rPr>
        <w:t>（4）联合体协议书；</w:t>
      </w:r>
    </w:p>
    <w:p w14:paraId="35343E1D">
      <w:pPr>
        <w:spacing w:line="400" w:lineRule="exact"/>
        <w:ind w:firstLine="359" w:firstLineChars="171"/>
        <w:rPr>
          <w:color w:val="auto"/>
          <w:highlight w:val="none"/>
        </w:rPr>
      </w:pPr>
      <w:r>
        <w:rPr>
          <w:color w:val="auto"/>
          <w:highlight w:val="none"/>
        </w:rPr>
        <w:t>（5）价格清单；</w:t>
      </w:r>
    </w:p>
    <w:p w14:paraId="651AF9DF">
      <w:pPr>
        <w:spacing w:line="400" w:lineRule="exact"/>
        <w:ind w:firstLine="359" w:firstLineChars="171"/>
        <w:rPr>
          <w:color w:val="auto"/>
          <w:highlight w:val="none"/>
        </w:rPr>
      </w:pPr>
      <w:r>
        <w:rPr>
          <w:color w:val="auto"/>
          <w:highlight w:val="none"/>
        </w:rPr>
        <w:t>（6）承包人建议书；</w:t>
      </w:r>
    </w:p>
    <w:p w14:paraId="2D1C1975">
      <w:pPr>
        <w:spacing w:line="400" w:lineRule="exact"/>
        <w:ind w:firstLine="359" w:firstLineChars="171"/>
        <w:rPr>
          <w:color w:val="auto"/>
          <w:highlight w:val="none"/>
        </w:rPr>
      </w:pPr>
      <w:r>
        <w:rPr>
          <w:color w:val="auto"/>
          <w:highlight w:val="none"/>
        </w:rPr>
        <w:t>（7）承包人实施方案；</w:t>
      </w:r>
    </w:p>
    <w:p w14:paraId="62DD6F0C">
      <w:pPr>
        <w:spacing w:line="400" w:lineRule="exact"/>
        <w:ind w:firstLine="359" w:firstLineChars="171"/>
        <w:rPr>
          <w:color w:val="auto"/>
          <w:highlight w:val="none"/>
        </w:rPr>
      </w:pPr>
      <w:r>
        <w:rPr>
          <w:color w:val="auto"/>
          <w:highlight w:val="none"/>
        </w:rPr>
        <w:t>（8）资格审查资料；</w:t>
      </w:r>
    </w:p>
    <w:p w14:paraId="518496F9">
      <w:pPr>
        <w:spacing w:line="400" w:lineRule="exact"/>
        <w:ind w:firstLine="359" w:firstLineChars="171"/>
        <w:rPr>
          <w:color w:val="auto"/>
          <w:highlight w:val="none"/>
        </w:rPr>
      </w:pPr>
      <w:r>
        <w:rPr>
          <w:color w:val="auto"/>
          <w:highlight w:val="none"/>
        </w:rPr>
        <w:t>（9）投标人须知前附表规定的其他资料。</w:t>
      </w:r>
    </w:p>
    <w:p w14:paraId="30C53AC5">
      <w:pPr>
        <w:spacing w:line="400" w:lineRule="exact"/>
        <w:ind w:firstLine="359" w:firstLineChars="171"/>
        <w:rPr>
          <w:color w:val="auto"/>
          <w:highlight w:val="none"/>
        </w:rPr>
      </w:pPr>
      <w:r>
        <w:rPr>
          <w:color w:val="auto"/>
          <w:highlight w:val="none"/>
        </w:rPr>
        <w:t xml:space="preserve">3.1.2 投标人须知前附表规定不接受联合体投标的，或投标人没有组成联合体的，投标文件不包括本章第3.1.1（4）目所指的联合体协议书。 </w:t>
      </w:r>
    </w:p>
    <w:p w14:paraId="03E1AE67">
      <w:pPr>
        <w:pStyle w:val="32"/>
        <w:spacing w:line="360" w:lineRule="exact"/>
        <w:ind w:firstLine="118"/>
        <w:rPr>
          <w:rFonts w:cs="Times New Roman"/>
          <w:color w:val="auto"/>
          <w:highlight w:val="none"/>
        </w:rPr>
      </w:pPr>
      <w:bookmarkStart w:id="213" w:name="_Toc167542398"/>
      <w:bookmarkStart w:id="214" w:name="_Toc152045548"/>
      <w:bookmarkStart w:id="215" w:name="_Toc247513972"/>
      <w:bookmarkStart w:id="216" w:name="_Toc145081431"/>
      <w:bookmarkStart w:id="217" w:name="_Toc256000026"/>
      <w:bookmarkStart w:id="218" w:name="_Toc144974516"/>
      <w:bookmarkStart w:id="219" w:name="_Toc247527573"/>
      <w:bookmarkStart w:id="220" w:name="_Toc152042324"/>
      <w:r>
        <w:rPr>
          <w:rFonts w:cs="Times New Roman"/>
          <w:color w:val="auto"/>
          <w:highlight w:val="none"/>
        </w:rPr>
        <w:t>3.2 投标报价</w:t>
      </w:r>
      <w:bookmarkEnd w:id="213"/>
      <w:bookmarkEnd w:id="214"/>
      <w:bookmarkEnd w:id="215"/>
      <w:bookmarkEnd w:id="216"/>
      <w:bookmarkEnd w:id="217"/>
      <w:bookmarkEnd w:id="218"/>
      <w:bookmarkEnd w:id="219"/>
      <w:bookmarkEnd w:id="220"/>
      <w:r>
        <w:rPr>
          <w:rFonts w:cs="Times New Roman"/>
          <w:color w:val="auto"/>
          <w:highlight w:val="none"/>
        </w:rPr>
        <w:t xml:space="preserve"> </w:t>
      </w:r>
    </w:p>
    <w:p w14:paraId="045A0310">
      <w:pPr>
        <w:spacing w:line="400" w:lineRule="exact"/>
        <w:ind w:firstLine="420" w:firstLineChars="200"/>
        <w:rPr>
          <w:color w:val="auto"/>
          <w:highlight w:val="none"/>
        </w:rPr>
      </w:pPr>
      <w:r>
        <w:rPr>
          <w:color w:val="auto"/>
          <w:highlight w:val="none"/>
        </w:rPr>
        <w:t>3.2.1 投标人应按第七章“投标文件格式”的要求填写价格清单。</w:t>
      </w:r>
    </w:p>
    <w:p w14:paraId="2EAC8152">
      <w:pPr>
        <w:spacing w:line="440" w:lineRule="exact"/>
        <w:ind w:firstLine="420" w:firstLineChars="200"/>
        <w:rPr>
          <w:color w:val="auto"/>
          <w:szCs w:val="21"/>
          <w:highlight w:val="none"/>
        </w:rPr>
      </w:pPr>
      <w:r>
        <w:rPr>
          <w:color w:val="auto"/>
          <w:highlight w:val="none"/>
        </w:rPr>
        <w:t xml:space="preserve">3.2.2 </w:t>
      </w:r>
      <w:r>
        <w:rPr>
          <w:color w:val="auto"/>
          <w:szCs w:val="21"/>
          <w:highlight w:val="none"/>
        </w:rPr>
        <w:t>投标人应充分了解施工场地的位置、周边环境、道路、装卸、保管、安装限制以及影响投标报价的其他要素。投标人根据投标设计，结合市场情况进行投标报价。</w:t>
      </w:r>
    </w:p>
    <w:p w14:paraId="7987AFEA">
      <w:pPr>
        <w:spacing w:line="400" w:lineRule="exact"/>
        <w:ind w:firstLine="420" w:firstLineChars="200"/>
        <w:rPr>
          <w:color w:val="auto"/>
          <w:highlight w:val="none"/>
        </w:rPr>
      </w:pPr>
      <w:r>
        <w:rPr>
          <w:color w:val="auto"/>
          <w:highlight w:val="none"/>
        </w:rPr>
        <w:t>3.2.3 投标人在投标截止时间前修改投标函中的投标报价总额，应同时修改投标文件“价格清单”中的相应报价，投标报价总额为各分项金额之和。此修改须符合本章第4.3款的有关要求。</w:t>
      </w:r>
    </w:p>
    <w:p w14:paraId="14A30F2E">
      <w:pPr>
        <w:spacing w:line="400" w:lineRule="exact"/>
        <w:ind w:firstLine="420" w:firstLineChars="200"/>
        <w:rPr>
          <w:color w:val="auto"/>
          <w:highlight w:val="none"/>
        </w:rPr>
      </w:pPr>
      <w:r>
        <w:rPr>
          <w:color w:val="auto"/>
          <w:highlight w:val="none"/>
        </w:rPr>
        <w:t>3.2.4 招标人设有最高投标限价的，投标人的投标报价不得超过最高投标限价，最高投标限价或其计算方法在投标人须知前附表中载明。</w:t>
      </w:r>
    </w:p>
    <w:p w14:paraId="1A9A17F3">
      <w:pPr>
        <w:spacing w:line="400" w:lineRule="exact"/>
        <w:ind w:firstLine="420" w:firstLineChars="200"/>
        <w:rPr>
          <w:color w:val="auto"/>
          <w:highlight w:val="none"/>
        </w:rPr>
      </w:pPr>
      <w:r>
        <w:rPr>
          <w:color w:val="auto"/>
          <w:highlight w:val="none"/>
        </w:rPr>
        <w:t>3.2.5 投标报价的其他要求见投标人须知前附表。</w:t>
      </w:r>
    </w:p>
    <w:p w14:paraId="44F92A79">
      <w:pPr>
        <w:pStyle w:val="32"/>
        <w:spacing w:line="360" w:lineRule="exact"/>
        <w:ind w:firstLine="118"/>
        <w:rPr>
          <w:rFonts w:cs="Times New Roman"/>
          <w:color w:val="auto"/>
          <w:highlight w:val="none"/>
        </w:rPr>
      </w:pPr>
      <w:bookmarkStart w:id="221" w:name="_Toc152045549"/>
      <w:bookmarkStart w:id="222" w:name="_Toc167542399"/>
      <w:bookmarkStart w:id="223" w:name="_Toc145081432"/>
      <w:bookmarkStart w:id="224" w:name="_Toc144974517"/>
      <w:bookmarkStart w:id="225" w:name="_Toc256000027"/>
      <w:bookmarkStart w:id="226" w:name="_Toc247527574"/>
      <w:bookmarkStart w:id="227" w:name="_Toc247513973"/>
      <w:bookmarkStart w:id="228" w:name="_Toc152042325"/>
      <w:r>
        <w:rPr>
          <w:rFonts w:cs="Times New Roman"/>
          <w:color w:val="auto"/>
          <w:highlight w:val="none"/>
        </w:rPr>
        <w:t>3.3 投标有效期</w:t>
      </w:r>
      <w:bookmarkEnd w:id="221"/>
      <w:bookmarkEnd w:id="222"/>
      <w:bookmarkEnd w:id="223"/>
      <w:bookmarkEnd w:id="224"/>
      <w:bookmarkEnd w:id="225"/>
      <w:bookmarkEnd w:id="226"/>
      <w:bookmarkEnd w:id="227"/>
      <w:bookmarkEnd w:id="228"/>
    </w:p>
    <w:p w14:paraId="3D0DBB4C">
      <w:pPr>
        <w:spacing w:line="400" w:lineRule="exact"/>
        <w:ind w:firstLine="420" w:firstLineChars="200"/>
        <w:rPr>
          <w:color w:val="auto"/>
          <w:highlight w:val="none"/>
        </w:rPr>
      </w:pPr>
      <w:r>
        <w:rPr>
          <w:color w:val="auto"/>
          <w:highlight w:val="none"/>
        </w:rPr>
        <w:t>3.3.1 在投标人须知前附表规定的投标有效期内，投标人不得要求撤销或修改其投标文件。</w:t>
      </w:r>
    </w:p>
    <w:p w14:paraId="1173D5D6">
      <w:pPr>
        <w:spacing w:line="400" w:lineRule="exact"/>
        <w:ind w:firstLine="420" w:firstLineChars="200"/>
        <w:rPr>
          <w:color w:val="auto"/>
          <w:highlight w:val="none"/>
        </w:rPr>
      </w:pPr>
      <w:r>
        <w:rPr>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0ED954E">
      <w:pPr>
        <w:pStyle w:val="32"/>
        <w:spacing w:line="360" w:lineRule="exact"/>
        <w:ind w:firstLine="118"/>
        <w:rPr>
          <w:rFonts w:cs="Times New Roman"/>
          <w:color w:val="auto"/>
          <w:highlight w:val="none"/>
        </w:rPr>
      </w:pPr>
      <w:bookmarkStart w:id="229" w:name="_Toc256000028"/>
      <w:bookmarkStart w:id="230" w:name="_Toc152042326"/>
      <w:bookmarkStart w:id="231" w:name="_Toc167542400"/>
      <w:bookmarkStart w:id="232" w:name="_Toc152045550"/>
      <w:bookmarkStart w:id="233" w:name="_Toc145081433"/>
      <w:bookmarkStart w:id="234" w:name="_Toc144974518"/>
      <w:bookmarkStart w:id="235" w:name="_Toc247513974"/>
      <w:bookmarkStart w:id="236" w:name="_Toc247527575"/>
      <w:r>
        <w:rPr>
          <w:rFonts w:cs="Times New Roman"/>
          <w:color w:val="auto"/>
          <w:highlight w:val="none"/>
        </w:rPr>
        <w:t>3.4 投标保证金</w:t>
      </w:r>
      <w:bookmarkEnd w:id="229"/>
      <w:bookmarkEnd w:id="230"/>
      <w:bookmarkEnd w:id="231"/>
      <w:bookmarkEnd w:id="232"/>
      <w:bookmarkEnd w:id="233"/>
      <w:bookmarkEnd w:id="234"/>
      <w:bookmarkEnd w:id="235"/>
      <w:bookmarkEnd w:id="236"/>
    </w:p>
    <w:p w14:paraId="5CB80F12">
      <w:pPr>
        <w:spacing w:line="400" w:lineRule="exact"/>
        <w:ind w:firstLine="420" w:firstLineChars="200"/>
        <w:rPr>
          <w:color w:val="auto"/>
          <w:highlight w:val="none"/>
        </w:rPr>
      </w:pPr>
      <w:r>
        <w:rPr>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13F73DB8">
      <w:pPr>
        <w:spacing w:line="400" w:lineRule="exact"/>
        <w:ind w:firstLine="420" w:firstLineChars="200"/>
        <w:rPr>
          <w:color w:val="auto"/>
          <w:highlight w:val="none"/>
        </w:rPr>
      </w:pPr>
      <w:r>
        <w:rPr>
          <w:color w:val="auto"/>
          <w:highlight w:val="none"/>
        </w:rPr>
        <w:t>3.4.2 投标人不按本章第3.4.1项要求提交投标保证金的，评标委员会将否决其投标。</w:t>
      </w:r>
    </w:p>
    <w:p w14:paraId="5CCAA942">
      <w:pPr>
        <w:spacing w:line="400" w:lineRule="exact"/>
        <w:ind w:firstLine="420" w:firstLineChars="200"/>
        <w:rPr>
          <w:color w:val="auto"/>
          <w:highlight w:val="none"/>
        </w:rPr>
      </w:pPr>
      <w:r>
        <w:rPr>
          <w:color w:val="auto"/>
          <w:highlight w:val="none"/>
        </w:rPr>
        <w:t>3.4.3 招标人最迟将在中标人签订合同后5日内，向未中标的投标人和中标人退还投标保证金。投标保证金以现金或者支票形式递交的，还应退还银行同期存款利息。投标保证金及利息的计息标准和退还方式见投标人须知前附表。</w:t>
      </w:r>
    </w:p>
    <w:p w14:paraId="72C14B5A">
      <w:pPr>
        <w:spacing w:line="400" w:lineRule="exact"/>
        <w:ind w:firstLine="420" w:firstLineChars="200"/>
        <w:rPr>
          <w:color w:val="auto"/>
          <w:highlight w:val="none"/>
        </w:rPr>
      </w:pPr>
      <w:r>
        <w:rPr>
          <w:color w:val="auto"/>
          <w:highlight w:val="none"/>
        </w:rPr>
        <w:t xml:space="preserve">3.4.4 有下列情形之一的，投标保证金将不予退还： </w:t>
      </w:r>
    </w:p>
    <w:p w14:paraId="721EE490">
      <w:pPr>
        <w:spacing w:line="400" w:lineRule="exact"/>
        <w:ind w:firstLine="315" w:firstLineChars="150"/>
        <w:rPr>
          <w:color w:val="auto"/>
          <w:highlight w:val="none"/>
        </w:rPr>
      </w:pPr>
      <w:r>
        <w:rPr>
          <w:color w:val="auto"/>
          <w:highlight w:val="none"/>
        </w:rPr>
        <w:t>（1）投标人在规定的投标有效期内撤销或修改其投标文件；</w:t>
      </w:r>
    </w:p>
    <w:p w14:paraId="615BD0BF">
      <w:pPr>
        <w:spacing w:line="400" w:lineRule="exact"/>
        <w:ind w:firstLine="315" w:firstLineChars="150"/>
        <w:rPr>
          <w:color w:val="auto"/>
          <w:highlight w:val="none"/>
        </w:rPr>
      </w:pPr>
      <w:r>
        <w:rPr>
          <w:color w:val="auto"/>
          <w:highlight w:val="none"/>
        </w:rPr>
        <w:t>（2）中标人在收到中标通知书后，无正当理由拒签合同、在签订合同时向招标人提出附加条件或未按招标文件规定提交履约保证金。</w:t>
      </w:r>
    </w:p>
    <w:p w14:paraId="00155C47">
      <w:pPr>
        <w:pStyle w:val="32"/>
        <w:spacing w:line="360" w:lineRule="exact"/>
        <w:ind w:firstLine="118"/>
        <w:rPr>
          <w:rFonts w:cs="Times New Roman"/>
          <w:color w:val="auto"/>
          <w:highlight w:val="none"/>
        </w:rPr>
      </w:pPr>
      <w:bookmarkStart w:id="237" w:name="_Toc145081434"/>
      <w:bookmarkStart w:id="238" w:name="_Toc162104038"/>
      <w:bookmarkStart w:id="239" w:name="_Toc167542401"/>
      <w:bookmarkStart w:id="240" w:name="_Toc152045551"/>
      <w:bookmarkStart w:id="241" w:name="_Toc247513975"/>
      <w:bookmarkStart w:id="242" w:name="_Toc247527576"/>
      <w:bookmarkStart w:id="243" w:name="_Toc166326864"/>
      <w:bookmarkStart w:id="244" w:name="_Toc144974519"/>
      <w:bookmarkStart w:id="245" w:name="_Toc256000029"/>
      <w:bookmarkStart w:id="246" w:name="_Toc152042327"/>
      <w:bookmarkStart w:id="247" w:name="_Toc247513976"/>
      <w:bookmarkStart w:id="248" w:name="_Toc152042328"/>
      <w:bookmarkStart w:id="249" w:name="_Toc247527577"/>
      <w:bookmarkStart w:id="250" w:name="_Toc152045552"/>
      <w:bookmarkStart w:id="251" w:name="_Toc145081435"/>
      <w:bookmarkStart w:id="252" w:name="_Toc144974520"/>
      <w:r>
        <w:rPr>
          <w:rFonts w:cs="Times New Roman"/>
          <w:color w:val="auto"/>
          <w:highlight w:val="none"/>
        </w:rPr>
        <w:t>3.5 资格审查资料（适用于已进行资格预审的）</w:t>
      </w:r>
      <w:bookmarkEnd w:id="237"/>
      <w:bookmarkEnd w:id="238"/>
      <w:bookmarkEnd w:id="239"/>
      <w:bookmarkEnd w:id="240"/>
      <w:bookmarkEnd w:id="241"/>
      <w:bookmarkEnd w:id="242"/>
      <w:bookmarkEnd w:id="243"/>
      <w:bookmarkEnd w:id="244"/>
      <w:bookmarkEnd w:id="245"/>
      <w:bookmarkEnd w:id="246"/>
    </w:p>
    <w:p w14:paraId="4568E262">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71EFC70C">
      <w:pPr>
        <w:pStyle w:val="32"/>
        <w:spacing w:line="360" w:lineRule="exact"/>
        <w:ind w:firstLine="118"/>
        <w:rPr>
          <w:rFonts w:cs="Times New Roman"/>
          <w:color w:val="auto"/>
          <w:highlight w:val="none"/>
        </w:rPr>
      </w:pPr>
      <w:bookmarkStart w:id="253" w:name="_Toc167542402"/>
      <w:bookmarkStart w:id="254" w:name="_Toc256000030"/>
      <w:r>
        <w:rPr>
          <w:rFonts w:cs="Times New Roman"/>
          <w:color w:val="auto"/>
          <w:highlight w:val="none"/>
        </w:rPr>
        <w:t>3.5 资格审查资料</w:t>
      </w:r>
      <w:bookmarkEnd w:id="247"/>
      <w:bookmarkEnd w:id="248"/>
      <w:bookmarkEnd w:id="249"/>
      <w:bookmarkEnd w:id="250"/>
      <w:bookmarkEnd w:id="251"/>
      <w:bookmarkEnd w:id="252"/>
      <w:r>
        <w:rPr>
          <w:rFonts w:hint="eastAsia" w:cs="Times New Roman"/>
          <w:color w:val="auto"/>
          <w:highlight w:val="none"/>
        </w:rPr>
        <w:t>（适用于未进行资格预审的）</w:t>
      </w:r>
      <w:bookmarkEnd w:id="253"/>
      <w:bookmarkEnd w:id="254"/>
      <w:r>
        <w:rPr>
          <w:rFonts w:hint="eastAsia" w:cs="Times New Roman"/>
          <w:color w:val="auto"/>
          <w:highlight w:val="none"/>
        </w:rPr>
        <w:t xml:space="preserve"> </w:t>
      </w:r>
    </w:p>
    <w:p w14:paraId="56839CC8">
      <w:pPr>
        <w:spacing w:line="400" w:lineRule="exact"/>
        <w:ind w:firstLine="420" w:firstLineChars="200"/>
        <w:rPr>
          <w:color w:val="auto"/>
          <w:highlight w:val="none"/>
        </w:rPr>
      </w:pPr>
      <w:r>
        <w:rPr>
          <w:color w:val="auto"/>
          <w:highlight w:val="none"/>
        </w:rPr>
        <w:t>3.5.1 “投标人基本情况表”应附投标人营业执照、资质证书和安全生产许可证等材料。</w:t>
      </w:r>
    </w:p>
    <w:p w14:paraId="4CEE83B8">
      <w:pPr>
        <w:spacing w:line="400" w:lineRule="exact"/>
        <w:ind w:firstLine="420" w:firstLineChars="200"/>
        <w:rPr>
          <w:color w:val="auto"/>
          <w:highlight w:val="none"/>
        </w:rPr>
      </w:pPr>
      <w:r>
        <w:rPr>
          <w:color w:val="auto"/>
          <w:highlight w:val="none"/>
        </w:rPr>
        <w:t>3.5.2 “近年财务状况表”应附经会计师事务所或审计机构审计的财务会计报表，具体年份要求见投标人须知前附表。</w:t>
      </w:r>
    </w:p>
    <w:p w14:paraId="16BC8003">
      <w:pPr>
        <w:spacing w:line="400" w:lineRule="exact"/>
        <w:ind w:firstLine="420" w:firstLineChars="200"/>
        <w:rPr>
          <w:color w:val="auto"/>
          <w:highlight w:val="none"/>
        </w:rPr>
      </w:pPr>
      <w:r>
        <w:rPr>
          <w:color w:val="auto"/>
          <w:highlight w:val="none"/>
        </w:rPr>
        <w:t>3.5.3 “近年完成的类似设计施工总承包项目情况表”应附中标通知书和（或）合同协议书、工程接收证书（工程竣工验收证书）等材料；或“近年完成的类似工程设计项目情况表”应附中标通知书和（或）合同协议书、发包人出具的证明文件等材料；“近年完成的类似施工项目情况表”应附中标通知书和（或）合同协议书、工程接收证书（工程竣工验收证书）等材料。具体年份要求见投标人须知前附表，每张表格只填写一个项目，并标明序号。</w:t>
      </w:r>
    </w:p>
    <w:p w14:paraId="056CDA48">
      <w:pPr>
        <w:spacing w:line="400" w:lineRule="exact"/>
        <w:ind w:firstLine="420" w:firstLineChars="200"/>
        <w:rPr>
          <w:color w:val="auto"/>
          <w:highlight w:val="none"/>
        </w:rPr>
      </w:pPr>
      <w:r>
        <w:rPr>
          <w:color w:val="auto"/>
          <w:highlight w:val="none"/>
        </w:rPr>
        <w:t>3.5.4 “正在实施和新承接的项目情况表”应附中标通知书和（或）合同协议书等材料。每张表格只填写一个项目，并标明序号。</w:t>
      </w:r>
    </w:p>
    <w:p w14:paraId="25BF9116">
      <w:pPr>
        <w:spacing w:line="400" w:lineRule="exact"/>
        <w:ind w:firstLine="420" w:firstLineChars="200"/>
        <w:rPr>
          <w:color w:val="auto"/>
          <w:highlight w:val="none"/>
        </w:rPr>
      </w:pPr>
      <w:r>
        <w:rPr>
          <w:color w:val="auto"/>
          <w:highlight w:val="none"/>
        </w:rPr>
        <w:t>3.5.5 “近年发生的重大诉讼及仲裁情况”应说明相关情况，并附法院或仲裁机构作出的判决、裁决等有关法律文书的材料，具体年份要求见投标人须知前附表。</w:t>
      </w:r>
    </w:p>
    <w:p w14:paraId="2EF1277B">
      <w:pPr>
        <w:spacing w:line="400" w:lineRule="exact"/>
        <w:ind w:firstLine="420" w:firstLineChars="200"/>
        <w:rPr>
          <w:color w:val="auto"/>
          <w:highlight w:val="none"/>
        </w:rPr>
      </w:pPr>
      <w:r>
        <w:rPr>
          <w:color w:val="auto"/>
          <w:highlight w:val="none"/>
        </w:rPr>
        <w:t>3.5.6 投标人须知前附表规定接受联合体投标的，本章第3.5.1项至第3.5.5项规定的表格和资料应包括联合体各方相关情况。</w:t>
      </w:r>
    </w:p>
    <w:p w14:paraId="3DC0A8D0">
      <w:pPr>
        <w:spacing w:line="360" w:lineRule="exact"/>
        <w:ind w:firstLine="420" w:firstLineChars="200"/>
        <w:rPr>
          <w:color w:val="auto"/>
          <w:highlight w:val="none"/>
        </w:rPr>
      </w:pPr>
      <w:r>
        <w:rPr>
          <w:color w:val="auto"/>
          <w:highlight w:val="none"/>
        </w:rPr>
        <w:t>3.5.7投标人应按招标文件第七章“投标文件格式”中规定的表格内容填写资格审查表，并按各资格审查表的具体要求提供相关证件及证明材料。</w:t>
      </w:r>
    </w:p>
    <w:p w14:paraId="7AA1AAF3">
      <w:pPr>
        <w:spacing w:line="360" w:lineRule="exact"/>
        <w:ind w:firstLine="420" w:firstLineChars="200"/>
        <w:rPr>
          <w:color w:val="auto"/>
          <w:highlight w:val="none"/>
        </w:rPr>
      </w:pPr>
      <w:bookmarkStart w:id="255" w:name="_Hlk161651311"/>
      <w:r>
        <w:rPr>
          <w:color w:val="auto"/>
          <w:highlight w:val="none"/>
        </w:rPr>
        <w:t>3.5.8本招标文件中“类似项目”的定义见投标人须知前附表第10.1.1条目规定。</w:t>
      </w:r>
      <w:bookmarkEnd w:id="255"/>
    </w:p>
    <w:p w14:paraId="74ED084C">
      <w:pPr>
        <w:spacing w:line="360" w:lineRule="exact"/>
        <w:ind w:firstLine="420" w:firstLineChars="200"/>
        <w:rPr>
          <w:color w:val="auto"/>
          <w:highlight w:val="none"/>
        </w:rPr>
      </w:pPr>
      <w:bookmarkStart w:id="256" w:name="_Toc145081436"/>
      <w:bookmarkStart w:id="257" w:name="_Toc144974521"/>
      <w:bookmarkStart w:id="258" w:name="_Toc152045553"/>
      <w:bookmarkStart w:id="259" w:name="_Toc247527578"/>
      <w:bookmarkStart w:id="260" w:name="_Toc152042329"/>
      <w:bookmarkStart w:id="261" w:name="_Toc247513977"/>
      <w:r>
        <w:rPr>
          <w:color w:val="auto"/>
          <w:highlight w:val="none"/>
        </w:rPr>
        <w:t>3.5.9项目经理的已完成的类似项目的业绩，具体年份要求见投标人须知前附表。</w:t>
      </w:r>
    </w:p>
    <w:p w14:paraId="27247586">
      <w:pPr>
        <w:pStyle w:val="32"/>
        <w:spacing w:line="360" w:lineRule="exact"/>
        <w:ind w:firstLine="118"/>
        <w:rPr>
          <w:rFonts w:cs="Times New Roman"/>
          <w:color w:val="auto"/>
          <w:highlight w:val="none"/>
        </w:rPr>
      </w:pPr>
      <w:bookmarkStart w:id="262" w:name="_Toc167542403"/>
      <w:bookmarkStart w:id="263" w:name="_Toc256000031"/>
      <w:r>
        <w:rPr>
          <w:rFonts w:cs="Times New Roman"/>
          <w:color w:val="auto"/>
          <w:highlight w:val="none"/>
        </w:rPr>
        <w:t>3.6 备选投标方案</w:t>
      </w:r>
      <w:bookmarkEnd w:id="256"/>
      <w:bookmarkEnd w:id="257"/>
      <w:bookmarkEnd w:id="258"/>
      <w:bookmarkEnd w:id="259"/>
      <w:bookmarkEnd w:id="260"/>
      <w:bookmarkEnd w:id="261"/>
      <w:bookmarkEnd w:id="262"/>
      <w:bookmarkEnd w:id="263"/>
    </w:p>
    <w:p w14:paraId="6894B5A4">
      <w:pPr>
        <w:spacing w:line="400" w:lineRule="exact"/>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4BB2572">
      <w:pPr>
        <w:pStyle w:val="32"/>
        <w:spacing w:line="360" w:lineRule="exact"/>
        <w:ind w:firstLine="118"/>
        <w:rPr>
          <w:rFonts w:cs="Times New Roman"/>
          <w:color w:val="auto"/>
          <w:highlight w:val="none"/>
        </w:rPr>
      </w:pPr>
      <w:bookmarkStart w:id="264" w:name="_Toc152045554"/>
      <w:bookmarkStart w:id="265" w:name="_Toc145081437"/>
      <w:bookmarkStart w:id="266" w:name="_Toc247513978"/>
      <w:bookmarkStart w:id="267" w:name="_Toc256000032"/>
      <w:bookmarkStart w:id="268" w:name="_Toc167542404"/>
      <w:bookmarkStart w:id="269" w:name="_Toc152042330"/>
      <w:bookmarkStart w:id="270" w:name="_Toc144974522"/>
      <w:bookmarkStart w:id="271" w:name="_Toc247527579"/>
      <w:r>
        <w:rPr>
          <w:rFonts w:cs="Times New Roman"/>
          <w:color w:val="auto"/>
          <w:highlight w:val="none"/>
        </w:rPr>
        <w:t>3.7 投标文件的编制</w:t>
      </w:r>
      <w:bookmarkEnd w:id="264"/>
      <w:bookmarkEnd w:id="265"/>
      <w:bookmarkEnd w:id="266"/>
      <w:bookmarkEnd w:id="267"/>
      <w:bookmarkEnd w:id="268"/>
      <w:bookmarkEnd w:id="269"/>
      <w:bookmarkEnd w:id="270"/>
      <w:bookmarkEnd w:id="271"/>
    </w:p>
    <w:p w14:paraId="4E1D0D60">
      <w:pPr>
        <w:spacing w:line="400" w:lineRule="exact"/>
        <w:ind w:firstLine="420" w:firstLineChars="200"/>
        <w:rPr>
          <w:color w:val="auto"/>
          <w:highlight w:val="none"/>
        </w:rPr>
      </w:pPr>
      <w:r>
        <w:rPr>
          <w:color w:val="auto"/>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0D5B900C">
      <w:pPr>
        <w:spacing w:line="400" w:lineRule="exact"/>
        <w:ind w:firstLine="420" w:firstLineChars="200"/>
        <w:rPr>
          <w:color w:val="auto"/>
          <w:szCs w:val="21"/>
          <w:highlight w:val="none"/>
        </w:rPr>
      </w:pPr>
      <w:r>
        <w:rPr>
          <w:color w:val="auto"/>
          <w:highlight w:val="none"/>
        </w:rPr>
        <w:t>3.7.2 投标文件应当对招标文件有关</w:t>
      </w:r>
      <w:r>
        <w:rPr>
          <w:color w:val="auto"/>
          <w:szCs w:val="21"/>
          <w:highlight w:val="none"/>
        </w:rPr>
        <w:t>招标范围、投标有效期、工期、质量标准、发包人要求等实质性内容作出响应。</w:t>
      </w:r>
    </w:p>
    <w:p w14:paraId="7C8F8F75">
      <w:pPr>
        <w:spacing w:line="360" w:lineRule="exact"/>
        <w:ind w:firstLine="420" w:firstLineChars="200"/>
        <w:rPr>
          <w:color w:val="auto"/>
          <w:highlight w:val="none"/>
        </w:rPr>
      </w:pPr>
      <w:r>
        <w:rPr>
          <w:color w:val="auto"/>
          <w:highlight w:val="none"/>
        </w:rPr>
        <w:t>3.7.3 投标文件制作</w:t>
      </w:r>
    </w:p>
    <w:p w14:paraId="22211D2A">
      <w:pPr>
        <w:spacing w:line="360" w:lineRule="exact"/>
        <w:ind w:firstLine="420" w:firstLineChars="200"/>
        <w:rPr>
          <w:color w:val="auto"/>
          <w:highlight w:val="none"/>
        </w:rPr>
      </w:pPr>
      <w:r>
        <w:rPr>
          <w:color w:val="auto"/>
          <w:highlight w:val="none"/>
        </w:rPr>
        <w:t>（1）投标文件由投标人使用符合标准的数字化投标文件制作软件制作生成。</w:t>
      </w:r>
    </w:p>
    <w:p w14:paraId="3FA22551">
      <w:pPr>
        <w:spacing w:line="360" w:lineRule="exact"/>
        <w:ind w:firstLine="420" w:firstLineChars="200"/>
        <w:rPr>
          <w:color w:val="auto"/>
          <w:highlight w:val="none"/>
        </w:rPr>
      </w:pPr>
      <w:r>
        <w:rPr>
          <w:color w:val="auto"/>
          <w:highlight w:val="none"/>
        </w:rPr>
        <w:t>（2）投标人在编制投标文件时应当建立分级目录，并按照提示录入</w:t>
      </w:r>
      <w:r>
        <w:rPr>
          <w:rFonts w:hint="eastAsia"/>
          <w:color w:val="auto"/>
          <w:highlight w:val="none"/>
        </w:rPr>
        <w:t>或填写</w:t>
      </w:r>
      <w:r>
        <w:rPr>
          <w:color w:val="auto"/>
          <w:highlight w:val="none"/>
        </w:rPr>
        <w:t>相关内容。</w:t>
      </w:r>
    </w:p>
    <w:p w14:paraId="60F6E8F9">
      <w:pPr>
        <w:spacing w:line="360" w:lineRule="exact"/>
        <w:ind w:firstLine="420" w:firstLineChars="200"/>
        <w:rPr>
          <w:color w:val="auto"/>
          <w:highlight w:val="none"/>
        </w:rPr>
      </w:pPr>
      <w:r>
        <w:rPr>
          <w:color w:val="auto"/>
          <w:highlight w:val="none"/>
        </w:rPr>
        <w:t>（3）</w:t>
      </w:r>
      <w:r>
        <w:rPr>
          <w:rFonts w:hint="eastAsia"/>
          <w:color w:val="auto"/>
          <w:highlight w:val="none"/>
        </w:rPr>
        <w:t>投标人应当从企业主体信息库（2024年新版本辽宁省工程建设项目主体云库）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3ED64001">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395ED563">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0F30058C">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p w14:paraId="1A844794">
      <w:pPr>
        <w:spacing w:line="360" w:lineRule="exact"/>
        <w:ind w:firstLine="420" w:firstLineChars="200"/>
        <w:rPr>
          <w:color w:val="auto"/>
          <w:highlight w:val="none"/>
        </w:rPr>
      </w:pPr>
      <w:r>
        <w:rPr>
          <w:color w:val="auto"/>
          <w:highlight w:val="none"/>
        </w:rPr>
        <w:t>（4）第七章投标文件格式文件要求“盖单位章”的地方，投标人应使用数字证书（CA）加盖投标人的单位电子印章；要求“签章”的地方，投标人应使用数字证书（CA）加盖法定代表人（授权委托人）的个人电子印章或电子签名。联合体投标的，投标文件由联合体牵头人按上述规定在要求“盖单位章”的地方加盖联合体牵头人单位电子印章；在要求“签章”的地方加盖联合体牵头人法定代表人（授权委托人）的个人电子印章或电子签名。招标文件有特别说明的除外。</w:t>
      </w:r>
    </w:p>
    <w:p w14:paraId="0FF96D43">
      <w:pPr>
        <w:spacing w:line="360" w:lineRule="exact"/>
        <w:ind w:firstLine="420" w:firstLineChars="200"/>
        <w:rPr>
          <w:color w:val="auto"/>
          <w:highlight w:val="none"/>
        </w:rPr>
      </w:pPr>
      <w:r>
        <w:rPr>
          <w:color w:val="auto"/>
          <w:highlight w:val="none"/>
        </w:rPr>
        <w:t>（5）投标文件制作完成后，将生成一份加密的电子投标文件。投标人应当自行验证电子投标文件格式、内容和数据的准确性，原则上电子投标文件大小不得超过500M。电子投标文件由于格式、内容或数据存在错误造成无法解密或解析，视为撤回投标文件，责任由投标人自行承担。</w:t>
      </w:r>
    </w:p>
    <w:p w14:paraId="36A814BB">
      <w:pPr>
        <w:spacing w:line="360" w:lineRule="exact"/>
        <w:ind w:firstLine="420" w:firstLineChars="200"/>
        <w:rPr>
          <w:color w:val="auto"/>
          <w:highlight w:val="none"/>
        </w:rPr>
      </w:pPr>
      <w:r>
        <w:rPr>
          <w:color w:val="auto"/>
          <w:highlight w:val="none"/>
        </w:rPr>
        <w:t>（6）投标文件制作的具体方法详见“数字化投标文件制作软件”中的操作说明。</w:t>
      </w:r>
    </w:p>
    <w:p w14:paraId="0C8B3B9E">
      <w:pPr>
        <w:spacing w:line="360" w:lineRule="exact"/>
        <w:ind w:firstLine="420" w:firstLineChars="200"/>
        <w:rPr>
          <w:color w:val="auto"/>
          <w:highlight w:val="none"/>
        </w:rPr>
      </w:pPr>
      <w:r>
        <w:rPr>
          <w:color w:val="auto"/>
          <w:highlight w:val="none"/>
        </w:rPr>
        <w:t>3.7.4 投标人须知前附表规定“承包人实施方案”采用“</w:t>
      </w:r>
      <w:r>
        <w:rPr>
          <w:rFonts w:hint="eastAsia"/>
          <w:color w:val="auto"/>
          <w:highlight w:val="none"/>
        </w:rPr>
        <w:t>模块化</w:t>
      </w:r>
      <w:r>
        <w:rPr>
          <w:color w:val="auto"/>
          <w:highlight w:val="none"/>
        </w:rPr>
        <w:t>暗标”，“承包人实施方案”应按本章第3.7.3项制作投标文件并应满足下列要求：</w:t>
      </w:r>
    </w:p>
    <w:p w14:paraId="4A2E67F0">
      <w:pPr>
        <w:spacing w:line="360" w:lineRule="exact"/>
        <w:ind w:firstLine="420" w:firstLineChars="200"/>
        <w:rPr>
          <w:color w:val="auto"/>
          <w:highlight w:val="none"/>
        </w:rPr>
      </w:pPr>
      <w:r>
        <w:rPr>
          <w:color w:val="auto"/>
          <w:highlight w:val="none"/>
        </w:rPr>
        <w:t>（1）采用A4规格纸张，纸张方向为纵向，段落采用单倍行距，</w:t>
      </w:r>
      <w:bookmarkStart w:id="272" w:name="_Hlk152147349"/>
      <w:r>
        <w:rPr>
          <w:color w:val="auto"/>
          <w:highlight w:val="none"/>
        </w:rPr>
        <w:t>“文档网格”设置为“无网格”，</w:t>
      </w:r>
      <w:bookmarkEnd w:id="272"/>
      <w:r>
        <w:rPr>
          <w:color w:val="auto"/>
          <w:highlight w:val="none"/>
        </w:rPr>
        <w:t>对齐方式两端对齐，大纲级别正文文本，左侧、右侧缩进0个字符，首行缩进2个字符，段前、段后0行。编辑软件可采用Microsoft Word 2010及以上版本或WPS 2013版本及以上版本。</w:t>
      </w:r>
    </w:p>
    <w:p w14:paraId="5324CBA9">
      <w:pPr>
        <w:spacing w:line="360" w:lineRule="exact"/>
        <w:ind w:firstLine="420" w:firstLineChars="200"/>
        <w:rPr>
          <w:color w:val="auto"/>
          <w:highlight w:val="none"/>
        </w:rPr>
      </w:pPr>
      <w:r>
        <w:rPr>
          <w:color w:val="auto"/>
          <w:highlight w:val="none"/>
        </w:rPr>
        <w:t>（2）标题（包括章、节、条、款、项）、正文要求：采用A4规格纸张，文字为黑色小四号宋体，标题可加粗。</w:t>
      </w:r>
    </w:p>
    <w:p w14:paraId="7633D048">
      <w:pPr>
        <w:spacing w:line="360" w:lineRule="exact"/>
        <w:ind w:firstLine="420" w:firstLineChars="200"/>
        <w:rPr>
          <w:color w:val="auto"/>
          <w:highlight w:val="none"/>
        </w:rPr>
      </w:pPr>
      <w:r>
        <w:rPr>
          <w:color w:val="auto"/>
          <w:highlight w:val="none"/>
        </w:rPr>
        <w:t>（3）图表要求：图表应尽可能采用A4规格白色底色，对于比较大的图表可使用A3规格白色底色。</w:t>
      </w:r>
      <w:r>
        <w:rPr>
          <w:color w:val="auto"/>
          <w:szCs w:val="21"/>
          <w:highlight w:val="none"/>
        </w:rPr>
        <w:t>图表中的文字采用黑色，字体、字号不限（不包括纯表格，纯表格中文字要求同正文要求）。</w:t>
      </w:r>
      <w:r>
        <w:rPr>
          <w:color w:val="auto"/>
          <w:highlight w:val="none"/>
        </w:rPr>
        <w:t>图表（包括框图、流程图、结构图等，不包括纯表格）内容需转换为“图片”格式插入到文件对应位置上。</w:t>
      </w:r>
    </w:p>
    <w:p w14:paraId="475BDB6C">
      <w:pPr>
        <w:spacing w:line="360" w:lineRule="exact"/>
        <w:ind w:firstLine="420" w:firstLineChars="200"/>
        <w:rPr>
          <w:color w:val="auto"/>
          <w:highlight w:val="none"/>
        </w:rPr>
      </w:pPr>
      <w:r>
        <w:rPr>
          <w:color w:val="auto"/>
          <w:highlight w:val="none"/>
        </w:rPr>
        <w:t>（4）页眉和页脚（包括页码）设置要求：不允许出现页眉，且页脚只准出现页码，页码格式采用阿拉伯数字格式，字体为五号宋体，设在页脚居中位置，页码应当连续。</w:t>
      </w:r>
    </w:p>
    <w:p w14:paraId="3456FACE">
      <w:pPr>
        <w:spacing w:line="360" w:lineRule="exact"/>
        <w:ind w:firstLine="420" w:firstLineChars="200"/>
        <w:rPr>
          <w:color w:val="auto"/>
          <w:highlight w:val="none"/>
        </w:rPr>
      </w:pPr>
      <w:r>
        <w:rPr>
          <w:color w:val="auto"/>
          <w:highlight w:val="none"/>
        </w:rPr>
        <w:t>（5）不允许有目录，不允许涂改或删除痕迹，不允许字体涂色。</w:t>
      </w:r>
    </w:p>
    <w:p w14:paraId="4FC94A59">
      <w:pPr>
        <w:spacing w:line="400" w:lineRule="exact"/>
        <w:ind w:firstLine="420" w:firstLineChars="200"/>
        <w:rPr>
          <w:color w:val="auto"/>
          <w:highlight w:val="none"/>
        </w:rPr>
      </w:pPr>
      <w:r>
        <w:rPr>
          <w:color w:val="auto"/>
          <w:highlight w:val="none"/>
        </w:rPr>
        <w:t>（6）任何情况下， 承包人实施方案中不得出现投标人的名称和其</w:t>
      </w:r>
      <w:r>
        <w:rPr>
          <w:rFonts w:hint="eastAsia"/>
          <w:color w:val="auto"/>
          <w:highlight w:val="none"/>
          <w:lang w:val="en-US" w:eastAsia="zh-CN"/>
        </w:rPr>
        <w:t>他</w:t>
      </w:r>
      <w:r>
        <w:rPr>
          <w:color w:val="auto"/>
          <w:highlight w:val="none"/>
        </w:rPr>
        <w:t>可</w:t>
      </w:r>
      <w:r>
        <w:rPr>
          <w:rFonts w:hint="eastAsia"/>
          <w:color w:val="auto"/>
          <w:highlight w:val="none"/>
        </w:rPr>
        <w:t>以</w:t>
      </w:r>
      <w:r>
        <w:rPr>
          <w:color w:val="auto"/>
          <w:highlight w:val="none"/>
        </w:rPr>
        <w:t>识别投标人身份的字符、徽标、人员名称等以及雷同性标记内容。</w:t>
      </w:r>
    </w:p>
    <w:p w14:paraId="1345A090">
      <w:pPr>
        <w:pStyle w:val="30"/>
        <w:spacing w:line="360" w:lineRule="exact"/>
        <w:rPr>
          <w:rFonts w:cs="Times New Roman"/>
          <w:color w:val="auto"/>
          <w:highlight w:val="none"/>
        </w:rPr>
      </w:pPr>
      <w:bookmarkStart w:id="273" w:name="_Toc152042331"/>
      <w:bookmarkStart w:id="274" w:name="_Toc152045555"/>
      <w:bookmarkStart w:id="275" w:name="_Toc247513979"/>
      <w:bookmarkStart w:id="276" w:name="_Toc256000033"/>
      <w:bookmarkStart w:id="277" w:name="_Toc167542405"/>
      <w:bookmarkStart w:id="278" w:name="_Toc144974523"/>
      <w:bookmarkStart w:id="279" w:name="_Toc247527580"/>
      <w:r>
        <w:rPr>
          <w:rFonts w:cs="Times New Roman"/>
          <w:color w:val="auto"/>
          <w:highlight w:val="none"/>
        </w:rPr>
        <w:t>4. 投标</w:t>
      </w:r>
      <w:bookmarkEnd w:id="273"/>
      <w:bookmarkEnd w:id="274"/>
      <w:bookmarkEnd w:id="275"/>
      <w:bookmarkEnd w:id="276"/>
      <w:bookmarkEnd w:id="277"/>
      <w:bookmarkEnd w:id="278"/>
      <w:bookmarkEnd w:id="279"/>
    </w:p>
    <w:p w14:paraId="3C73C227">
      <w:pPr>
        <w:pStyle w:val="32"/>
        <w:spacing w:line="360" w:lineRule="exact"/>
        <w:ind w:firstLine="118"/>
        <w:rPr>
          <w:rFonts w:cs="Times New Roman"/>
          <w:color w:val="auto"/>
          <w:highlight w:val="none"/>
        </w:rPr>
      </w:pPr>
      <w:bookmarkStart w:id="280" w:name="_Toc247513980"/>
      <w:bookmarkStart w:id="281" w:name="_Toc152042332"/>
      <w:bookmarkStart w:id="282" w:name="_Toc247527581"/>
      <w:bookmarkStart w:id="283" w:name="_Toc152045556"/>
      <w:bookmarkStart w:id="284" w:name="_Toc144974524"/>
      <w:bookmarkStart w:id="285" w:name="_Toc256000034"/>
      <w:bookmarkStart w:id="286" w:name="_Toc167542406"/>
      <w:bookmarkStart w:id="287" w:name="_Toc145081439"/>
      <w:r>
        <w:rPr>
          <w:rFonts w:cs="Times New Roman"/>
          <w:color w:val="auto"/>
          <w:highlight w:val="none"/>
        </w:rPr>
        <w:t>4.1 投标文件的</w:t>
      </w:r>
      <w:bookmarkEnd w:id="280"/>
      <w:bookmarkEnd w:id="281"/>
      <w:bookmarkEnd w:id="282"/>
      <w:bookmarkEnd w:id="283"/>
      <w:bookmarkEnd w:id="284"/>
      <w:r>
        <w:rPr>
          <w:rFonts w:cs="Times New Roman"/>
          <w:color w:val="auto"/>
          <w:highlight w:val="none"/>
        </w:rPr>
        <w:t>加密</w:t>
      </w:r>
      <w:bookmarkEnd w:id="285"/>
      <w:bookmarkEnd w:id="286"/>
      <w:bookmarkEnd w:id="287"/>
    </w:p>
    <w:p w14:paraId="7A26CB06">
      <w:pPr>
        <w:spacing w:line="360" w:lineRule="exact"/>
        <w:ind w:firstLine="420" w:firstLineChars="200"/>
        <w:rPr>
          <w:color w:val="auto"/>
          <w:highlight w:val="none"/>
        </w:rPr>
      </w:pPr>
      <w:r>
        <w:rPr>
          <w:color w:val="auto"/>
          <w:highlight w:val="none"/>
        </w:rPr>
        <w:t>投标人应当按照本章第3.7.3项要求制作投标文件，并在投标时上传加密的投标文件，未加密的投标文件，招标人（</w:t>
      </w:r>
      <w:bookmarkStart w:id="288" w:name="_Hlk157864029"/>
      <w:r>
        <w:rPr>
          <w:color w:val="auto"/>
          <w:highlight w:val="none"/>
        </w:rPr>
        <w:t>电子招标投标系统</w:t>
      </w:r>
      <w:bookmarkEnd w:id="288"/>
      <w:r>
        <w:rPr>
          <w:color w:val="auto"/>
          <w:highlight w:val="none"/>
        </w:rPr>
        <w:t>）将拒收并提示。</w:t>
      </w:r>
    </w:p>
    <w:p w14:paraId="73729247">
      <w:pPr>
        <w:pStyle w:val="32"/>
        <w:spacing w:line="360" w:lineRule="exact"/>
        <w:ind w:firstLine="118"/>
        <w:rPr>
          <w:rFonts w:cs="Times New Roman"/>
          <w:color w:val="auto"/>
          <w:highlight w:val="none"/>
        </w:rPr>
      </w:pPr>
      <w:bookmarkStart w:id="289" w:name="_Toc152045557"/>
      <w:bookmarkStart w:id="290" w:name="_Toc152042333"/>
      <w:bookmarkStart w:id="291" w:name="_Toc145081440"/>
      <w:bookmarkStart w:id="292" w:name="_Toc167542407"/>
      <w:bookmarkStart w:id="293" w:name="_Toc247527582"/>
      <w:bookmarkStart w:id="294" w:name="_Toc144974525"/>
      <w:bookmarkStart w:id="295" w:name="_Toc256000035"/>
      <w:bookmarkStart w:id="296" w:name="_Toc247513981"/>
      <w:r>
        <w:rPr>
          <w:rFonts w:cs="Times New Roman"/>
          <w:color w:val="auto"/>
          <w:highlight w:val="none"/>
        </w:rPr>
        <w:t>4.2 投标文件的递交</w:t>
      </w:r>
      <w:bookmarkEnd w:id="289"/>
      <w:bookmarkEnd w:id="290"/>
      <w:bookmarkEnd w:id="291"/>
      <w:bookmarkEnd w:id="292"/>
      <w:bookmarkEnd w:id="293"/>
      <w:bookmarkEnd w:id="294"/>
      <w:bookmarkEnd w:id="295"/>
      <w:bookmarkEnd w:id="296"/>
    </w:p>
    <w:p w14:paraId="07957316">
      <w:pPr>
        <w:spacing w:line="400" w:lineRule="exact"/>
        <w:ind w:firstLine="420" w:firstLineChars="200"/>
        <w:rPr>
          <w:color w:val="auto"/>
          <w:highlight w:val="none"/>
        </w:rPr>
      </w:pPr>
      <w:r>
        <w:rPr>
          <w:color w:val="auto"/>
          <w:highlight w:val="none"/>
        </w:rPr>
        <w:t>4.2.1 投标人应在投标人须知前附表规定的投标截止时间前递交投标文件。</w:t>
      </w:r>
    </w:p>
    <w:p w14:paraId="0DBE1C46">
      <w:pPr>
        <w:spacing w:line="360" w:lineRule="exact"/>
        <w:ind w:firstLine="420" w:firstLineChars="200"/>
        <w:rPr>
          <w:color w:val="auto"/>
          <w:highlight w:val="none"/>
        </w:rPr>
      </w:pPr>
      <w:r>
        <w:rPr>
          <w:color w:val="auto"/>
          <w:highlight w:val="none"/>
        </w:rPr>
        <w:t>4.2.2</w:t>
      </w:r>
      <w:bookmarkStart w:id="297" w:name="_Hlk162093171"/>
      <w:r>
        <w:rPr>
          <w:color w:val="auto"/>
          <w:highlight w:val="none"/>
        </w:rPr>
        <w:t>投标人应当在投标截止时间前，通过</w:t>
      </w:r>
      <w:bookmarkStart w:id="298" w:name="_Hlk164706113"/>
      <w:r>
        <w:rPr>
          <w:color w:val="auto"/>
          <w:highlight w:val="none"/>
        </w:rPr>
        <w:t>电子交易系统（投标盲盒工具）</w:t>
      </w:r>
      <w:bookmarkEnd w:id="298"/>
      <w:r>
        <w:rPr>
          <w:color w:val="auto"/>
          <w:highlight w:val="none"/>
        </w:rPr>
        <w:t>选择所投标段将加密的投标文件上传至</w:t>
      </w:r>
      <w:r>
        <w:rPr>
          <w:rFonts w:hint="eastAsia"/>
          <w:color w:val="auto"/>
          <w:highlight w:val="none"/>
        </w:rPr>
        <w:t>电子招标投标系统（</w:t>
      </w:r>
      <w:r>
        <w:rPr>
          <w:bCs/>
          <w:color w:val="auto"/>
          <w:highlight w:val="none"/>
        </w:rPr>
        <w:t>辽宁省工程建设项目数字化开标评标系统</w:t>
      </w:r>
      <w:r>
        <w:rPr>
          <w:rFonts w:hint="eastAsia"/>
          <w:color w:val="auto"/>
          <w:highlight w:val="none"/>
        </w:rPr>
        <w:t>）</w:t>
      </w:r>
      <w:r>
        <w:rPr>
          <w:color w:val="auto"/>
          <w:highlight w:val="none"/>
        </w:rPr>
        <w:t>。投标人应充分考虑上传文件时的不可预见因素，投标文件未在投标截止时间前完成上传的，视为逾期送达，招标人</w:t>
      </w:r>
      <w:r>
        <w:rPr>
          <w:rFonts w:hint="eastAsia"/>
          <w:color w:val="auto"/>
          <w:highlight w:val="none"/>
        </w:rPr>
        <w:t>（</w:t>
      </w:r>
      <w:r>
        <w:rPr>
          <w:color w:val="auto"/>
          <w:highlight w:val="none"/>
        </w:rPr>
        <w:t>电子</w:t>
      </w:r>
      <w:r>
        <w:rPr>
          <w:rFonts w:hint="eastAsia"/>
          <w:color w:val="auto"/>
          <w:highlight w:val="none"/>
        </w:rPr>
        <w:t>交易系统）</w:t>
      </w:r>
      <w:r>
        <w:rPr>
          <w:color w:val="auto"/>
          <w:highlight w:val="none"/>
        </w:rPr>
        <w:t>将拒收其投标文件。</w:t>
      </w:r>
    </w:p>
    <w:p w14:paraId="5E53FD0F">
      <w:pPr>
        <w:spacing w:line="360" w:lineRule="exact"/>
        <w:ind w:firstLine="420" w:firstLineChars="200"/>
        <w:rPr>
          <w:color w:val="auto"/>
          <w:highlight w:val="none"/>
        </w:rPr>
      </w:pPr>
      <w:r>
        <w:rPr>
          <w:color w:val="auto"/>
          <w:highlight w:val="none"/>
        </w:rPr>
        <w:t>投标人完成投标文件上传成功后，电子交易系统向投标人发出电子签收凭证，递交时间以电子签收凭证载明的时间为准。</w:t>
      </w:r>
      <w:bookmarkEnd w:id="297"/>
    </w:p>
    <w:p w14:paraId="542DA7D9">
      <w:pPr>
        <w:spacing w:line="400" w:lineRule="exact"/>
        <w:ind w:firstLine="420" w:firstLineChars="200"/>
        <w:rPr>
          <w:color w:val="auto"/>
          <w:highlight w:val="none"/>
        </w:rPr>
      </w:pPr>
      <w:r>
        <w:rPr>
          <w:color w:val="auto"/>
          <w:highlight w:val="none"/>
        </w:rPr>
        <w:t>4.2.3 除投标人须知前附表另有规定外，投标人所递交的投标文件不予退还。</w:t>
      </w:r>
    </w:p>
    <w:p w14:paraId="3E8BC3DC">
      <w:pPr>
        <w:pStyle w:val="32"/>
        <w:spacing w:line="360" w:lineRule="exact"/>
        <w:ind w:firstLine="118"/>
        <w:rPr>
          <w:rFonts w:cs="Times New Roman"/>
          <w:color w:val="auto"/>
          <w:highlight w:val="none"/>
        </w:rPr>
      </w:pPr>
      <w:bookmarkStart w:id="299" w:name="_Toc152045558"/>
      <w:bookmarkStart w:id="300" w:name="_Toc152042334"/>
      <w:bookmarkStart w:id="301" w:name="_Toc256000036"/>
      <w:bookmarkStart w:id="302" w:name="_Toc144974526"/>
      <w:bookmarkStart w:id="303" w:name="_Toc247527583"/>
      <w:bookmarkStart w:id="304" w:name="_Toc247513982"/>
      <w:bookmarkStart w:id="305" w:name="_Toc167542408"/>
      <w:bookmarkStart w:id="306" w:name="_Toc145081441"/>
      <w:r>
        <w:rPr>
          <w:rFonts w:cs="Times New Roman"/>
          <w:color w:val="auto"/>
          <w:highlight w:val="none"/>
        </w:rPr>
        <w:t>4.3 投标文件的修改与撤回</w:t>
      </w:r>
      <w:bookmarkEnd w:id="299"/>
      <w:bookmarkEnd w:id="300"/>
      <w:bookmarkEnd w:id="301"/>
      <w:bookmarkEnd w:id="302"/>
      <w:bookmarkEnd w:id="303"/>
      <w:bookmarkEnd w:id="304"/>
      <w:bookmarkEnd w:id="305"/>
      <w:bookmarkEnd w:id="306"/>
    </w:p>
    <w:p w14:paraId="17E9C24E">
      <w:pPr>
        <w:spacing w:line="400" w:lineRule="exact"/>
        <w:ind w:firstLine="420" w:firstLineChars="200"/>
        <w:rPr>
          <w:color w:val="auto"/>
          <w:highlight w:val="none"/>
        </w:rPr>
      </w:pPr>
      <w:r>
        <w:rPr>
          <w:color w:val="auto"/>
          <w:highlight w:val="none"/>
        </w:rPr>
        <w:t>4.3.1 在本章第4.2.1项规定的投标截止时间前，投标人可以修改或撤回已递交的投标文件。</w:t>
      </w:r>
    </w:p>
    <w:p w14:paraId="2055D9B5">
      <w:pPr>
        <w:spacing w:line="400" w:lineRule="exact"/>
        <w:ind w:firstLine="420" w:firstLineChars="200"/>
        <w:rPr>
          <w:color w:val="auto"/>
          <w:highlight w:val="none"/>
        </w:rPr>
      </w:pPr>
      <w:r>
        <w:rPr>
          <w:color w:val="auto"/>
          <w:highlight w:val="none"/>
        </w:rPr>
        <w:t>4.3.2 投标人撤回投标文件的，在电子交易系统（投标盲盒工具）直接进行撤回操作。</w:t>
      </w:r>
    </w:p>
    <w:p w14:paraId="615D33FD">
      <w:pPr>
        <w:spacing w:line="400" w:lineRule="exact"/>
        <w:ind w:firstLine="420" w:firstLineChars="200"/>
        <w:rPr>
          <w:color w:val="auto"/>
          <w:highlight w:val="none"/>
        </w:rPr>
      </w:pPr>
      <w:r>
        <w:rPr>
          <w:color w:val="auto"/>
          <w:highlight w:val="none"/>
        </w:rPr>
        <w:t>4.3.3 投标人修改投标文件的，应当先按本章第4.3.2项的规定撤回投标文件，再使用投标文件制作软件制作成完整的投标文件，并按照本章第3条、第4条规定进行编制和递交</w:t>
      </w:r>
      <w:bookmarkStart w:id="307" w:name="_Hlk161477706"/>
      <w:bookmarkStart w:id="308" w:name="_Hlk161651407"/>
      <w:r>
        <w:rPr>
          <w:color w:val="auto"/>
          <w:highlight w:val="none"/>
        </w:rPr>
        <w:t>，递交时间以投标截止时间前最后完成上传的文件为准</w:t>
      </w:r>
      <w:bookmarkEnd w:id="307"/>
      <w:r>
        <w:rPr>
          <w:color w:val="auto"/>
          <w:highlight w:val="none"/>
        </w:rPr>
        <w:t>。</w:t>
      </w:r>
      <w:bookmarkEnd w:id="308"/>
    </w:p>
    <w:p w14:paraId="19B3C867">
      <w:pPr>
        <w:pStyle w:val="30"/>
        <w:spacing w:line="360" w:lineRule="exact"/>
        <w:rPr>
          <w:rFonts w:cs="Times New Roman"/>
          <w:color w:val="auto"/>
          <w:highlight w:val="none"/>
        </w:rPr>
      </w:pPr>
      <w:bookmarkStart w:id="309" w:name="_Toc152042335"/>
      <w:bookmarkStart w:id="310" w:name="_Toc247527584"/>
      <w:bookmarkStart w:id="311" w:name="_Toc167542409"/>
      <w:bookmarkStart w:id="312" w:name="_Toc144974527"/>
      <w:bookmarkStart w:id="313" w:name="_Toc247513983"/>
      <w:bookmarkStart w:id="314" w:name="_Toc152045559"/>
      <w:bookmarkStart w:id="315" w:name="_Toc256000037"/>
      <w:r>
        <w:rPr>
          <w:rFonts w:cs="Times New Roman"/>
          <w:color w:val="auto"/>
          <w:highlight w:val="none"/>
        </w:rPr>
        <w:t>5. 开标</w:t>
      </w:r>
      <w:bookmarkEnd w:id="309"/>
      <w:bookmarkEnd w:id="310"/>
      <w:bookmarkEnd w:id="311"/>
      <w:bookmarkEnd w:id="312"/>
      <w:bookmarkEnd w:id="313"/>
      <w:bookmarkEnd w:id="314"/>
      <w:bookmarkEnd w:id="315"/>
    </w:p>
    <w:p w14:paraId="2694379E">
      <w:pPr>
        <w:pStyle w:val="32"/>
        <w:spacing w:line="360" w:lineRule="exact"/>
        <w:ind w:firstLine="118"/>
        <w:rPr>
          <w:rFonts w:cs="Times New Roman"/>
          <w:color w:val="auto"/>
          <w:highlight w:val="none"/>
        </w:rPr>
      </w:pPr>
      <w:bookmarkStart w:id="316" w:name="_Toc152042336"/>
      <w:bookmarkStart w:id="317" w:name="_Toc152045560"/>
      <w:bookmarkStart w:id="318" w:name="_Toc167542410"/>
      <w:bookmarkStart w:id="319" w:name="_Toc247513984"/>
      <w:bookmarkStart w:id="320" w:name="_Toc145081443"/>
      <w:bookmarkStart w:id="321" w:name="_Toc247527585"/>
      <w:bookmarkStart w:id="322" w:name="_Toc144974528"/>
      <w:bookmarkStart w:id="323" w:name="_Toc256000038"/>
      <w:r>
        <w:rPr>
          <w:rFonts w:cs="Times New Roman"/>
          <w:color w:val="auto"/>
          <w:highlight w:val="none"/>
        </w:rPr>
        <w:t>5.1 开标时间和地点</w:t>
      </w:r>
      <w:bookmarkEnd w:id="316"/>
      <w:bookmarkEnd w:id="317"/>
      <w:bookmarkEnd w:id="318"/>
      <w:bookmarkEnd w:id="319"/>
      <w:bookmarkEnd w:id="320"/>
      <w:bookmarkEnd w:id="321"/>
      <w:bookmarkEnd w:id="322"/>
      <w:bookmarkEnd w:id="323"/>
    </w:p>
    <w:p w14:paraId="300D6251">
      <w:pPr>
        <w:spacing w:line="400" w:lineRule="exact"/>
        <w:ind w:firstLine="420" w:firstLineChars="200"/>
        <w:rPr>
          <w:color w:val="auto"/>
          <w:highlight w:val="none"/>
        </w:rPr>
      </w:pPr>
      <w:r>
        <w:rPr>
          <w:color w:val="auto"/>
          <w:highlight w:val="none"/>
        </w:rPr>
        <w:t>5.1.1招标人在本章第4.2.1项规定的投标截止时间（开标时间）在</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上公开进行开标，所有投标人均应当参加开标。招标人按照投标人须知前附表规定的方式组织开标。</w:t>
      </w:r>
    </w:p>
    <w:p w14:paraId="3FD03821">
      <w:pPr>
        <w:spacing w:line="360" w:lineRule="exact"/>
        <w:ind w:firstLine="420" w:firstLineChars="200"/>
        <w:rPr>
          <w:color w:val="auto"/>
          <w:highlight w:val="none"/>
        </w:rPr>
      </w:pPr>
      <w:r>
        <w:rPr>
          <w:color w:val="auto"/>
          <w:highlight w:val="none"/>
        </w:rPr>
        <w:t>5.1.2招标人在投标人须知前附表规定的地点组织开标，并在投标截止时间30分钟前，登录并进入</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选择相应标段作开标的准备工作。</w:t>
      </w:r>
    </w:p>
    <w:p w14:paraId="05A58DAF">
      <w:pPr>
        <w:spacing w:line="400" w:lineRule="exact"/>
        <w:ind w:firstLine="420" w:firstLineChars="200"/>
        <w:rPr>
          <w:color w:val="auto"/>
          <w:highlight w:val="none"/>
        </w:rPr>
      </w:pPr>
      <w:r>
        <w:rPr>
          <w:color w:val="auto"/>
          <w:highlight w:val="none"/>
        </w:rPr>
        <w:t>5.1.3 投标人应当在能够保证设施设备可靠、互联网畅通的任意地点，按照本章第5.1.1项规定的组织方式，通过互联网远程在线或现场集中参加开标，使用加密其投标文件的数字证书（CA）登录</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选择所投标段进行签到，并实时关注招标人的操作情况。</w:t>
      </w:r>
    </w:p>
    <w:p w14:paraId="46316732">
      <w:pPr>
        <w:pStyle w:val="32"/>
        <w:spacing w:line="360" w:lineRule="exact"/>
        <w:ind w:firstLine="118"/>
        <w:rPr>
          <w:rFonts w:cs="Times New Roman"/>
          <w:color w:val="auto"/>
          <w:highlight w:val="none"/>
        </w:rPr>
      </w:pPr>
      <w:bookmarkStart w:id="324" w:name="_Toc247527586"/>
      <w:bookmarkStart w:id="325" w:name="_Toc144974529"/>
      <w:bookmarkStart w:id="326" w:name="_Toc256000039"/>
      <w:bookmarkStart w:id="327" w:name="_Toc145081444"/>
      <w:bookmarkStart w:id="328" w:name="_Toc152042337"/>
      <w:bookmarkStart w:id="329" w:name="_Toc152045561"/>
      <w:bookmarkStart w:id="330" w:name="_Toc247513985"/>
      <w:bookmarkStart w:id="331" w:name="_Toc167542411"/>
      <w:r>
        <w:rPr>
          <w:rFonts w:cs="Times New Roman"/>
          <w:color w:val="auto"/>
          <w:highlight w:val="none"/>
        </w:rPr>
        <w:t>5.2 开标程序</w:t>
      </w:r>
      <w:bookmarkEnd w:id="324"/>
      <w:bookmarkEnd w:id="325"/>
      <w:bookmarkEnd w:id="326"/>
      <w:bookmarkEnd w:id="327"/>
      <w:bookmarkEnd w:id="328"/>
      <w:bookmarkEnd w:id="329"/>
      <w:bookmarkEnd w:id="330"/>
      <w:bookmarkEnd w:id="331"/>
    </w:p>
    <w:p w14:paraId="6195B23D">
      <w:pPr>
        <w:spacing w:line="400" w:lineRule="exact"/>
        <w:ind w:firstLine="420" w:firstLineChars="200"/>
        <w:rPr>
          <w:color w:val="auto"/>
          <w:highlight w:val="none"/>
        </w:rPr>
      </w:pPr>
      <w:r>
        <w:rPr>
          <w:color w:val="auto"/>
          <w:highlight w:val="none"/>
        </w:rPr>
        <w:t>5.2.1主持人按下列程序在</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进行开标：</w:t>
      </w:r>
    </w:p>
    <w:p w14:paraId="06C51AE4">
      <w:pPr>
        <w:spacing w:line="400" w:lineRule="exact"/>
        <w:ind w:firstLine="359" w:firstLineChars="171"/>
        <w:rPr>
          <w:color w:val="auto"/>
          <w:highlight w:val="none"/>
        </w:rPr>
      </w:pPr>
      <w:r>
        <w:rPr>
          <w:color w:val="auto"/>
          <w:highlight w:val="none"/>
        </w:rPr>
        <w:t>（1）宣布开标纪律；</w:t>
      </w:r>
    </w:p>
    <w:p w14:paraId="164986DD">
      <w:pPr>
        <w:spacing w:line="400" w:lineRule="exact"/>
        <w:ind w:firstLine="359" w:firstLineChars="171"/>
        <w:rPr>
          <w:color w:val="auto"/>
          <w:highlight w:val="none"/>
        </w:rPr>
      </w:pPr>
      <w:r>
        <w:rPr>
          <w:color w:val="auto"/>
          <w:highlight w:val="none"/>
        </w:rPr>
        <w:t xml:space="preserve">（2）公布主持人、招标人代表、监标人等有关人员姓名； </w:t>
      </w:r>
    </w:p>
    <w:p w14:paraId="7B028AF9">
      <w:pPr>
        <w:spacing w:line="400" w:lineRule="exact"/>
        <w:ind w:firstLine="359" w:firstLineChars="171"/>
        <w:rPr>
          <w:color w:val="auto"/>
          <w:highlight w:val="none"/>
        </w:rPr>
      </w:pPr>
      <w:r>
        <w:rPr>
          <w:color w:val="auto"/>
          <w:highlight w:val="none"/>
        </w:rPr>
        <w:t>（3）公布在投标截止时间前投标文件的递交情况；</w:t>
      </w:r>
    </w:p>
    <w:p w14:paraId="06DB1E1A">
      <w:pPr>
        <w:spacing w:line="400" w:lineRule="exact"/>
        <w:ind w:firstLine="359" w:firstLineChars="171"/>
        <w:rPr>
          <w:color w:val="auto"/>
          <w:highlight w:val="none"/>
        </w:rPr>
      </w:pPr>
      <w:r>
        <w:rPr>
          <w:color w:val="auto"/>
          <w:highlight w:val="none"/>
        </w:rPr>
        <w:t>（4）公布投标保证金递交情况（对担保保函、保证保险进行实时验真）；</w:t>
      </w:r>
    </w:p>
    <w:p w14:paraId="6B5566C0">
      <w:pPr>
        <w:spacing w:line="400" w:lineRule="exact"/>
        <w:ind w:firstLine="359" w:firstLineChars="171"/>
        <w:rPr>
          <w:color w:val="auto"/>
          <w:highlight w:val="none"/>
        </w:rPr>
      </w:pPr>
      <w:r>
        <w:rPr>
          <w:color w:val="auto"/>
          <w:highlight w:val="none"/>
        </w:rPr>
        <w:t>（5）投标人根据提示在投标人须知前附表规定的时间内解密投标文件；</w:t>
      </w:r>
    </w:p>
    <w:p w14:paraId="047DD822">
      <w:pPr>
        <w:spacing w:line="400" w:lineRule="exact"/>
        <w:ind w:firstLine="359" w:firstLineChars="171"/>
        <w:rPr>
          <w:color w:val="auto"/>
          <w:highlight w:val="none"/>
        </w:rPr>
      </w:pPr>
      <w:r>
        <w:rPr>
          <w:color w:val="auto"/>
          <w:highlight w:val="none"/>
        </w:rPr>
        <w:t>（6）读取已解密的投标文件的内容；</w:t>
      </w:r>
    </w:p>
    <w:p w14:paraId="5A035740">
      <w:pPr>
        <w:spacing w:line="400" w:lineRule="exact"/>
        <w:ind w:firstLine="359" w:firstLineChars="171"/>
        <w:rPr>
          <w:color w:val="auto"/>
          <w:highlight w:val="none"/>
        </w:rPr>
      </w:pPr>
      <w:r>
        <w:rPr>
          <w:color w:val="auto"/>
          <w:highlight w:val="none"/>
        </w:rPr>
        <w:t>（7）公布投标人名称、标段名称、投标保证金的递交情况、投标报价、项目经理姓名及其他内容，并生成开标记录；</w:t>
      </w:r>
    </w:p>
    <w:p w14:paraId="31F43DE2">
      <w:pPr>
        <w:spacing w:line="400" w:lineRule="exact"/>
        <w:ind w:firstLine="359" w:firstLineChars="171"/>
        <w:rPr>
          <w:color w:val="auto"/>
          <w:highlight w:val="none"/>
        </w:rPr>
      </w:pPr>
      <w:r>
        <w:rPr>
          <w:color w:val="auto"/>
          <w:highlight w:val="none"/>
        </w:rPr>
        <w:t>（8）投标人对开标记录进行确认；</w:t>
      </w:r>
    </w:p>
    <w:p w14:paraId="532725EE">
      <w:pPr>
        <w:spacing w:line="400" w:lineRule="exact"/>
        <w:ind w:firstLine="359" w:firstLineChars="171"/>
        <w:rPr>
          <w:color w:val="auto"/>
          <w:highlight w:val="none"/>
        </w:rPr>
      </w:pPr>
      <w:r>
        <w:rPr>
          <w:color w:val="auto"/>
          <w:highlight w:val="none"/>
        </w:rPr>
        <w:t>（9）开标结束。</w:t>
      </w:r>
    </w:p>
    <w:p w14:paraId="245AED03">
      <w:pPr>
        <w:spacing w:line="360" w:lineRule="exact"/>
        <w:ind w:firstLine="420" w:firstLineChars="200"/>
        <w:rPr>
          <w:color w:val="auto"/>
          <w:highlight w:val="none"/>
        </w:rPr>
      </w:pPr>
      <w:r>
        <w:rPr>
          <w:color w:val="auto"/>
          <w:highlight w:val="none"/>
        </w:rPr>
        <w:t>5.2.2 生成开标记录后10分钟内，投标人通过</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对开标结果予以确认。未在规定时间内确认或未确认的视为对开标过程及结果无异议。</w:t>
      </w:r>
    </w:p>
    <w:p w14:paraId="4B700374">
      <w:pPr>
        <w:spacing w:line="360" w:lineRule="exact"/>
        <w:ind w:firstLine="420" w:firstLineChars="200"/>
        <w:rPr>
          <w:bCs/>
          <w:iCs/>
          <w:color w:val="auto"/>
          <w:highlight w:val="none"/>
        </w:rPr>
      </w:pPr>
      <w:r>
        <w:rPr>
          <w:color w:val="auto"/>
          <w:highlight w:val="none"/>
        </w:rPr>
        <w:t xml:space="preserve">5.2.3 </w:t>
      </w:r>
      <w:bookmarkStart w:id="332" w:name="_Hlk161477723"/>
      <w:r>
        <w:rPr>
          <w:bCs/>
          <w:iCs/>
          <w:color w:val="auto"/>
          <w:highlight w:val="none"/>
        </w:rPr>
        <w:t>在本章第5.2.1（5）目规定的时间内，已解密的投标文件少于三个的，招标失败；已解密的投标文件不少于三个，开标继续进行。</w:t>
      </w:r>
    </w:p>
    <w:p w14:paraId="755BB883">
      <w:pPr>
        <w:spacing w:line="360" w:lineRule="exact"/>
        <w:ind w:firstLine="420" w:firstLineChars="200"/>
        <w:rPr>
          <w:bCs/>
          <w:iCs/>
          <w:color w:val="auto"/>
          <w:highlight w:val="none"/>
        </w:rPr>
      </w:pPr>
      <w:r>
        <w:rPr>
          <w:bCs/>
          <w:iCs/>
          <w:color w:val="auto"/>
          <w:highlight w:val="none"/>
        </w:rPr>
        <w:t>因投标人原因（如数字证书（CA）损坏或密码丢失或输入错误、投标人自身网络中断等非开标系统原因）造成投标文件未解密的，视为投标人撤回投标文件。</w:t>
      </w:r>
    </w:p>
    <w:p w14:paraId="38669493">
      <w:pPr>
        <w:spacing w:line="400" w:lineRule="exact"/>
        <w:ind w:firstLine="359" w:firstLineChars="171"/>
        <w:rPr>
          <w:color w:val="auto"/>
          <w:highlight w:val="none"/>
        </w:rPr>
      </w:pPr>
      <w:r>
        <w:rPr>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332"/>
    </w:p>
    <w:p w14:paraId="6447791C">
      <w:pPr>
        <w:pStyle w:val="32"/>
        <w:spacing w:line="360" w:lineRule="exact"/>
        <w:ind w:firstLine="118"/>
        <w:rPr>
          <w:rFonts w:cs="Times New Roman"/>
          <w:color w:val="auto"/>
          <w:highlight w:val="none"/>
        </w:rPr>
      </w:pPr>
      <w:bookmarkStart w:id="333" w:name="_Toc167542412"/>
      <w:bookmarkStart w:id="334" w:name="_Toc145081445"/>
      <w:bookmarkStart w:id="335" w:name="_Toc256000040"/>
      <w:r>
        <w:rPr>
          <w:rFonts w:cs="Times New Roman"/>
          <w:color w:val="auto"/>
          <w:highlight w:val="none"/>
        </w:rPr>
        <w:t>5.3 开标异议</w:t>
      </w:r>
      <w:bookmarkEnd w:id="333"/>
      <w:bookmarkEnd w:id="334"/>
      <w:bookmarkEnd w:id="335"/>
    </w:p>
    <w:p w14:paraId="55E45C38">
      <w:pPr>
        <w:spacing w:line="400" w:lineRule="exact"/>
        <w:ind w:firstLine="359" w:firstLineChars="171"/>
        <w:rPr>
          <w:color w:val="auto"/>
          <w:highlight w:val="none"/>
        </w:rPr>
      </w:pPr>
      <w:bookmarkStart w:id="336" w:name="_Toc152045562"/>
      <w:bookmarkStart w:id="337" w:name="_Toc152042338"/>
      <w:bookmarkStart w:id="338" w:name="_Toc247513986"/>
      <w:bookmarkStart w:id="339" w:name="_Toc144974530"/>
      <w:bookmarkStart w:id="340" w:name="_Toc247527587"/>
      <w:r>
        <w:rPr>
          <w:color w:val="auto"/>
          <w:highlight w:val="none"/>
        </w:rPr>
        <w:t>5.3.1投标人对开标有异议的，应当在开标过程中提出；招标人当场对异议作出答复，并记入开标记录。异议与答复应通过</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以书面形式进行。</w:t>
      </w:r>
    </w:p>
    <w:p w14:paraId="08EF81A2">
      <w:pPr>
        <w:spacing w:line="400" w:lineRule="exact"/>
        <w:ind w:firstLine="359" w:firstLineChars="171"/>
        <w:rPr>
          <w:color w:val="auto"/>
          <w:highlight w:val="none"/>
        </w:rPr>
      </w:pPr>
      <w:r>
        <w:rPr>
          <w:color w:val="auto"/>
          <w:highlight w:val="none"/>
        </w:rPr>
        <w:t>本条所称异议是指投标人在开标过程中对投标文件提交、投标截止时间、开标程序、开标记录以及投标人和招标人或者投标人相互之间存在利益冲突的情形等提出的质疑。</w:t>
      </w:r>
    </w:p>
    <w:p w14:paraId="05592D7A">
      <w:pPr>
        <w:spacing w:line="400" w:lineRule="exact"/>
        <w:ind w:firstLine="359" w:firstLineChars="171"/>
        <w:rPr>
          <w:color w:val="auto"/>
          <w:highlight w:val="none"/>
        </w:rPr>
      </w:pPr>
      <w:r>
        <w:rPr>
          <w:color w:val="auto"/>
          <w:highlight w:val="none"/>
        </w:rPr>
        <w:t>5.3.2 投标人异议成立的，招标人将及时采取纠正措施，或者提交评标委员会评审确认；投标人异议不成立的，招标人将当场给予解释说明。</w:t>
      </w:r>
    </w:p>
    <w:p w14:paraId="1C528405">
      <w:pPr>
        <w:spacing w:line="400" w:lineRule="exact"/>
        <w:ind w:firstLine="359" w:firstLineChars="171"/>
        <w:rPr>
          <w:color w:val="auto"/>
          <w:highlight w:val="none"/>
        </w:rPr>
      </w:pPr>
      <w:r>
        <w:rPr>
          <w:color w:val="auto"/>
          <w:highlight w:val="none"/>
        </w:rPr>
        <w:t>5.3.3投标人未在开标过程中提出异议，视为异议权利灭失，不可再对开标提出异议。</w:t>
      </w:r>
    </w:p>
    <w:p w14:paraId="026F59DA">
      <w:pPr>
        <w:pStyle w:val="32"/>
        <w:spacing w:line="360" w:lineRule="exact"/>
        <w:ind w:firstLine="118"/>
        <w:rPr>
          <w:rFonts w:cs="Times New Roman"/>
          <w:color w:val="auto"/>
          <w:highlight w:val="none"/>
        </w:rPr>
      </w:pPr>
      <w:bookmarkStart w:id="341" w:name="_Toc256000041"/>
      <w:bookmarkStart w:id="342" w:name="_Toc167542413"/>
      <w:bookmarkStart w:id="343" w:name="_Toc718"/>
      <w:bookmarkStart w:id="344" w:name="_Toc400530224"/>
      <w:bookmarkStart w:id="345" w:name="_Toc402465011"/>
      <w:r>
        <w:rPr>
          <w:rFonts w:cs="Times New Roman"/>
          <w:color w:val="auto"/>
          <w:highlight w:val="none"/>
        </w:rPr>
        <w:t>5.4 特殊情况的处置</w:t>
      </w:r>
      <w:bookmarkEnd w:id="341"/>
      <w:bookmarkEnd w:id="342"/>
      <w:bookmarkEnd w:id="343"/>
    </w:p>
    <w:p w14:paraId="2908D4B7">
      <w:pPr>
        <w:spacing w:line="360" w:lineRule="exact"/>
        <w:ind w:firstLine="420" w:firstLineChars="200"/>
        <w:rPr>
          <w:color w:val="auto"/>
          <w:highlight w:val="none"/>
        </w:rPr>
      </w:pPr>
      <w:r>
        <w:rPr>
          <w:color w:val="auto"/>
          <w:highlight w:val="none"/>
        </w:rPr>
        <w:t>5.4.1因</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故障导致无法投标的，管理部门及时通知招标人，招标人视情况决定是否顺延投标截止时间。因投标人自身原因导致无法完成投标的，由投标人自行承担后果。</w:t>
      </w:r>
    </w:p>
    <w:p w14:paraId="5FD5457B">
      <w:pPr>
        <w:spacing w:line="360" w:lineRule="exact"/>
        <w:ind w:firstLine="420" w:firstLineChars="200"/>
        <w:rPr>
          <w:color w:val="auto"/>
          <w:highlight w:val="none"/>
        </w:rPr>
      </w:pPr>
      <w:r>
        <w:rPr>
          <w:color w:val="auto"/>
          <w:highlight w:val="none"/>
        </w:rPr>
        <w:t>5.4.2 因</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故障导致无法正常开标的，招标人将暂停开标，待系统恢复正常后继续开标。</w:t>
      </w:r>
    </w:p>
    <w:p w14:paraId="22BB1139">
      <w:pPr>
        <w:spacing w:line="360" w:lineRule="exact"/>
        <w:ind w:firstLine="420" w:firstLineChars="200"/>
        <w:rPr>
          <w:color w:val="auto"/>
          <w:highlight w:val="none"/>
        </w:rPr>
      </w:pP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bCs/>
          <w:color w:val="auto"/>
          <w:highlight w:val="none"/>
        </w:rPr>
        <w:t>技术服务单位将立即启动应急响应机制，积极排查系统故障，解决问题。</w:t>
      </w:r>
    </w:p>
    <w:p w14:paraId="34FDD635">
      <w:pPr>
        <w:spacing w:line="360" w:lineRule="exact"/>
        <w:ind w:firstLine="420" w:firstLineChars="200"/>
        <w:rPr>
          <w:color w:val="auto"/>
          <w:highlight w:val="none"/>
        </w:rPr>
      </w:pPr>
      <w:r>
        <w:rPr>
          <w:color w:val="auto"/>
          <w:highlight w:val="none"/>
        </w:rPr>
        <w:t xml:space="preserve">5.4.3 </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故障是指下列情形：</w:t>
      </w:r>
    </w:p>
    <w:p w14:paraId="564827FC">
      <w:pPr>
        <w:spacing w:line="360" w:lineRule="exact"/>
        <w:ind w:firstLine="420" w:firstLineChars="200"/>
        <w:rPr>
          <w:color w:val="auto"/>
          <w:highlight w:val="none"/>
        </w:rPr>
      </w:pPr>
      <w:r>
        <w:rPr>
          <w:color w:val="auto"/>
          <w:highlight w:val="none"/>
        </w:rPr>
        <w:t>（1）系统服务器发生故障，无法访问或无法使用系统；</w:t>
      </w:r>
    </w:p>
    <w:p w14:paraId="2ACF9499">
      <w:pPr>
        <w:spacing w:line="360" w:lineRule="exact"/>
        <w:ind w:firstLine="420" w:firstLineChars="200"/>
        <w:rPr>
          <w:color w:val="auto"/>
          <w:highlight w:val="none"/>
        </w:rPr>
      </w:pPr>
      <w:r>
        <w:rPr>
          <w:color w:val="auto"/>
          <w:highlight w:val="none"/>
        </w:rPr>
        <w:t>（2）系统的软件或数据库出现错误，不能进行正常操作；</w:t>
      </w:r>
    </w:p>
    <w:p w14:paraId="78994726">
      <w:pPr>
        <w:spacing w:line="360" w:lineRule="exact"/>
        <w:ind w:firstLine="420" w:firstLineChars="200"/>
        <w:rPr>
          <w:color w:val="auto"/>
          <w:highlight w:val="none"/>
        </w:rPr>
      </w:pPr>
      <w:r>
        <w:rPr>
          <w:color w:val="auto"/>
          <w:highlight w:val="none"/>
        </w:rPr>
        <w:t>（3）系统发现有安全漏洞，有潜在的泄密危险；</w:t>
      </w:r>
    </w:p>
    <w:p w14:paraId="6A584686">
      <w:pPr>
        <w:spacing w:line="360" w:lineRule="exact"/>
        <w:ind w:firstLine="420" w:firstLineChars="200"/>
        <w:rPr>
          <w:color w:val="auto"/>
          <w:highlight w:val="none"/>
        </w:rPr>
      </w:pPr>
      <w:r>
        <w:rPr>
          <w:color w:val="auto"/>
          <w:highlight w:val="none"/>
        </w:rPr>
        <w:t>（4）系统出现网络攻击；</w:t>
      </w:r>
    </w:p>
    <w:p w14:paraId="5B76273B">
      <w:pPr>
        <w:spacing w:line="360" w:lineRule="exact"/>
        <w:ind w:firstLine="420" w:firstLineChars="200"/>
        <w:rPr>
          <w:color w:val="auto"/>
          <w:highlight w:val="none"/>
        </w:rPr>
      </w:pPr>
      <w:r>
        <w:rPr>
          <w:color w:val="auto"/>
          <w:highlight w:val="none"/>
        </w:rPr>
        <w:t>（5）出现断电、断网事故；</w:t>
      </w:r>
    </w:p>
    <w:p w14:paraId="6C0AE93E">
      <w:pPr>
        <w:spacing w:line="360" w:lineRule="exact"/>
        <w:ind w:firstLine="420" w:firstLineChars="200"/>
        <w:rPr>
          <w:color w:val="auto"/>
          <w:highlight w:val="none"/>
        </w:rPr>
      </w:pPr>
      <w:r>
        <w:rPr>
          <w:color w:val="auto"/>
          <w:highlight w:val="none"/>
        </w:rPr>
        <w:t>（6）出现法定不可抗力因素；</w:t>
      </w:r>
    </w:p>
    <w:p w14:paraId="37781899">
      <w:pPr>
        <w:spacing w:line="360" w:lineRule="exact"/>
        <w:ind w:firstLine="420" w:firstLineChars="200"/>
        <w:rPr>
          <w:color w:val="auto"/>
          <w:highlight w:val="none"/>
        </w:rPr>
      </w:pPr>
      <w:r>
        <w:rPr>
          <w:color w:val="auto"/>
          <w:highlight w:val="none"/>
        </w:rPr>
        <w:t>（7）其他无法保证招投标过程正常进行的情形。</w:t>
      </w:r>
      <w:bookmarkEnd w:id="344"/>
      <w:bookmarkEnd w:id="345"/>
    </w:p>
    <w:p w14:paraId="775D2498">
      <w:pPr>
        <w:pStyle w:val="30"/>
        <w:spacing w:line="360" w:lineRule="exact"/>
        <w:rPr>
          <w:rFonts w:cs="Times New Roman"/>
          <w:color w:val="auto"/>
          <w:highlight w:val="none"/>
        </w:rPr>
      </w:pPr>
      <w:bookmarkStart w:id="346" w:name="_Toc256000042"/>
      <w:bookmarkStart w:id="347" w:name="_Toc167542414"/>
      <w:r>
        <w:rPr>
          <w:rFonts w:cs="Times New Roman"/>
          <w:color w:val="auto"/>
          <w:highlight w:val="none"/>
        </w:rPr>
        <w:t>6. 评标</w:t>
      </w:r>
      <w:bookmarkEnd w:id="336"/>
      <w:bookmarkEnd w:id="337"/>
      <w:bookmarkEnd w:id="338"/>
      <w:bookmarkEnd w:id="339"/>
      <w:bookmarkEnd w:id="340"/>
      <w:bookmarkEnd w:id="346"/>
      <w:bookmarkEnd w:id="347"/>
    </w:p>
    <w:p w14:paraId="16971D39">
      <w:pPr>
        <w:pStyle w:val="32"/>
        <w:spacing w:line="360" w:lineRule="exact"/>
        <w:ind w:firstLine="118"/>
        <w:rPr>
          <w:rFonts w:cs="Times New Roman"/>
          <w:color w:val="auto"/>
          <w:highlight w:val="none"/>
        </w:rPr>
      </w:pPr>
      <w:bookmarkStart w:id="348" w:name="_Toc247513987"/>
      <w:bookmarkStart w:id="349" w:name="_Toc167542415"/>
      <w:bookmarkStart w:id="350" w:name="_Toc256000043"/>
      <w:bookmarkStart w:id="351" w:name="_Toc152042339"/>
      <w:bookmarkStart w:id="352" w:name="_Toc152045563"/>
      <w:bookmarkStart w:id="353" w:name="_Toc247527588"/>
      <w:bookmarkStart w:id="354" w:name="_Toc145081447"/>
      <w:bookmarkStart w:id="355" w:name="_Toc144974531"/>
      <w:r>
        <w:rPr>
          <w:rFonts w:cs="Times New Roman"/>
          <w:color w:val="auto"/>
          <w:highlight w:val="none"/>
        </w:rPr>
        <w:t>6.1 评标委员会</w:t>
      </w:r>
      <w:bookmarkEnd w:id="348"/>
      <w:bookmarkEnd w:id="349"/>
      <w:bookmarkEnd w:id="350"/>
      <w:bookmarkEnd w:id="351"/>
      <w:bookmarkEnd w:id="352"/>
      <w:bookmarkEnd w:id="353"/>
      <w:bookmarkEnd w:id="354"/>
      <w:bookmarkEnd w:id="355"/>
    </w:p>
    <w:p w14:paraId="28983B3E">
      <w:pPr>
        <w:spacing w:line="400" w:lineRule="exact"/>
        <w:ind w:firstLine="420" w:firstLineChars="200"/>
        <w:rPr>
          <w:color w:val="auto"/>
          <w:highlight w:val="none"/>
        </w:rPr>
      </w:pPr>
      <w:r>
        <w:rPr>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30AFA32">
      <w:pPr>
        <w:spacing w:line="400" w:lineRule="exact"/>
        <w:ind w:firstLine="420" w:firstLineChars="200"/>
        <w:rPr>
          <w:color w:val="auto"/>
          <w:highlight w:val="none"/>
        </w:rPr>
      </w:pPr>
      <w:r>
        <w:rPr>
          <w:color w:val="auto"/>
          <w:highlight w:val="none"/>
        </w:rPr>
        <w:t>6.1.2 评标委员会成员有下列情形之一的，应当回避：</w:t>
      </w:r>
    </w:p>
    <w:p w14:paraId="60996E08">
      <w:pPr>
        <w:spacing w:line="400" w:lineRule="exact"/>
        <w:ind w:firstLine="718" w:firstLineChars="342"/>
        <w:rPr>
          <w:color w:val="auto"/>
          <w:highlight w:val="none"/>
        </w:rPr>
      </w:pPr>
      <w:r>
        <w:rPr>
          <w:color w:val="auto"/>
          <w:highlight w:val="none"/>
        </w:rPr>
        <w:t>（1）投标人或投标人主要负责人的近亲属；</w:t>
      </w:r>
    </w:p>
    <w:p w14:paraId="2C0E5D82">
      <w:pPr>
        <w:spacing w:line="400" w:lineRule="exact"/>
        <w:ind w:firstLine="718" w:firstLineChars="342"/>
        <w:rPr>
          <w:color w:val="auto"/>
          <w:highlight w:val="none"/>
        </w:rPr>
      </w:pPr>
      <w:r>
        <w:rPr>
          <w:color w:val="auto"/>
          <w:highlight w:val="none"/>
        </w:rPr>
        <w:t>（2）项目主管部门或者行政监督部门的人员；</w:t>
      </w:r>
    </w:p>
    <w:p w14:paraId="301565B0">
      <w:pPr>
        <w:spacing w:line="400" w:lineRule="exact"/>
        <w:ind w:firstLine="718" w:firstLineChars="342"/>
        <w:rPr>
          <w:color w:val="auto"/>
          <w:highlight w:val="none"/>
        </w:rPr>
      </w:pPr>
      <w:r>
        <w:rPr>
          <w:color w:val="auto"/>
          <w:highlight w:val="none"/>
        </w:rPr>
        <w:t>（3）与投标人有经济利益关系，可能影响对投标公正评审的；</w:t>
      </w:r>
    </w:p>
    <w:p w14:paraId="33A22E34">
      <w:pPr>
        <w:spacing w:line="400" w:lineRule="exact"/>
        <w:ind w:firstLine="718" w:firstLineChars="342"/>
        <w:rPr>
          <w:color w:val="auto"/>
          <w:highlight w:val="none"/>
        </w:rPr>
      </w:pPr>
      <w:r>
        <w:rPr>
          <w:color w:val="auto"/>
          <w:highlight w:val="none"/>
        </w:rPr>
        <w:t>（4）曾因在招标、评标以及其他与招标投标有关活动中从事违法行为而受过行政处罚或刑事处罚的。</w:t>
      </w:r>
    </w:p>
    <w:p w14:paraId="5A8AEB08">
      <w:pPr>
        <w:pStyle w:val="32"/>
        <w:spacing w:line="360" w:lineRule="exact"/>
        <w:ind w:firstLine="118"/>
        <w:rPr>
          <w:rFonts w:cs="Times New Roman"/>
          <w:color w:val="auto"/>
          <w:highlight w:val="none"/>
        </w:rPr>
      </w:pPr>
      <w:bookmarkStart w:id="356" w:name="_Toc152045564"/>
      <w:bookmarkStart w:id="357" w:name="_Toc167542416"/>
      <w:bookmarkStart w:id="358" w:name="_Toc256000044"/>
      <w:bookmarkStart w:id="359" w:name="_Toc247527589"/>
      <w:bookmarkStart w:id="360" w:name="_Toc152042340"/>
      <w:bookmarkStart w:id="361" w:name="_Toc247513988"/>
      <w:bookmarkStart w:id="362" w:name="_Toc144974532"/>
      <w:bookmarkStart w:id="363" w:name="_Toc145081448"/>
      <w:r>
        <w:rPr>
          <w:rFonts w:cs="Times New Roman"/>
          <w:color w:val="auto"/>
          <w:highlight w:val="none"/>
        </w:rPr>
        <w:t>6.2 评标原则</w:t>
      </w:r>
      <w:bookmarkEnd w:id="356"/>
      <w:bookmarkEnd w:id="357"/>
      <w:bookmarkEnd w:id="358"/>
      <w:bookmarkEnd w:id="359"/>
      <w:bookmarkEnd w:id="360"/>
      <w:bookmarkEnd w:id="361"/>
      <w:bookmarkEnd w:id="362"/>
      <w:bookmarkEnd w:id="363"/>
      <w:r>
        <w:rPr>
          <w:rFonts w:cs="Times New Roman"/>
          <w:color w:val="auto"/>
          <w:highlight w:val="none"/>
        </w:rPr>
        <w:tab/>
      </w:r>
    </w:p>
    <w:p w14:paraId="36500428">
      <w:pPr>
        <w:spacing w:line="400" w:lineRule="exact"/>
        <w:ind w:firstLine="420" w:firstLineChars="200"/>
        <w:rPr>
          <w:color w:val="auto"/>
          <w:highlight w:val="none"/>
        </w:rPr>
      </w:pPr>
      <w:r>
        <w:rPr>
          <w:color w:val="auto"/>
          <w:highlight w:val="none"/>
        </w:rPr>
        <w:t>评标活动遵循公平、公正、科学和择优的原则。</w:t>
      </w:r>
    </w:p>
    <w:p w14:paraId="34FCDC2B">
      <w:pPr>
        <w:pStyle w:val="32"/>
        <w:spacing w:line="360" w:lineRule="exact"/>
        <w:ind w:firstLine="118"/>
        <w:rPr>
          <w:rFonts w:cs="Times New Roman"/>
          <w:color w:val="auto"/>
          <w:highlight w:val="none"/>
        </w:rPr>
      </w:pPr>
      <w:bookmarkStart w:id="364" w:name="_Toc247513989"/>
      <w:bookmarkStart w:id="365" w:name="_Toc256000045"/>
      <w:bookmarkStart w:id="366" w:name="_Toc144974533"/>
      <w:bookmarkStart w:id="367" w:name="_Toc145081449"/>
      <w:bookmarkStart w:id="368" w:name="_Toc247527590"/>
      <w:bookmarkStart w:id="369" w:name="_Toc152042341"/>
      <w:bookmarkStart w:id="370" w:name="_Toc167542417"/>
      <w:bookmarkStart w:id="371" w:name="_Toc152045565"/>
      <w:r>
        <w:rPr>
          <w:rFonts w:cs="Times New Roman"/>
          <w:color w:val="auto"/>
          <w:highlight w:val="none"/>
        </w:rPr>
        <w:t>6.3 评标</w:t>
      </w:r>
      <w:bookmarkEnd w:id="364"/>
      <w:bookmarkEnd w:id="365"/>
      <w:bookmarkEnd w:id="366"/>
      <w:bookmarkEnd w:id="367"/>
      <w:bookmarkEnd w:id="368"/>
      <w:bookmarkEnd w:id="369"/>
      <w:bookmarkEnd w:id="370"/>
      <w:bookmarkEnd w:id="371"/>
    </w:p>
    <w:p w14:paraId="4288A260">
      <w:pPr>
        <w:spacing w:line="360" w:lineRule="exact"/>
        <w:ind w:firstLine="420" w:firstLineChars="200"/>
        <w:rPr>
          <w:color w:val="auto"/>
          <w:highlight w:val="none"/>
        </w:rPr>
      </w:pPr>
      <w:bookmarkStart w:id="372" w:name="_Toc247527591"/>
      <w:bookmarkStart w:id="373" w:name="_Toc247513990"/>
      <w:bookmarkStart w:id="374" w:name="_Toc152045566"/>
      <w:bookmarkStart w:id="375" w:name="_Toc144974534"/>
      <w:bookmarkStart w:id="376" w:name="_Toc152042342"/>
      <w:r>
        <w:rPr>
          <w:color w:val="auto"/>
          <w:highlight w:val="none"/>
        </w:rPr>
        <w:t>评标委员会按照第三章“评标办法”规定的方法、评审因素、标准和程序对投标文件进行评审。第三章“评标办法”没有规定的方法、评审因素和标准，不作为评标依据。</w:t>
      </w:r>
    </w:p>
    <w:p w14:paraId="5E586DFC">
      <w:pPr>
        <w:spacing w:line="360" w:lineRule="exact"/>
        <w:ind w:firstLine="420" w:firstLineChars="200"/>
        <w:rPr>
          <w:color w:val="auto"/>
          <w:highlight w:val="none"/>
        </w:rPr>
      </w:pPr>
      <w:r>
        <w:rPr>
          <w:color w:val="auto"/>
          <w:highlight w:val="none"/>
        </w:rPr>
        <w:t>评标采用方式详见投标人须知前附表。</w:t>
      </w:r>
    </w:p>
    <w:p w14:paraId="2558A090">
      <w:pPr>
        <w:pStyle w:val="32"/>
        <w:spacing w:line="360" w:lineRule="exact"/>
        <w:ind w:firstLine="118"/>
        <w:rPr>
          <w:rFonts w:cs="Times New Roman"/>
          <w:color w:val="auto"/>
          <w:highlight w:val="none"/>
        </w:rPr>
      </w:pPr>
      <w:bookmarkStart w:id="377" w:name="_Toc167542418"/>
      <w:bookmarkStart w:id="378" w:name="_Toc256000046"/>
      <w:bookmarkStart w:id="379" w:name="_Toc145081452"/>
      <w:r>
        <w:rPr>
          <w:rFonts w:cs="Times New Roman"/>
          <w:color w:val="auto"/>
          <w:highlight w:val="none"/>
        </w:rPr>
        <w:t>6.4 评标结果公示</w:t>
      </w:r>
      <w:bookmarkEnd w:id="377"/>
      <w:bookmarkEnd w:id="378"/>
      <w:bookmarkEnd w:id="379"/>
    </w:p>
    <w:p w14:paraId="39133AAA">
      <w:pPr>
        <w:spacing w:line="360" w:lineRule="exact"/>
        <w:ind w:firstLine="420" w:firstLineChars="200"/>
        <w:rPr>
          <w:color w:val="auto"/>
          <w:highlight w:val="none"/>
        </w:rPr>
      </w:pPr>
      <w:r>
        <w:rPr>
          <w:color w:val="auto"/>
          <w:highlight w:val="none"/>
        </w:rPr>
        <w:t>招标人在收到评标报告之日起3日内，按照投标人须知前附表规定的公示媒介和期限公示中标候选人，公示期不得少于3日。招标人在中标候选人公示前将对评标委员会提交的评标报告进行审查，发现异常情形的，依照法定程序进行复核，确认存在问题的，依照法定程序予以纠正。</w:t>
      </w:r>
    </w:p>
    <w:p w14:paraId="7B3FEFD1">
      <w:pPr>
        <w:spacing w:line="360" w:lineRule="exact"/>
        <w:ind w:firstLine="420" w:firstLineChars="200"/>
        <w:rPr>
          <w:color w:val="auto"/>
          <w:highlight w:val="none"/>
        </w:rPr>
      </w:pPr>
      <w:r>
        <w:rPr>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w:t>
      </w:r>
      <w:r>
        <w:rPr>
          <w:rFonts w:hint="eastAsia"/>
          <w:color w:val="auto"/>
          <w:highlight w:val="none"/>
        </w:rPr>
        <w:t>异议与答复应通过电子招标投标系统（辽宁省工程建设项目招标投标异议投诉处理系统）以书面形式进行。</w:t>
      </w:r>
    </w:p>
    <w:p w14:paraId="1522D2B0">
      <w:pPr>
        <w:pStyle w:val="32"/>
        <w:spacing w:line="360" w:lineRule="exact"/>
        <w:ind w:firstLine="118"/>
        <w:rPr>
          <w:rFonts w:cs="Times New Roman"/>
          <w:color w:val="auto"/>
          <w:highlight w:val="none"/>
        </w:rPr>
      </w:pPr>
      <w:bookmarkStart w:id="380" w:name="_Toc167542419"/>
      <w:bookmarkStart w:id="381" w:name="_Toc426495250"/>
      <w:bookmarkStart w:id="382" w:name="_Toc256000047"/>
      <w:bookmarkStart w:id="383" w:name="_Toc152264344"/>
      <w:r>
        <w:rPr>
          <w:rFonts w:cs="Times New Roman"/>
          <w:color w:val="auto"/>
          <w:highlight w:val="none"/>
        </w:rPr>
        <w:t>6.5 履约能力的核查（如有）</w:t>
      </w:r>
      <w:bookmarkEnd w:id="380"/>
      <w:bookmarkEnd w:id="381"/>
      <w:bookmarkEnd w:id="382"/>
      <w:bookmarkEnd w:id="383"/>
    </w:p>
    <w:p w14:paraId="176BDEC6">
      <w:pPr>
        <w:spacing w:line="360" w:lineRule="exact"/>
        <w:ind w:firstLine="420" w:firstLineChars="200"/>
        <w:rPr>
          <w:color w:val="auto"/>
          <w:highlight w:val="none"/>
        </w:rPr>
      </w:pPr>
      <w:r>
        <w:rPr>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r>
        <w:rPr>
          <w:rFonts w:hint="eastAsia"/>
          <w:color w:val="auto"/>
          <w:highlight w:val="none"/>
        </w:rPr>
        <w:t>核查</w:t>
      </w:r>
      <w:r>
        <w:rPr>
          <w:color w:val="auto"/>
          <w:highlight w:val="none"/>
        </w:rPr>
        <w:t>确认。</w:t>
      </w:r>
    </w:p>
    <w:p w14:paraId="7C091311">
      <w:pPr>
        <w:pStyle w:val="30"/>
        <w:spacing w:line="360" w:lineRule="exact"/>
        <w:rPr>
          <w:rFonts w:cs="Times New Roman"/>
          <w:color w:val="auto"/>
          <w:highlight w:val="none"/>
        </w:rPr>
      </w:pPr>
      <w:bookmarkStart w:id="384" w:name="_Toc167542420"/>
      <w:bookmarkStart w:id="385" w:name="_Toc256000048"/>
      <w:r>
        <w:rPr>
          <w:rFonts w:cs="Times New Roman"/>
          <w:color w:val="auto"/>
          <w:highlight w:val="none"/>
        </w:rPr>
        <w:t>7. 合同授予</w:t>
      </w:r>
      <w:bookmarkEnd w:id="372"/>
      <w:bookmarkEnd w:id="373"/>
      <w:bookmarkEnd w:id="374"/>
      <w:bookmarkEnd w:id="375"/>
      <w:bookmarkEnd w:id="376"/>
      <w:bookmarkEnd w:id="384"/>
      <w:bookmarkEnd w:id="385"/>
    </w:p>
    <w:p w14:paraId="7DED962C">
      <w:pPr>
        <w:pStyle w:val="32"/>
        <w:spacing w:line="360" w:lineRule="exact"/>
        <w:ind w:firstLine="118"/>
        <w:rPr>
          <w:rFonts w:cs="Times New Roman"/>
          <w:color w:val="auto"/>
          <w:highlight w:val="none"/>
        </w:rPr>
      </w:pPr>
      <w:bookmarkStart w:id="386" w:name="_Toc247513991"/>
      <w:bookmarkStart w:id="387" w:name="_Toc152045567"/>
      <w:bookmarkStart w:id="388" w:name="_Toc256000049"/>
      <w:bookmarkStart w:id="389" w:name="_Toc247527592"/>
      <w:bookmarkStart w:id="390" w:name="_Toc152042343"/>
      <w:bookmarkStart w:id="391" w:name="_Toc167542421"/>
      <w:bookmarkStart w:id="392" w:name="_Toc145081451"/>
      <w:bookmarkStart w:id="393" w:name="_Toc144974535"/>
      <w:r>
        <w:rPr>
          <w:rFonts w:cs="Times New Roman"/>
          <w:color w:val="auto"/>
          <w:highlight w:val="none"/>
        </w:rPr>
        <w:t>7.1 定标方式</w:t>
      </w:r>
      <w:bookmarkEnd w:id="386"/>
      <w:bookmarkEnd w:id="387"/>
      <w:bookmarkEnd w:id="388"/>
      <w:bookmarkEnd w:id="389"/>
      <w:bookmarkEnd w:id="390"/>
      <w:bookmarkEnd w:id="391"/>
      <w:bookmarkEnd w:id="392"/>
      <w:bookmarkEnd w:id="393"/>
    </w:p>
    <w:p w14:paraId="58E144F7">
      <w:pPr>
        <w:spacing w:line="360" w:lineRule="exact"/>
        <w:ind w:firstLine="420" w:firstLineChars="200"/>
        <w:rPr>
          <w:color w:val="auto"/>
          <w:highlight w:val="none"/>
        </w:rPr>
      </w:pPr>
      <w:bookmarkStart w:id="394"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395" w:name="_Hlk166315975"/>
      <w:r>
        <w:rPr>
          <w:rFonts w:hint="eastAsia"/>
          <w:color w:val="auto"/>
          <w:highlight w:val="none"/>
        </w:rPr>
        <w:t>评标委员会推荐中标候选人的人数见投标人须知前附表。</w:t>
      </w:r>
      <w:bookmarkEnd w:id="394"/>
      <w:bookmarkEnd w:id="395"/>
    </w:p>
    <w:p w14:paraId="1CE96036">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396"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396"/>
    </w:p>
    <w:p w14:paraId="519F135D">
      <w:pPr>
        <w:pStyle w:val="32"/>
        <w:spacing w:line="360" w:lineRule="exact"/>
        <w:ind w:firstLine="118"/>
        <w:rPr>
          <w:rFonts w:cs="Times New Roman"/>
          <w:color w:val="auto"/>
          <w:highlight w:val="none"/>
        </w:rPr>
      </w:pPr>
      <w:bookmarkStart w:id="397" w:name="_Toc152042344"/>
      <w:bookmarkStart w:id="398" w:name="_Toc167542422"/>
      <w:bookmarkStart w:id="399" w:name="_Toc247527593"/>
      <w:bookmarkStart w:id="400" w:name="_Toc256000050"/>
      <w:bookmarkStart w:id="401" w:name="_Toc152045568"/>
      <w:bookmarkStart w:id="402" w:name="_Toc247513992"/>
      <w:bookmarkStart w:id="403" w:name="_Toc144974536"/>
      <w:bookmarkStart w:id="404" w:name="_Toc145081453"/>
      <w:r>
        <w:rPr>
          <w:rFonts w:cs="Times New Roman"/>
          <w:color w:val="auto"/>
          <w:highlight w:val="none"/>
        </w:rPr>
        <w:t>7.2 中标通知</w:t>
      </w:r>
      <w:bookmarkEnd w:id="397"/>
      <w:bookmarkEnd w:id="398"/>
      <w:bookmarkEnd w:id="399"/>
      <w:bookmarkEnd w:id="400"/>
      <w:bookmarkEnd w:id="401"/>
      <w:bookmarkEnd w:id="402"/>
      <w:bookmarkEnd w:id="403"/>
      <w:bookmarkEnd w:id="404"/>
    </w:p>
    <w:p w14:paraId="4D7CBD1C">
      <w:pPr>
        <w:spacing w:line="360" w:lineRule="exact"/>
        <w:ind w:firstLine="420" w:firstLineChars="200"/>
        <w:rPr>
          <w:color w:val="auto"/>
          <w:highlight w:val="none"/>
        </w:rPr>
      </w:pPr>
      <w:r>
        <w:rPr>
          <w:color w:val="auto"/>
          <w:highlight w:val="none"/>
        </w:rPr>
        <w:t>在本章第 3.3 款规定的投标有效期内，招标人通过电子</w:t>
      </w:r>
      <w:r>
        <w:rPr>
          <w:rFonts w:hint="eastAsia"/>
          <w:color w:val="auto"/>
          <w:highlight w:val="none"/>
        </w:rPr>
        <w:t>交易</w:t>
      </w:r>
      <w:r>
        <w:rPr>
          <w:color w:val="auto"/>
          <w:highlight w:val="none"/>
        </w:rPr>
        <w:t>系统以书面形式向中标人发出经电子监督系统验证备案的中标通知书，同时将中标结果通知未中标的投标人。</w:t>
      </w:r>
    </w:p>
    <w:p w14:paraId="74BB407A">
      <w:pPr>
        <w:spacing w:line="360" w:lineRule="exact"/>
        <w:ind w:firstLine="420" w:firstLineChars="200"/>
        <w:rPr>
          <w:color w:val="auto"/>
          <w:highlight w:val="none"/>
        </w:rPr>
      </w:pPr>
      <w:bookmarkStart w:id="405" w:name="_Hlk162096908"/>
      <w:r>
        <w:rPr>
          <w:color w:val="auto"/>
          <w:highlight w:val="none"/>
        </w:rPr>
        <w:t>中标通知书发出的同时，招标人将在投标人须知前附表第6.4款规定的媒介发布中标结果公示。</w:t>
      </w:r>
    </w:p>
    <w:bookmarkEnd w:id="405"/>
    <w:p w14:paraId="3D0C7634">
      <w:pPr>
        <w:pStyle w:val="32"/>
        <w:spacing w:line="360" w:lineRule="exact"/>
        <w:ind w:firstLine="118"/>
        <w:rPr>
          <w:rFonts w:cs="Times New Roman"/>
          <w:color w:val="auto"/>
          <w:highlight w:val="none"/>
        </w:rPr>
      </w:pPr>
      <w:bookmarkStart w:id="406" w:name="_Toc152042345"/>
      <w:bookmarkStart w:id="407" w:name="_Toc247527594"/>
      <w:bookmarkStart w:id="408" w:name="_Toc144974537"/>
      <w:bookmarkStart w:id="409" w:name="_Toc145081454"/>
      <w:bookmarkStart w:id="410" w:name="_Toc167542423"/>
      <w:bookmarkStart w:id="411" w:name="_Toc256000051"/>
      <w:bookmarkStart w:id="412" w:name="_Toc152045569"/>
      <w:bookmarkStart w:id="413" w:name="_Toc247513993"/>
      <w:r>
        <w:rPr>
          <w:rFonts w:cs="Times New Roman"/>
          <w:color w:val="auto"/>
          <w:highlight w:val="none"/>
        </w:rPr>
        <w:t>7.3 履约担保</w:t>
      </w:r>
      <w:bookmarkEnd w:id="406"/>
      <w:bookmarkEnd w:id="407"/>
      <w:bookmarkEnd w:id="408"/>
      <w:bookmarkEnd w:id="409"/>
      <w:bookmarkEnd w:id="410"/>
      <w:bookmarkEnd w:id="411"/>
      <w:bookmarkEnd w:id="412"/>
      <w:bookmarkEnd w:id="413"/>
    </w:p>
    <w:p w14:paraId="0A774BFF">
      <w:pPr>
        <w:spacing w:line="400" w:lineRule="exact"/>
        <w:ind w:firstLine="420" w:firstLineChars="200"/>
        <w:rPr>
          <w:color w:val="auto"/>
          <w:highlight w:val="none"/>
        </w:rPr>
      </w:pPr>
      <w:r>
        <w:rPr>
          <w:color w:val="auto"/>
          <w:highlight w:val="none"/>
        </w:rPr>
        <w:t>7.3.1 在签订合同前，中标人应按投标人须知前附表规定的担保形式和招标文件第四章“合同条款及格式”规定的或者事先经过招标人书面认可的履约担保格式向招标人提交履约担保。联合体中标的，其履约担保由联合体各方或者联合体中牵头人的名义提交。</w:t>
      </w:r>
    </w:p>
    <w:p w14:paraId="1D3179D0">
      <w:pPr>
        <w:spacing w:line="400" w:lineRule="exact"/>
        <w:ind w:firstLine="420" w:firstLineChars="200"/>
        <w:rPr>
          <w:color w:val="auto"/>
          <w:highlight w:val="none"/>
        </w:rPr>
      </w:pPr>
      <w:r>
        <w:rPr>
          <w:color w:val="auto"/>
          <w:highlight w:val="none"/>
        </w:rPr>
        <w:t>7.3.2 中标人不能按本章第7.3.1项要求提交履约担保的，视为放弃中标，其投标保证金不予退还，给招标人造成的损失超过投标保证金数额的，中标人还应当对超过部分予以赔偿。</w:t>
      </w:r>
    </w:p>
    <w:p w14:paraId="3D24D0B2">
      <w:pPr>
        <w:pStyle w:val="32"/>
        <w:spacing w:line="360" w:lineRule="exact"/>
        <w:ind w:firstLine="118"/>
        <w:rPr>
          <w:rFonts w:cs="Times New Roman"/>
          <w:color w:val="auto"/>
          <w:highlight w:val="none"/>
        </w:rPr>
      </w:pPr>
      <w:bookmarkStart w:id="414" w:name="_Toc247527595"/>
      <w:bookmarkStart w:id="415" w:name="_Toc247513994"/>
      <w:bookmarkStart w:id="416" w:name="_Toc152042346"/>
      <w:bookmarkStart w:id="417" w:name="_Toc256000052"/>
      <w:bookmarkStart w:id="418" w:name="_Toc145081455"/>
      <w:bookmarkStart w:id="419" w:name="_Toc144974538"/>
      <w:bookmarkStart w:id="420" w:name="_Toc167542424"/>
      <w:bookmarkStart w:id="421" w:name="_Toc152045570"/>
      <w:r>
        <w:rPr>
          <w:rFonts w:cs="Times New Roman"/>
          <w:color w:val="auto"/>
          <w:highlight w:val="none"/>
        </w:rPr>
        <w:t>7.4 签订合同</w:t>
      </w:r>
      <w:bookmarkEnd w:id="414"/>
      <w:bookmarkEnd w:id="415"/>
      <w:bookmarkEnd w:id="416"/>
      <w:bookmarkEnd w:id="417"/>
      <w:bookmarkEnd w:id="418"/>
      <w:bookmarkEnd w:id="419"/>
      <w:bookmarkEnd w:id="420"/>
      <w:bookmarkEnd w:id="421"/>
    </w:p>
    <w:p w14:paraId="51C672EB">
      <w:pPr>
        <w:spacing w:line="400" w:lineRule="exact"/>
        <w:ind w:firstLine="420" w:firstLineChars="200"/>
        <w:rPr>
          <w:color w:val="auto"/>
          <w:highlight w:val="none"/>
        </w:rPr>
      </w:pPr>
      <w:r>
        <w:rPr>
          <w:color w:val="auto"/>
          <w:highlight w:val="none"/>
        </w:rPr>
        <w:t xml:space="preserve">7.4.1 招标人和中标人应当自中标通知书发出之日起30天内，根据招标文件和中标人的投标文件（以经评标委员会评审的文件版本为准）订立书面合同。中标人无正当理由拒签合同的，招标人取消其中标资格，其投标保证金不予退还；给招标人造成的损失超过投标保证金数额的，中标人还应当对超过部分予以赔偿。 </w:t>
      </w:r>
    </w:p>
    <w:p w14:paraId="595B6188">
      <w:pPr>
        <w:spacing w:line="400" w:lineRule="exact"/>
        <w:ind w:firstLine="420" w:firstLineChars="200"/>
        <w:rPr>
          <w:color w:val="auto"/>
          <w:highlight w:val="none"/>
        </w:rPr>
      </w:pPr>
      <w:r>
        <w:rPr>
          <w:color w:val="auto"/>
          <w:highlight w:val="none"/>
        </w:rPr>
        <w:t>7.4.2 发出中标通知书后，招标人无正当理由拒签合同的，招标人向中标人退还投标保证金；给中标人造成损失的，还应当赔偿损失。</w:t>
      </w:r>
    </w:p>
    <w:p w14:paraId="66259387">
      <w:pPr>
        <w:spacing w:line="360" w:lineRule="exact"/>
        <w:ind w:firstLine="420" w:firstLineChars="200"/>
        <w:rPr>
          <w:color w:val="auto"/>
          <w:highlight w:val="none"/>
        </w:rPr>
      </w:pPr>
      <w:r>
        <w:rPr>
          <w:color w:val="auto"/>
          <w:highlight w:val="none"/>
        </w:rPr>
        <w:t>7.4.3 联合体中标的，联合体各方应当共同与招标人签订合同，就中标项目向招标人承担连带责任。</w:t>
      </w:r>
    </w:p>
    <w:p w14:paraId="59987F55">
      <w:pPr>
        <w:spacing w:line="360" w:lineRule="exact"/>
        <w:ind w:firstLine="420" w:firstLineChars="200"/>
        <w:rPr>
          <w:color w:val="auto"/>
          <w:highlight w:val="none"/>
        </w:rPr>
      </w:pPr>
      <w:r>
        <w:rPr>
          <w:color w:val="auto"/>
          <w:highlight w:val="none"/>
        </w:rPr>
        <w:t>7.4.4 签约合同价的确定原则如下：</w:t>
      </w:r>
    </w:p>
    <w:p w14:paraId="6CFEAD91">
      <w:pPr>
        <w:spacing w:line="360" w:lineRule="exact"/>
        <w:ind w:firstLine="420" w:firstLineChars="200"/>
        <w:rPr>
          <w:color w:val="auto"/>
          <w:highlight w:val="none"/>
        </w:rPr>
      </w:pPr>
      <w:r>
        <w:rPr>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6D286F70">
      <w:pPr>
        <w:spacing w:line="360" w:lineRule="exact"/>
        <w:ind w:firstLine="420" w:firstLineChars="200"/>
        <w:rPr>
          <w:color w:val="auto"/>
          <w:highlight w:val="none"/>
        </w:rPr>
      </w:pPr>
      <w:r>
        <w:rPr>
          <w:color w:val="auto"/>
          <w:highlight w:val="none"/>
        </w:rPr>
        <w:t>7.4.5 招标人和中标人应当在中标通知书发出之日起30日内，登录</w:t>
      </w:r>
      <w:r>
        <w:rPr>
          <w:rFonts w:hint="eastAsia"/>
          <w:color w:val="auto"/>
          <w:highlight w:val="none"/>
        </w:rPr>
        <w:t>辽宁省工程建设项目合同履约管理系统</w:t>
      </w:r>
      <w:r>
        <w:rPr>
          <w:color w:val="auto"/>
          <w:highlight w:val="none"/>
        </w:rPr>
        <w:t>签订合同并向电子监督系统提交电子合同文件归档。按照信息公示规定对合同签订等信息进行公示公开，依法应当保护的商业秘密除外。</w:t>
      </w:r>
    </w:p>
    <w:p w14:paraId="6F6B91ED">
      <w:pPr>
        <w:pStyle w:val="30"/>
        <w:spacing w:line="360" w:lineRule="exact"/>
        <w:rPr>
          <w:rFonts w:cs="Times New Roman"/>
          <w:color w:val="auto"/>
          <w:highlight w:val="none"/>
        </w:rPr>
      </w:pPr>
      <w:bookmarkStart w:id="422" w:name="_Toc179632589"/>
      <w:bookmarkStart w:id="423" w:name="_Toc167542425"/>
      <w:bookmarkStart w:id="424" w:name="_Toc256000053"/>
      <w:bookmarkStart w:id="425" w:name="_Toc122602675"/>
      <w:r>
        <w:rPr>
          <w:rFonts w:cs="Times New Roman"/>
          <w:color w:val="auto"/>
          <w:highlight w:val="none"/>
        </w:rPr>
        <w:t>8. 重新招标、不再招标</w:t>
      </w:r>
      <w:bookmarkEnd w:id="422"/>
      <w:r>
        <w:rPr>
          <w:rFonts w:cs="Times New Roman"/>
          <w:color w:val="auto"/>
          <w:highlight w:val="none"/>
        </w:rPr>
        <w:t>和终止招标</w:t>
      </w:r>
      <w:bookmarkEnd w:id="423"/>
      <w:bookmarkEnd w:id="424"/>
      <w:bookmarkEnd w:id="425"/>
    </w:p>
    <w:p w14:paraId="29DA7278">
      <w:pPr>
        <w:pStyle w:val="32"/>
        <w:spacing w:line="360" w:lineRule="exact"/>
        <w:ind w:firstLine="118"/>
        <w:rPr>
          <w:rFonts w:cs="Times New Roman"/>
          <w:color w:val="auto"/>
          <w:highlight w:val="none"/>
        </w:rPr>
      </w:pPr>
      <w:bookmarkStart w:id="426" w:name="_Toc152042348"/>
      <w:bookmarkStart w:id="427" w:name="_Toc256000054"/>
      <w:bookmarkStart w:id="428" w:name="_Toc152045572"/>
      <w:bookmarkStart w:id="429" w:name="_Toc179632590"/>
      <w:bookmarkStart w:id="430" w:name="_Toc167542426"/>
      <w:bookmarkStart w:id="431" w:name="_Toc122602676"/>
      <w:bookmarkStart w:id="432" w:name="_Toc144974540"/>
      <w:bookmarkStart w:id="433" w:name="_Toc145081457"/>
      <w:r>
        <w:rPr>
          <w:rFonts w:cs="Times New Roman"/>
          <w:color w:val="auto"/>
          <w:highlight w:val="none"/>
        </w:rPr>
        <w:t>8.1 重新招标</w:t>
      </w:r>
      <w:bookmarkEnd w:id="426"/>
      <w:bookmarkEnd w:id="427"/>
      <w:bookmarkEnd w:id="428"/>
      <w:bookmarkEnd w:id="429"/>
      <w:bookmarkEnd w:id="430"/>
      <w:bookmarkEnd w:id="431"/>
      <w:bookmarkEnd w:id="432"/>
      <w:bookmarkEnd w:id="433"/>
    </w:p>
    <w:p w14:paraId="15F2D653">
      <w:pPr>
        <w:spacing w:line="360" w:lineRule="exact"/>
        <w:ind w:firstLine="359" w:firstLineChars="171"/>
        <w:rPr>
          <w:color w:val="auto"/>
          <w:highlight w:val="none"/>
        </w:rPr>
      </w:pPr>
      <w:r>
        <w:rPr>
          <w:color w:val="auto"/>
          <w:highlight w:val="none"/>
        </w:rPr>
        <w:t>有下列情形之一的，招标人将重新招标：</w:t>
      </w:r>
    </w:p>
    <w:p w14:paraId="4B3EAC5F">
      <w:pPr>
        <w:spacing w:line="360" w:lineRule="exact"/>
        <w:ind w:firstLine="359" w:firstLineChars="171"/>
        <w:rPr>
          <w:color w:val="auto"/>
          <w:highlight w:val="none"/>
        </w:rPr>
      </w:pPr>
      <w:r>
        <w:rPr>
          <w:color w:val="auto"/>
          <w:highlight w:val="none"/>
        </w:rPr>
        <w:t>（1）投标截止时间止，投标人少于3个的；</w:t>
      </w:r>
    </w:p>
    <w:p w14:paraId="2DD9BB12">
      <w:pPr>
        <w:spacing w:line="360" w:lineRule="exact"/>
        <w:ind w:firstLine="359" w:firstLineChars="171"/>
        <w:rPr>
          <w:color w:val="auto"/>
          <w:highlight w:val="none"/>
        </w:rPr>
      </w:pPr>
      <w:r>
        <w:rPr>
          <w:color w:val="auto"/>
          <w:highlight w:val="none"/>
        </w:rPr>
        <w:t>（2）经评标委员会评审后否决所有投标的；</w:t>
      </w:r>
    </w:p>
    <w:p w14:paraId="0F52B007">
      <w:pPr>
        <w:spacing w:line="360" w:lineRule="exact"/>
        <w:ind w:firstLine="359" w:firstLineChars="171"/>
        <w:rPr>
          <w:color w:val="auto"/>
          <w:highlight w:val="none"/>
        </w:rPr>
      </w:pPr>
      <w:r>
        <w:rPr>
          <w:color w:val="auto"/>
          <w:highlight w:val="none"/>
        </w:rPr>
        <w:t>（3）第一中标候选人或所有中标候选人存在不同程度的问题，不能签订合同的；</w:t>
      </w:r>
    </w:p>
    <w:p w14:paraId="12B5E522">
      <w:pPr>
        <w:spacing w:line="360" w:lineRule="exact"/>
        <w:ind w:firstLine="359" w:firstLineChars="171"/>
        <w:rPr>
          <w:color w:val="auto"/>
          <w:highlight w:val="none"/>
        </w:rPr>
      </w:pPr>
      <w:r>
        <w:rPr>
          <w:color w:val="auto"/>
          <w:highlight w:val="none"/>
        </w:rPr>
        <w:t>（4）在投标有效期内同意延长投标有效期的投标人少于三个的；</w:t>
      </w:r>
    </w:p>
    <w:p w14:paraId="32BC0D01">
      <w:pPr>
        <w:spacing w:line="360" w:lineRule="exact"/>
        <w:ind w:firstLine="359" w:firstLineChars="171"/>
        <w:rPr>
          <w:color w:val="auto"/>
          <w:highlight w:val="none"/>
        </w:rPr>
      </w:pPr>
      <w:r>
        <w:rPr>
          <w:color w:val="auto"/>
          <w:highlight w:val="none"/>
        </w:rPr>
        <w:t>（5）法律、法规规定的其他情形。</w:t>
      </w:r>
    </w:p>
    <w:p w14:paraId="0C5C8A7E">
      <w:pPr>
        <w:pStyle w:val="32"/>
        <w:spacing w:line="360" w:lineRule="exact"/>
        <w:ind w:firstLine="118"/>
        <w:rPr>
          <w:rFonts w:cs="Times New Roman"/>
          <w:color w:val="auto"/>
          <w:highlight w:val="none"/>
        </w:rPr>
      </w:pPr>
      <w:bookmarkStart w:id="434" w:name="_Toc256000055"/>
      <w:bookmarkStart w:id="435" w:name="_Toc179632591"/>
      <w:bookmarkStart w:id="436" w:name="_Toc152042349"/>
      <w:bookmarkStart w:id="437" w:name="_Toc152045573"/>
      <w:bookmarkStart w:id="438" w:name="_Toc145081458"/>
      <w:bookmarkStart w:id="439" w:name="_Toc167542427"/>
      <w:bookmarkStart w:id="440" w:name="_Toc122602677"/>
      <w:bookmarkStart w:id="441" w:name="_Toc144974541"/>
      <w:r>
        <w:rPr>
          <w:rFonts w:cs="Times New Roman"/>
          <w:color w:val="auto"/>
          <w:highlight w:val="none"/>
        </w:rPr>
        <w:t>8.2 不再招标</w:t>
      </w:r>
      <w:bookmarkEnd w:id="434"/>
      <w:bookmarkEnd w:id="435"/>
      <w:bookmarkEnd w:id="436"/>
      <w:bookmarkEnd w:id="437"/>
      <w:bookmarkEnd w:id="438"/>
      <w:bookmarkEnd w:id="439"/>
      <w:bookmarkEnd w:id="440"/>
      <w:bookmarkEnd w:id="441"/>
    </w:p>
    <w:p w14:paraId="2270562B">
      <w:pPr>
        <w:spacing w:line="360" w:lineRule="exact"/>
        <w:ind w:firstLine="420" w:firstLineChars="200"/>
        <w:rPr>
          <w:color w:val="auto"/>
          <w:highlight w:val="none"/>
        </w:rPr>
      </w:pPr>
      <w:r>
        <w:rPr>
          <w:color w:val="auto"/>
          <w:highlight w:val="none"/>
        </w:rPr>
        <w:t>重新招标后投标人仍少于3个或者所有投标被否决的，属于必须审批或核准的工程建设项目，经原审批或核准部门批准后不再进行招标。</w:t>
      </w:r>
    </w:p>
    <w:p w14:paraId="213C9BAD">
      <w:pPr>
        <w:pStyle w:val="32"/>
        <w:spacing w:line="360" w:lineRule="exact"/>
        <w:ind w:firstLine="118"/>
        <w:rPr>
          <w:rFonts w:cs="Times New Roman"/>
          <w:color w:val="auto"/>
          <w:highlight w:val="none"/>
        </w:rPr>
      </w:pPr>
      <w:bookmarkStart w:id="442" w:name="_Toc167542428"/>
      <w:bookmarkStart w:id="443" w:name="_Toc256000056"/>
      <w:bookmarkStart w:id="444" w:name="_Toc145081459"/>
      <w:bookmarkStart w:id="445" w:name="_Toc122602678"/>
      <w:r>
        <w:rPr>
          <w:rFonts w:cs="Times New Roman"/>
          <w:color w:val="auto"/>
          <w:highlight w:val="none"/>
        </w:rPr>
        <w:t>8.3 终止招标</w:t>
      </w:r>
      <w:bookmarkEnd w:id="442"/>
      <w:bookmarkEnd w:id="443"/>
      <w:bookmarkEnd w:id="444"/>
      <w:bookmarkEnd w:id="445"/>
    </w:p>
    <w:p w14:paraId="01CB1A89">
      <w:pPr>
        <w:spacing w:line="360" w:lineRule="exact"/>
        <w:ind w:firstLine="420" w:firstLineChars="200"/>
        <w:rPr>
          <w:color w:val="auto"/>
          <w:highlight w:val="none"/>
        </w:rPr>
      </w:pPr>
      <w:r>
        <w:rPr>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投标保证金及银行同期存款利息。</w:t>
      </w:r>
    </w:p>
    <w:p w14:paraId="133A736B">
      <w:pPr>
        <w:pStyle w:val="30"/>
        <w:spacing w:line="360" w:lineRule="exact"/>
        <w:rPr>
          <w:rFonts w:cs="Times New Roman"/>
          <w:color w:val="auto"/>
          <w:highlight w:val="none"/>
        </w:rPr>
      </w:pPr>
      <w:bookmarkStart w:id="446" w:name="_Toc152042350"/>
      <w:bookmarkStart w:id="447" w:name="_Toc167542429"/>
      <w:bookmarkStart w:id="448" w:name="_Toc247527599"/>
      <w:bookmarkStart w:id="449" w:name="_Toc144974542"/>
      <w:bookmarkStart w:id="450" w:name="_Toc152045574"/>
      <w:bookmarkStart w:id="451" w:name="_Toc247513998"/>
      <w:bookmarkStart w:id="452" w:name="_Toc256000057"/>
      <w:r>
        <w:rPr>
          <w:rFonts w:cs="Times New Roman"/>
          <w:color w:val="auto"/>
          <w:highlight w:val="none"/>
        </w:rPr>
        <w:t>9. 纪律和监督</w:t>
      </w:r>
      <w:bookmarkEnd w:id="446"/>
      <w:bookmarkEnd w:id="447"/>
      <w:bookmarkEnd w:id="448"/>
      <w:bookmarkEnd w:id="449"/>
      <w:bookmarkEnd w:id="450"/>
      <w:bookmarkEnd w:id="451"/>
      <w:bookmarkEnd w:id="452"/>
    </w:p>
    <w:p w14:paraId="03BFC205">
      <w:pPr>
        <w:pStyle w:val="32"/>
        <w:spacing w:line="360" w:lineRule="exact"/>
        <w:ind w:firstLine="118"/>
        <w:rPr>
          <w:rFonts w:cs="Times New Roman"/>
          <w:color w:val="auto"/>
          <w:highlight w:val="none"/>
        </w:rPr>
      </w:pPr>
      <w:bookmarkStart w:id="453" w:name="_Toc152042351"/>
      <w:bookmarkStart w:id="454" w:name="_Toc167542430"/>
      <w:bookmarkStart w:id="455" w:name="_Toc152045575"/>
      <w:bookmarkStart w:id="456" w:name="_Toc256000058"/>
      <w:bookmarkStart w:id="457" w:name="_Toc247527600"/>
      <w:bookmarkStart w:id="458" w:name="_Toc145081461"/>
      <w:bookmarkStart w:id="459" w:name="_Toc144974543"/>
      <w:bookmarkStart w:id="460" w:name="_Toc247513999"/>
      <w:r>
        <w:rPr>
          <w:rFonts w:cs="Times New Roman"/>
          <w:color w:val="auto"/>
          <w:highlight w:val="none"/>
        </w:rPr>
        <w:t>9.1 对招标人的纪律要求</w:t>
      </w:r>
      <w:bookmarkEnd w:id="453"/>
      <w:bookmarkEnd w:id="454"/>
      <w:bookmarkEnd w:id="455"/>
      <w:bookmarkEnd w:id="456"/>
      <w:bookmarkEnd w:id="457"/>
      <w:bookmarkEnd w:id="458"/>
      <w:bookmarkEnd w:id="459"/>
      <w:bookmarkEnd w:id="460"/>
    </w:p>
    <w:p w14:paraId="3717EA04">
      <w:pPr>
        <w:spacing w:line="400" w:lineRule="exact"/>
        <w:ind w:firstLine="420" w:firstLineChars="200"/>
        <w:rPr>
          <w:color w:val="auto"/>
          <w:highlight w:val="none"/>
        </w:rPr>
      </w:pPr>
      <w:r>
        <w:rPr>
          <w:color w:val="auto"/>
          <w:highlight w:val="none"/>
        </w:rPr>
        <w:t>招标人不得泄</w:t>
      </w:r>
      <w:r>
        <w:rPr>
          <w:rFonts w:hint="eastAsia"/>
          <w:color w:val="auto"/>
          <w:highlight w:val="none"/>
          <w:lang w:val="en-US" w:eastAsia="zh-CN"/>
        </w:rPr>
        <w:t>露</w:t>
      </w:r>
      <w:r>
        <w:rPr>
          <w:color w:val="auto"/>
          <w:highlight w:val="none"/>
        </w:rPr>
        <w:t>招标投标活动中应当保密的情况和资料，不得与投标人串通损害国家利益、社会公共利益或者他人合法权益。</w:t>
      </w:r>
    </w:p>
    <w:p w14:paraId="2F652F8B">
      <w:pPr>
        <w:pStyle w:val="32"/>
        <w:spacing w:line="360" w:lineRule="exact"/>
        <w:ind w:firstLine="118"/>
        <w:rPr>
          <w:rFonts w:cs="Times New Roman"/>
          <w:color w:val="auto"/>
          <w:highlight w:val="none"/>
        </w:rPr>
      </w:pPr>
      <w:bookmarkStart w:id="461" w:name="_Toc256000059"/>
      <w:bookmarkStart w:id="462" w:name="_Toc145081462"/>
      <w:bookmarkStart w:id="463" w:name="_Toc167542431"/>
      <w:bookmarkStart w:id="464" w:name="_Toc247514000"/>
      <w:bookmarkStart w:id="465" w:name="_Toc152045576"/>
      <w:bookmarkStart w:id="466" w:name="_Toc144974544"/>
      <w:bookmarkStart w:id="467" w:name="_Toc152042352"/>
      <w:bookmarkStart w:id="468" w:name="_Toc247527601"/>
      <w:r>
        <w:rPr>
          <w:rFonts w:cs="Times New Roman"/>
          <w:color w:val="auto"/>
          <w:highlight w:val="none"/>
        </w:rPr>
        <w:t>9.2 对投标人的纪律要求</w:t>
      </w:r>
      <w:bookmarkEnd w:id="461"/>
      <w:bookmarkEnd w:id="462"/>
      <w:bookmarkEnd w:id="463"/>
      <w:bookmarkEnd w:id="464"/>
      <w:bookmarkEnd w:id="465"/>
      <w:bookmarkEnd w:id="466"/>
      <w:bookmarkEnd w:id="467"/>
      <w:bookmarkEnd w:id="468"/>
    </w:p>
    <w:p w14:paraId="26A1D3CD">
      <w:pPr>
        <w:spacing w:line="400" w:lineRule="exact"/>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5DFB7F">
      <w:pPr>
        <w:pStyle w:val="32"/>
        <w:spacing w:line="360" w:lineRule="exact"/>
        <w:ind w:firstLine="118"/>
        <w:rPr>
          <w:rFonts w:cs="Times New Roman"/>
          <w:color w:val="auto"/>
          <w:highlight w:val="none"/>
        </w:rPr>
      </w:pPr>
      <w:bookmarkStart w:id="469" w:name="_Toc167542432"/>
      <w:bookmarkStart w:id="470" w:name="_Toc144974545"/>
      <w:bookmarkStart w:id="471" w:name="_Toc145081463"/>
      <w:bookmarkStart w:id="472" w:name="_Toc152042353"/>
      <w:bookmarkStart w:id="473" w:name="_Toc247527602"/>
      <w:bookmarkStart w:id="474" w:name="_Toc247514001"/>
      <w:bookmarkStart w:id="475" w:name="_Toc256000060"/>
      <w:bookmarkStart w:id="476" w:name="_Toc152045577"/>
      <w:r>
        <w:rPr>
          <w:rFonts w:cs="Times New Roman"/>
          <w:color w:val="auto"/>
          <w:highlight w:val="none"/>
        </w:rPr>
        <w:t>9.3 对评标委员会成员的纪律要求</w:t>
      </w:r>
      <w:bookmarkEnd w:id="469"/>
      <w:bookmarkEnd w:id="470"/>
      <w:bookmarkEnd w:id="471"/>
      <w:bookmarkEnd w:id="472"/>
      <w:bookmarkEnd w:id="473"/>
      <w:bookmarkEnd w:id="474"/>
      <w:bookmarkEnd w:id="475"/>
      <w:bookmarkEnd w:id="476"/>
    </w:p>
    <w:p w14:paraId="0BFF31D4">
      <w:pPr>
        <w:spacing w:line="400" w:lineRule="exact"/>
        <w:ind w:firstLine="420" w:firstLineChars="200"/>
        <w:rPr>
          <w:color w:val="auto"/>
          <w:highlight w:val="none"/>
        </w:rPr>
      </w:pPr>
      <w:r>
        <w:rPr>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3C8736FC">
      <w:pPr>
        <w:pStyle w:val="32"/>
        <w:spacing w:line="360" w:lineRule="exact"/>
        <w:ind w:firstLine="118"/>
        <w:rPr>
          <w:rFonts w:cs="Times New Roman"/>
          <w:color w:val="auto"/>
          <w:highlight w:val="none"/>
        </w:rPr>
      </w:pPr>
      <w:bookmarkStart w:id="477" w:name="_Toc152042354"/>
      <w:bookmarkStart w:id="478" w:name="_Toc256000061"/>
      <w:bookmarkStart w:id="479" w:name="_Toc145081464"/>
      <w:bookmarkStart w:id="480" w:name="_Toc247527603"/>
      <w:bookmarkStart w:id="481" w:name="_Toc247514002"/>
      <w:bookmarkStart w:id="482" w:name="_Toc152045578"/>
      <w:bookmarkStart w:id="483" w:name="_Toc167542433"/>
      <w:bookmarkStart w:id="484" w:name="_Toc144974546"/>
      <w:r>
        <w:rPr>
          <w:rFonts w:cs="Times New Roman"/>
          <w:color w:val="auto"/>
          <w:highlight w:val="none"/>
        </w:rPr>
        <w:t>9.4 对与评标活动有关的工作人员的纪律要求</w:t>
      </w:r>
      <w:bookmarkEnd w:id="477"/>
      <w:bookmarkEnd w:id="478"/>
      <w:bookmarkEnd w:id="479"/>
      <w:bookmarkEnd w:id="480"/>
      <w:bookmarkEnd w:id="481"/>
      <w:bookmarkEnd w:id="482"/>
      <w:bookmarkEnd w:id="483"/>
    </w:p>
    <w:p w14:paraId="71C2F8DD">
      <w:pPr>
        <w:spacing w:line="400" w:lineRule="exact"/>
        <w:ind w:firstLine="420" w:firstLineChars="200"/>
        <w:rPr>
          <w:color w:val="auto"/>
          <w:highlight w:val="none"/>
        </w:rPr>
      </w:pPr>
      <w:bookmarkStart w:id="485" w:name="_Toc152042355"/>
      <w:r>
        <w:rPr>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85"/>
    </w:p>
    <w:p w14:paraId="767E22CA">
      <w:pPr>
        <w:pStyle w:val="32"/>
        <w:spacing w:line="360" w:lineRule="exact"/>
        <w:ind w:firstLine="118"/>
        <w:rPr>
          <w:rFonts w:cs="Times New Roman"/>
          <w:color w:val="auto"/>
          <w:highlight w:val="none"/>
        </w:rPr>
      </w:pPr>
      <w:bookmarkStart w:id="486" w:name="_Toc145081465"/>
      <w:bookmarkStart w:id="487" w:name="_Toc247514003"/>
      <w:bookmarkStart w:id="488" w:name="_Toc256000062"/>
      <w:bookmarkStart w:id="489" w:name="_Toc247527604"/>
      <w:bookmarkStart w:id="490" w:name="_Toc167542434"/>
      <w:bookmarkStart w:id="491" w:name="_Toc152045579"/>
      <w:bookmarkStart w:id="492" w:name="_Toc152042356"/>
      <w:r>
        <w:rPr>
          <w:rFonts w:cs="Times New Roman"/>
          <w:color w:val="auto"/>
          <w:highlight w:val="none"/>
        </w:rPr>
        <w:t>9.5 投诉</w:t>
      </w:r>
      <w:bookmarkEnd w:id="484"/>
      <w:bookmarkEnd w:id="486"/>
      <w:bookmarkEnd w:id="487"/>
      <w:bookmarkEnd w:id="488"/>
      <w:bookmarkEnd w:id="489"/>
      <w:bookmarkEnd w:id="490"/>
      <w:bookmarkEnd w:id="491"/>
      <w:bookmarkEnd w:id="492"/>
    </w:p>
    <w:p w14:paraId="426EFFD9">
      <w:pPr>
        <w:spacing w:line="360" w:lineRule="exact"/>
        <w:ind w:firstLine="420" w:firstLineChars="200"/>
        <w:rPr>
          <w:color w:val="auto"/>
          <w:highlight w:val="none"/>
        </w:rPr>
      </w:pPr>
      <w:bookmarkStart w:id="493" w:name="_Toc144974547"/>
      <w:bookmarkStart w:id="494" w:name="_Toc247514004"/>
      <w:bookmarkStart w:id="495" w:name="_Toc152045580"/>
      <w:bookmarkStart w:id="496" w:name="_Toc152042357"/>
      <w:bookmarkStart w:id="497" w:name="_Toc247527605"/>
      <w:r>
        <w:rPr>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7.2款的规定先向招标人提出异议后，方可向有关行政监督部门投诉，异议答复期不计算在规定的投诉时效期限内。</w:t>
      </w:r>
    </w:p>
    <w:p w14:paraId="5FB2B7BA">
      <w:pPr>
        <w:spacing w:line="360" w:lineRule="exact"/>
        <w:ind w:firstLine="420" w:firstLineChars="200"/>
        <w:rPr>
          <w:color w:val="auto"/>
          <w:highlight w:val="none"/>
        </w:rPr>
      </w:pPr>
      <w:r>
        <w:rPr>
          <w:color w:val="auto"/>
          <w:highlight w:val="none"/>
        </w:rPr>
        <w:t>投标人和其他利害关系人的投诉应按照《工程建设项目招标投标活动投诉处理办法》的规定进行。</w:t>
      </w:r>
    </w:p>
    <w:p w14:paraId="0A0E5A6C">
      <w:pPr>
        <w:spacing w:line="360" w:lineRule="exact"/>
        <w:ind w:firstLine="420" w:firstLineChars="200"/>
        <w:rPr>
          <w:color w:val="auto"/>
          <w:highlight w:val="none"/>
        </w:rPr>
      </w:pPr>
      <w:r>
        <w:rPr>
          <w:color w:val="auto"/>
          <w:highlight w:val="none"/>
        </w:rPr>
        <w:t>有关行政监督部门的联系方式见投标人须知前附表。</w:t>
      </w:r>
    </w:p>
    <w:p w14:paraId="59E6A7B7">
      <w:pPr>
        <w:pStyle w:val="30"/>
        <w:spacing w:line="360" w:lineRule="exact"/>
        <w:rPr>
          <w:rFonts w:cs="Times New Roman"/>
          <w:color w:val="auto"/>
          <w:highlight w:val="none"/>
        </w:rPr>
      </w:pPr>
      <w:bookmarkStart w:id="498" w:name="_Toc167542435"/>
      <w:bookmarkStart w:id="499" w:name="_Toc256000063"/>
      <w:r>
        <w:rPr>
          <w:rFonts w:cs="Times New Roman"/>
          <w:color w:val="auto"/>
          <w:highlight w:val="none"/>
        </w:rPr>
        <w:t>10. 需要补充的其他内容</w:t>
      </w:r>
      <w:bookmarkEnd w:id="493"/>
      <w:bookmarkEnd w:id="494"/>
      <w:bookmarkEnd w:id="495"/>
      <w:bookmarkEnd w:id="496"/>
      <w:bookmarkEnd w:id="497"/>
      <w:bookmarkEnd w:id="498"/>
      <w:bookmarkEnd w:id="499"/>
    </w:p>
    <w:p w14:paraId="1972A770">
      <w:pPr>
        <w:pStyle w:val="32"/>
        <w:spacing w:line="360" w:lineRule="exact"/>
        <w:ind w:firstLine="118"/>
        <w:rPr>
          <w:rFonts w:cs="Times New Roman"/>
          <w:color w:val="auto"/>
          <w:highlight w:val="none"/>
        </w:rPr>
      </w:pPr>
      <w:bookmarkStart w:id="500" w:name="_Toc256000064"/>
      <w:bookmarkStart w:id="501" w:name="_Toc167542436"/>
      <w:bookmarkStart w:id="502" w:name="_Toc145081467"/>
      <w:bookmarkStart w:id="503" w:name="_Toc122602686"/>
      <w:bookmarkStart w:id="504" w:name="_Toc145002232"/>
      <w:bookmarkStart w:id="505" w:name="_Toc426495265"/>
      <w:r>
        <w:rPr>
          <w:rFonts w:cs="Times New Roman"/>
          <w:color w:val="auto"/>
          <w:highlight w:val="none"/>
        </w:rPr>
        <w:t>10.1 词语定义</w:t>
      </w:r>
      <w:bookmarkEnd w:id="500"/>
      <w:bookmarkEnd w:id="501"/>
      <w:bookmarkEnd w:id="502"/>
      <w:bookmarkEnd w:id="503"/>
      <w:bookmarkEnd w:id="504"/>
    </w:p>
    <w:p w14:paraId="36F605F3">
      <w:pPr>
        <w:spacing w:line="360" w:lineRule="exact"/>
        <w:ind w:firstLine="420" w:firstLineChars="200"/>
        <w:rPr>
          <w:color w:val="auto"/>
          <w:highlight w:val="none"/>
        </w:rPr>
      </w:pPr>
      <w:r>
        <w:rPr>
          <w:color w:val="auto"/>
          <w:highlight w:val="none"/>
        </w:rPr>
        <w:t>词语定义规定：见投标人须知前附表。</w:t>
      </w:r>
    </w:p>
    <w:bookmarkEnd w:id="505"/>
    <w:p w14:paraId="34817590">
      <w:pPr>
        <w:pStyle w:val="32"/>
        <w:spacing w:line="360" w:lineRule="exact"/>
        <w:ind w:firstLine="118"/>
        <w:rPr>
          <w:rFonts w:cs="Times New Roman"/>
          <w:color w:val="auto"/>
          <w:highlight w:val="none"/>
        </w:rPr>
      </w:pPr>
      <w:bookmarkStart w:id="506" w:name="_Toc387753565"/>
      <w:bookmarkStart w:id="507" w:name="_Toc456173253"/>
      <w:bookmarkStart w:id="508" w:name="_Toc145002233"/>
      <w:bookmarkStart w:id="509" w:name="_Toc256000065"/>
      <w:bookmarkStart w:id="510" w:name="_Toc145081468"/>
      <w:bookmarkStart w:id="511" w:name="_Toc122602687"/>
      <w:bookmarkStart w:id="512" w:name="_Toc167542437"/>
      <w:r>
        <w:rPr>
          <w:rFonts w:cs="Times New Roman"/>
          <w:color w:val="auto"/>
          <w:highlight w:val="none"/>
        </w:rPr>
        <w:t>10.2 中标人的投标文件</w:t>
      </w:r>
      <w:bookmarkEnd w:id="506"/>
      <w:bookmarkEnd w:id="507"/>
      <w:bookmarkEnd w:id="508"/>
      <w:bookmarkEnd w:id="509"/>
      <w:bookmarkEnd w:id="510"/>
      <w:bookmarkEnd w:id="511"/>
      <w:bookmarkEnd w:id="512"/>
    </w:p>
    <w:p w14:paraId="48ADFB9B">
      <w:pPr>
        <w:spacing w:line="360" w:lineRule="exact"/>
        <w:ind w:firstLine="420" w:firstLineChars="200"/>
        <w:rPr>
          <w:color w:val="auto"/>
          <w:highlight w:val="none"/>
        </w:rPr>
      </w:pPr>
      <w:r>
        <w:rPr>
          <w:color w:val="auto"/>
          <w:highlight w:val="none"/>
        </w:rPr>
        <w:t>中标人在签订合同前须向招标人另行提交的纸质投标文件份数：见投标人须知前附表。</w:t>
      </w:r>
    </w:p>
    <w:p w14:paraId="43017E83">
      <w:pPr>
        <w:pStyle w:val="32"/>
        <w:spacing w:line="360" w:lineRule="exact"/>
        <w:ind w:firstLine="118"/>
        <w:rPr>
          <w:rFonts w:cs="Times New Roman"/>
          <w:color w:val="auto"/>
          <w:highlight w:val="none"/>
        </w:rPr>
      </w:pPr>
      <w:bookmarkStart w:id="513" w:name="_Toc256000066"/>
      <w:bookmarkStart w:id="514" w:name="_Toc145002234"/>
      <w:bookmarkStart w:id="515" w:name="_Toc426495266"/>
      <w:bookmarkStart w:id="516" w:name="_Toc122602688"/>
      <w:bookmarkStart w:id="517" w:name="_Toc167542438"/>
      <w:bookmarkStart w:id="518" w:name="_Toc145081469"/>
      <w:r>
        <w:rPr>
          <w:rFonts w:cs="Times New Roman"/>
          <w:color w:val="auto"/>
          <w:highlight w:val="none"/>
        </w:rPr>
        <w:t>10.3 知识产权</w:t>
      </w:r>
      <w:bookmarkEnd w:id="513"/>
      <w:bookmarkEnd w:id="514"/>
      <w:bookmarkEnd w:id="515"/>
      <w:bookmarkEnd w:id="516"/>
      <w:bookmarkEnd w:id="517"/>
      <w:bookmarkEnd w:id="518"/>
    </w:p>
    <w:p w14:paraId="1C31B764">
      <w:pPr>
        <w:spacing w:line="360" w:lineRule="exact"/>
        <w:ind w:firstLine="420" w:firstLineChars="200"/>
        <w:rPr>
          <w:color w:val="auto"/>
          <w:highlight w:val="none"/>
        </w:rPr>
      </w:pPr>
      <w:r>
        <w:rPr>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7CABFD70">
      <w:pPr>
        <w:pStyle w:val="32"/>
        <w:spacing w:line="360" w:lineRule="exact"/>
        <w:ind w:firstLine="118"/>
        <w:rPr>
          <w:rFonts w:cs="Times New Roman"/>
          <w:color w:val="auto"/>
          <w:highlight w:val="none"/>
        </w:rPr>
      </w:pPr>
      <w:bookmarkStart w:id="519" w:name="_Toc256000067"/>
      <w:bookmarkStart w:id="520" w:name="_Toc426495267"/>
      <w:bookmarkStart w:id="521" w:name="_Toc145081470"/>
      <w:bookmarkStart w:id="522" w:name="_Toc122602689"/>
      <w:bookmarkStart w:id="523" w:name="_Toc145002235"/>
      <w:bookmarkStart w:id="524" w:name="_Toc167542439"/>
      <w:r>
        <w:rPr>
          <w:rFonts w:cs="Times New Roman"/>
          <w:color w:val="auto"/>
          <w:highlight w:val="none"/>
        </w:rPr>
        <w:t>10.4 同义词语</w:t>
      </w:r>
      <w:bookmarkEnd w:id="519"/>
      <w:bookmarkEnd w:id="520"/>
      <w:bookmarkEnd w:id="521"/>
      <w:bookmarkEnd w:id="522"/>
      <w:bookmarkEnd w:id="523"/>
      <w:bookmarkEnd w:id="524"/>
    </w:p>
    <w:p w14:paraId="72DF97A4">
      <w:pPr>
        <w:spacing w:line="360" w:lineRule="exact"/>
        <w:ind w:firstLine="420" w:firstLineChars="200"/>
        <w:rPr>
          <w:color w:val="auto"/>
          <w:highlight w:val="none"/>
        </w:rPr>
      </w:pPr>
      <w:r>
        <w:rPr>
          <w:color w:val="auto"/>
          <w:highlight w:val="none"/>
        </w:rPr>
        <w:t>构成招标文件组成部分的“通用合同条件”、“专用合同条件”、“发包人要求”等章节中出现的措辞“发包人”和“承包人”，在招标投标阶段应当分别按“招标人”和“投标人”进行理解。</w:t>
      </w:r>
    </w:p>
    <w:p w14:paraId="6B88F7C2">
      <w:pPr>
        <w:pStyle w:val="32"/>
        <w:spacing w:line="360" w:lineRule="exact"/>
        <w:ind w:firstLine="118"/>
        <w:rPr>
          <w:rFonts w:cs="Times New Roman"/>
          <w:color w:val="auto"/>
          <w:highlight w:val="none"/>
        </w:rPr>
      </w:pPr>
      <w:bookmarkStart w:id="525" w:name="_Toc122602690"/>
      <w:bookmarkStart w:id="526" w:name="_Toc145081471"/>
      <w:bookmarkStart w:id="527" w:name="_Toc145002236"/>
      <w:bookmarkStart w:id="528" w:name="_Toc167542440"/>
      <w:bookmarkStart w:id="529" w:name="_Toc426495268"/>
      <w:bookmarkStart w:id="530" w:name="_Toc256000068"/>
      <w:r>
        <w:rPr>
          <w:rFonts w:cs="Times New Roman"/>
          <w:color w:val="auto"/>
          <w:highlight w:val="none"/>
        </w:rPr>
        <w:t>10.5 解释权</w:t>
      </w:r>
      <w:bookmarkEnd w:id="525"/>
      <w:bookmarkEnd w:id="526"/>
      <w:bookmarkEnd w:id="527"/>
      <w:bookmarkEnd w:id="528"/>
      <w:bookmarkEnd w:id="529"/>
      <w:bookmarkEnd w:id="530"/>
    </w:p>
    <w:p w14:paraId="259337A4">
      <w:pPr>
        <w:spacing w:line="360" w:lineRule="exact"/>
        <w:ind w:firstLine="420" w:firstLineChars="200"/>
        <w:rPr>
          <w:color w:val="auto"/>
          <w:highlight w:val="none"/>
        </w:rPr>
      </w:pPr>
      <w:r>
        <w:rPr>
          <w:color w:val="auto"/>
          <w:highlight w:val="none"/>
        </w:rPr>
        <w:t>构成本招标文件的各个组成文件应互为解释，互为说明；如有不明确或不一致，构成合同文件组成内容的，以合同文件约定内容为准，且以专用合同条件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73913B52">
      <w:pPr>
        <w:pStyle w:val="32"/>
        <w:spacing w:line="360" w:lineRule="exact"/>
        <w:ind w:firstLine="118"/>
        <w:rPr>
          <w:rFonts w:cs="Times New Roman"/>
          <w:color w:val="auto"/>
          <w:highlight w:val="none"/>
        </w:rPr>
      </w:pPr>
      <w:bookmarkStart w:id="531" w:name="_Toc145081473"/>
      <w:bookmarkStart w:id="532" w:name="_Toc167542441"/>
      <w:bookmarkStart w:id="533" w:name="_Toc122602692"/>
      <w:bookmarkStart w:id="534" w:name="_Toc145002238"/>
      <w:bookmarkStart w:id="535" w:name="_Toc426495269"/>
      <w:bookmarkStart w:id="536" w:name="_Toc256000069"/>
      <w:r>
        <w:rPr>
          <w:rFonts w:cs="Times New Roman"/>
          <w:color w:val="auto"/>
          <w:highlight w:val="none"/>
        </w:rPr>
        <w:t>10.6 招标人补充的其他内容</w:t>
      </w:r>
      <w:bookmarkEnd w:id="531"/>
      <w:bookmarkEnd w:id="532"/>
      <w:bookmarkEnd w:id="533"/>
      <w:bookmarkEnd w:id="534"/>
      <w:bookmarkEnd w:id="535"/>
      <w:bookmarkEnd w:id="536"/>
    </w:p>
    <w:p w14:paraId="52A69D23">
      <w:pPr>
        <w:spacing w:line="360" w:lineRule="exact"/>
        <w:ind w:firstLine="420" w:firstLineChars="200"/>
        <w:rPr>
          <w:color w:val="auto"/>
          <w:highlight w:val="none"/>
        </w:rPr>
      </w:pPr>
      <w:r>
        <w:rPr>
          <w:color w:val="auto"/>
          <w:highlight w:val="none"/>
        </w:rPr>
        <w:t>招标人补充的其他内容：见投标人须知前附表。</w:t>
      </w:r>
    </w:p>
    <w:p w14:paraId="0F6243FE">
      <w:pPr>
        <w:spacing w:line="400" w:lineRule="exact"/>
        <w:ind w:firstLine="420" w:firstLineChars="200"/>
        <w:rPr>
          <w:color w:val="auto"/>
          <w:highlight w:val="none"/>
        </w:rPr>
      </w:pPr>
    </w:p>
    <w:p w14:paraId="6A04E3A4">
      <w:pPr>
        <w:spacing w:line="400" w:lineRule="exact"/>
        <w:rPr>
          <w:color w:val="auto"/>
          <w:highlight w:val="none"/>
        </w:rPr>
      </w:pPr>
      <w:r>
        <w:rPr>
          <w:color w:val="auto"/>
          <w:highlight w:val="none"/>
        </w:rPr>
        <w:br w:type="page"/>
      </w:r>
    </w:p>
    <w:p w14:paraId="374D4D6A">
      <w:pPr>
        <w:pStyle w:val="3"/>
        <w:rPr>
          <w:rFonts w:hint="eastAsia" w:ascii="仿宋_GB2312" w:hAnsi="黑体" w:eastAsia="仿宋_GB2312"/>
          <w:b w:val="0"/>
          <w:bCs w:val="0"/>
          <w:color w:val="auto"/>
          <w:spacing w:val="12"/>
          <w:sz w:val="24"/>
          <w:highlight w:val="none"/>
        </w:rPr>
      </w:pPr>
      <w:bookmarkStart w:id="537" w:name="_Toc165804340"/>
      <w:bookmarkStart w:id="538" w:name="_Toc353544000"/>
      <w:bookmarkStart w:id="539" w:name="_Toc256000070"/>
      <w:r>
        <w:rPr>
          <w:rFonts w:hint="eastAsia"/>
          <w:b w:val="0"/>
          <w:color w:val="auto"/>
          <w:sz w:val="24"/>
          <w:szCs w:val="24"/>
          <w:highlight w:val="none"/>
        </w:rPr>
        <w:t>附表一：招标文件澄清申请函</w:t>
      </w:r>
      <w:bookmarkEnd w:id="537"/>
      <w:bookmarkEnd w:id="538"/>
      <w:bookmarkEnd w:id="539"/>
    </w:p>
    <w:p w14:paraId="19501284">
      <w:pPr>
        <w:rPr>
          <w:rFonts w:ascii="仿宋_GB2312" w:eastAsia="仿宋_GB2312"/>
          <w:color w:val="auto"/>
          <w:highlight w:val="none"/>
        </w:rPr>
      </w:pPr>
    </w:p>
    <w:p w14:paraId="57A65141">
      <w:pPr>
        <w:spacing w:before="120" w:beforeLines="50" w:after="120" w:afterLines="50"/>
        <w:jc w:val="center"/>
        <w:rPr>
          <w:rFonts w:ascii="仿宋_GB2312" w:eastAsia="仿宋_GB2312"/>
          <w:color w:val="auto"/>
          <w:sz w:val="28"/>
          <w:szCs w:val="28"/>
          <w:highlight w:val="none"/>
        </w:rPr>
      </w:pPr>
    </w:p>
    <w:p w14:paraId="661A9D7A">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4EA6BAB6">
      <w:pPr>
        <w:rPr>
          <w:rFonts w:hint="eastAsia" w:ascii="宋体" w:hAnsi="宋体"/>
          <w:color w:val="auto"/>
          <w:highlight w:val="none"/>
        </w:rPr>
      </w:pPr>
    </w:p>
    <w:p w14:paraId="2E50D888">
      <w:pPr>
        <w:ind w:firstLine="6195" w:firstLineChars="2950"/>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67685E0">
      <w:pPr>
        <w:spacing w:line="560" w:lineRule="exact"/>
        <w:ind w:firstLine="420" w:firstLineChars="200"/>
        <w:rPr>
          <w:rFonts w:hint="eastAsia" w:ascii="宋体" w:hAnsi="宋体"/>
          <w:color w:val="auto"/>
          <w:szCs w:val="21"/>
          <w:highlight w:val="none"/>
          <w:u w:val="single"/>
        </w:rPr>
      </w:pPr>
    </w:p>
    <w:p w14:paraId="0DE00760">
      <w:pPr>
        <w:spacing w:line="56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6D76F868">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5AE2C3AE">
      <w:pPr>
        <w:spacing w:line="560" w:lineRule="exact"/>
        <w:ind w:firstLine="105" w:firstLineChars="50"/>
        <w:rPr>
          <w:rFonts w:hint="eastAsia" w:ascii="宋体" w:hAnsi="宋体"/>
          <w:color w:val="auto"/>
          <w:szCs w:val="21"/>
          <w:highlight w:val="none"/>
        </w:rPr>
      </w:pPr>
      <w:bookmarkStart w:id="540" w:name="_Hlt269064826"/>
      <w:r>
        <w:rPr>
          <w:rFonts w:hint="eastAsia" w:ascii="宋体" w:hAnsi="宋体"/>
          <w:color w:val="auto"/>
          <w:szCs w:val="21"/>
          <w:highlight w:val="none"/>
        </w:rPr>
        <w:t>　1.……</w:t>
      </w:r>
    </w:p>
    <w:p w14:paraId="249AC4B1">
      <w:pPr>
        <w:spacing w:line="5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w:t>
      </w:r>
    </w:p>
    <w:p w14:paraId="5D66F681">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7FDFD33">
      <w:pPr>
        <w:spacing w:line="560" w:lineRule="exact"/>
        <w:ind w:firstLine="420" w:firstLineChars="200"/>
        <w:rPr>
          <w:rFonts w:hint="eastAsia" w:ascii="宋体" w:hAnsi="宋体"/>
          <w:color w:val="auto"/>
          <w:szCs w:val="21"/>
          <w:highlight w:val="none"/>
        </w:rPr>
      </w:pPr>
    </w:p>
    <w:bookmarkEnd w:id="540"/>
    <w:p w14:paraId="7725135A">
      <w:pPr>
        <w:spacing w:line="560" w:lineRule="exact"/>
        <w:ind w:firstLine="420" w:firstLineChars="200"/>
        <w:rPr>
          <w:rFonts w:hint="eastAsia" w:ascii="宋体" w:hAnsi="宋体"/>
          <w:color w:val="auto"/>
          <w:szCs w:val="21"/>
          <w:highlight w:val="none"/>
        </w:rPr>
      </w:pPr>
    </w:p>
    <w:p w14:paraId="0974775B">
      <w:pPr>
        <w:wordWrap w:val="0"/>
        <w:jc w:val="right"/>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52722A1">
      <w:pPr>
        <w:jc w:val="right"/>
        <w:rPr>
          <w:rFonts w:hint="eastAsia" w:ascii="宋体" w:hAnsi="宋体"/>
          <w:color w:val="auto"/>
          <w:highlight w:val="none"/>
        </w:rPr>
      </w:pPr>
    </w:p>
    <w:p w14:paraId="62298D1F">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1269B4B">
      <w:pPr>
        <w:spacing w:line="560" w:lineRule="exact"/>
        <w:ind w:firstLine="420" w:firstLineChars="200"/>
        <w:rPr>
          <w:rFonts w:hint="eastAsia" w:ascii="宋体" w:hAnsi="宋体"/>
          <w:color w:val="auto"/>
          <w:szCs w:val="21"/>
          <w:highlight w:val="none"/>
        </w:rPr>
      </w:pPr>
    </w:p>
    <w:p w14:paraId="406EAF22">
      <w:pPr>
        <w:spacing w:line="560" w:lineRule="exact"/>
        <w:ind w:firstLine="420" w:firstLineChars="200"/>
        <w:rPr>
          <w:rFonts w:hint="eastAsia" w:ascii="宋体" w:hAnsi="宋体"/>
          <w:color w:val="auto"/>
          <w:szCs w:val="21"/>
          <w:highlight w:val="none"/>
        </w:rPr>
      </w:pPr>
    </w:p>
    <w:p w14:paraId="14754164">
      <w:pPr>
        <w:spacing w:line="560" w:lineRule="exact"/>
        <w:ind w:firstLine="420" w:firstLineChars="200"/>
        <w:rPr>
          <w:rFonts w:hint="eastAsia" w:ascii="宋体" w:hAnsi="宋体"/>
          <w:color w:val="auto"/>
          <w:szCs w:val="21"/>
          <w:highlight w:val="none"/>
        </w:rPr>
      </w:pPr>
    </w:p>
    <w:p w14:paraId="78F1C8D8">
      <w:pPr>
        <w:spacing w:line="560" w:lineRule="exact"/>
        <w:ind w:firstLine="420" w:firstLineChars="200"/>
        <w:rPr>
          <w:rFonts w:hint="eastAsia" w:ascii="宋体" w:hAnsi="宋体"/>
          <w:color w:val="auto"/>
          <w:szCs w:val="21"/>
          <w:highlight w:val="none"/>
        </w:rPr>
      </w:pPr>
    </w:p>
    <w:p w14:paraId="1F69775D">
      <w:pPr>
        <w:spacing w:line="560" w:lineRule="exact"/>
        <w:rPr>
          <w:rFonts w:hint="eastAsia" w:ascii="宋体" w:hAnsi="宋体"/>
          <w:color w:val="auto"/>
          <w:szCs w:val="21"/>
          <w:highlight w:val="none"/>
        </w:rPr>
      </w:pPr>
    </w:p>
    <w:p w14:paraId="175CC541">
      <w:pPr>
        <w:spacing w:line="560" w:lineRule="exact"/>
        <w:ind w:right="840" w:rightChars="400"/>
        <w:rPr>
          <w:rFonts w:hint="eastAsia" w:ascii="宋体" w:hAnsi="宋体"/>
          <w:color w:val="auto"/>
          <w:sz w:val="24"/>
          <w:highlight w:val="none"/>
        </w:rPr>
      </w:pPr>
      <w:r>
        <w:rPr>
          <w:rFonts w:ascii="宋体" w:hAnsi="宋体"/>
          <w:color w:val="auto"/>
          <w:sz w:val="24"/>
          <w:highlight w:val="none"/>
        </w:rPr>
        <w:br w:type="page"/>
      </w:r>
    </w:p>
    <w:p w14:paraId="4C10A167">
      <w:pPr>
        <w:pStyle w:val="3"/>
        <w:rPr>
          <w:b w:val="0"/>
          <w:color w:val="auto"/>
          <w:sz w:val="24"/>
          <w:szCs w:val="24"/>
          <w:highlight w:val="none"/>
        </w:rPr>
      </w:pPr>
      <w:bookmarkStart w:id="541" w:name="_Toc353544001"/>
      <w:bookmarkStart w:id="542" w:name="_Toc256000071"/>
      <w:bookmarkStart w:id="543" w:name="_Toc165804341"/>
      <w:r>
        <w:rPr>
          <w:rFonts w:hint="eastAsia"/>
          <w:b w:val="0"/>
          <w:color w:val="auto"/>
          <w:sz w:val="24"/>
          <w:szCs w:val="24"/>
          <w:highlight w:val="none"/>
        </w:rPr>
        <w:t>附表二：招标文件澄清通知</w:t>
      </w:r>
      <w:bookmarkEnd w:id="541"/>
      <w:bookmarkEnd w:id="542"/>
      <w:bookmarkEnd w:id="543"/>
    </w:p>
    <w:p w14:paraId="143F65D0">
      <w:pPr>
        <w:spacing w:line="560" w:lineRule="exact"/>
        <w:ind w:right="840" w:rightChars="400"/>
        <w:rPr>
          <w:rFonts w:ascii="仿宋_GB2312" w:eastAsia="仿宋_GB2312"/>
          <w:color w:val="auto"/>
          <w:sz w:val="24"/>
          <w:highlight w:val="none"/>
        </w:rPr>
      </w:pPr>
    </w:p>
    <w:p w14:paraId="24998DE5">
      <w:pPr>
        <w:rPr>
          <w:rFonts w:ascii="仿宋_GB2312" w:eastAsia="仿宋_GB2312"/>
          <w:color w:val="auto"/>
          <w:highlight w:val="none"/>
        </w:rPr>
      </w:pPr>
    </w:p>
    <w:p w14:paraId="1E6C5A50">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689B97F4">
      <w:pPr>
        <w:rPr>
          <w:rFonts w:hint="eastAsia" w:ascii="宋体" w:hAnsi="宋体"/>
          <w:color w:val="auto"/>
          <w:highlight w:val="none"/>
        </w:rPr>
      </w:pPr>
    </w:p>
    <w:p w14:paraId="39F1FF4B">
      <w:pPr>
        <w:ind w:firstLine="5985" w:firstLineChars="2850"/>
        <w:rPr>
          <w:rFonts w:hint="eastAsia"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7E584DC9">
      <w:pPr>
        <w:rPr>
          <w:rFonts w:hint="eastAsia" w:ascii="宋体" w:hAnsi="宋体"/>
          <w:color w:val="auto"/>
          <w:highlight w:val="none"/>
        </w:rPr>
      </w:pPr>
    </w:p>
    <w:p w14:paraId="60A1D035">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18B34D2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51F28643">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28C53ADF">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20410A34">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3B55D07A">
      <w:pPr>
        <w:spacing w:line="560" w:lineRule="exact"/>
        <w:rPr>
          <w:rFonts w:hint="eastAsia" w:ascii="宋体" w:hAnsi="宋体"/>
          <w:color w:val="auto"/>
          <w:szCs w:val="21"/>
          <w:highlight w:val="none"/>
        </w:rPr>
      </w:pPr>
    </w:p>
    <w:p w14:paraId="5371FAF5">
      <w:pPr>
        <w:spacing w:line="560" w:lineRule="exact"/>
        <w:ind w:firstLine="420" w:firstLineChars="200"/>
        <w:rPr>
          <w:rFonts w:hint="eastAsia" w:ascii="宋体" w:hAnsi="宋体"/>
          <w:color w:val="auto"/>
          <w:szCs w:val="21"/>
          <w:highlight w:val="none"/>
        </w:rPr>
      </w:pPr>
    </w:p>
    <w:p w14:paraId="00660F8A">
      <w:pPr>
        <w:spacing w:line="560" w:lineRule="exact"/>
        <w:ind w:firstLine="420" w:firstLineChars="200"/>
        <w:rPr>
          <w:rFonts w:hint="eastAsia" w:ascii="宋体" w:hAnsi="宋体"/>
          <w:color w:val="auto"/>
          <w:szCs w:val="21"/>
          <w:highlight w:val="none"/>
        </w:rPr>
      </w:pPr>
    </w:p>
    <w:p w14:paraId="342D759C">
      <w:pPr>
        <w:spacing w:line="560" w:lineRule="exact"/>
        <w:ind w:firstLine="420" w:firstLineChars="200"/>
        <w:rPr>
          <w:rFonts w:hint="eastAsia" w:ascii="宋体" w:hAnsi="宋体"/>
          <w:color w:val="auto"/>
          <w:szCs w:val="21"/>
          <w:highlight w:val="none"/>
        </w:rPr>
      </w:pPr>
    </w:p>
    <w:p w14:paraId="7C6ECF3A">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10AE2A92">
      <w:pPr>
        <w:spacing w:line="560" w:lineRule="exact"/>
        <w:ind w:firstLine="420" w:firstLineChars="200"/>
        <w:rPr>
          <w:rFonts w:hint="eastAsia" w:ascii="宋体" w:hAnsi="宋体"/>
          <w:color w:val="auto"/>
          <w:highlight w:val="none"/>
        </w:rPr>
      </w:pPr>
    </w:p>
    <w:p w14:paraId="7381FDDF">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EFE2847">
      <w:pPr>
        <w:spacing w:line="560" w:lineRule="exact"/>
        <w:rPr>
          <w:rFonts w:hint="eastAsia" w:ascii="宋体" w:hAnsi="宋体"/>
          <w:color w:val="auto"/>
          <w:szCs w:val="21"/>
          <w:highlight w:val="none"/>
        </w:rPr>
      </w:pPr>
    </w:p>
    <w:p w14:paraId="1D9F8058">
      <w:pPr>
        <w:spacing w:line="560" w:lineRule="exact"/>
        <w:rPr>
          <w:rFonts w:hint="eastAsia" w:ascii="宋体" w:hAnsi="宋体"/>
          <w:color w:val="auto"/>
          <w:szCs w:val="21"/>
          <w:highlight w:val="none"/>
        </w:rPr>
      </w:pPr>
    </w:p>
    <w:p w14:paraId="2A976744">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790611BD">
      <w:pPr>
        <w:pStyle w:val="3"/>
        <w:rPr>
          <w:b w:val="0"/>
          <w:color w:val="auto"/>
          <w:sz w:val="24"/>
          <w:szCs w:val="24"/>
          <w:highlight w:val="none"/>
        </w:rPr>
      </w:pPr>
      <w:bookmarkStart w:id="544" w:name="_Toc165804342"/>
      <w:bookmarkStart w:id="545" w:name="_Toc353544002"/>
      <w:bookmarkStart w:id="546" w:name="_Toc256000072"/>
      <w:r>
        <w:rPr>
          <w:rFonts w:hint="eastAsia"/>
          <w:b w:val="0"/>
          <w:color w:val="auto"/>
          <w:sz w:val="24"/>
          <w:szCs w:val="24"/>
          <w:highlight w:val="none"/>
        </w:rPr>
        <w:t>附表三：招标文件修改通知</w:t>
      </w:r>
      <w:bookmarkEnd w:id="544"/>
      <w:bookmarkEnd w:id="545"/>
      <w:bookmarkEnd w:id="546"/>
    </w:p>
    <w:p w14:paraId="7A97CE57">
      <w:pPr>
        <w:spacing w:line="560" w:lineRule="exact"/>
        <w:ind w:right="840" w:rightChars="400"/>
        <w:rPr>
          <w:rFonts w:ascii="仿宋_GB2312" w:eastAsia="仿宋_GB2312"/>
          <w:color w:val="auto"/>
          <w:sz w:val="24"/>
          <w:highlight w:val="none"/>
        </w:rPr>
      </w:pPr>
    </w:p>
    <w:p w14:paraId="457158B1">
      <w:pPr>
        <w:rPr>
          <w:rFonts w:ascii="仿宋_GB2312" w:eastAsia="仿宋_GB2312"/>
          <w:color w:val="auto"/>
          <w:highlight w:val="none"/>
        </w:rPr>
      </w:pPr>
    </w:p>
    <w:p w14:paraId="3A5955C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5B3D0533">
      <w:pPr>
        <w:rPr>
          <w:rFonts w:hint="eastAsia" w:ascii="宋体" w:hAnsi="宋体"/>
          <w:color w:val="auto"/>
          <w:highlight w:val="none"/>
        </w:rPr>
      </w:pPr>
    </w:p>
    <w:p w14:paraId="21642AF3">
      <w:pPr>
        <w:ind w:left="5985" w:leftChars="2850"/>
        <w:rPr>
          <w:rFonts w:hint="eastAsia"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70052F94">
      <w:pPr>
        <w:rPr>
          <w:rFonts w:hint="eastAsia" w:ascii="宋体" w:hAnsi="宋体"/>
          <w:color w:val="auto"/>
          <w:highlight w:val="none"/>
        </w:rPr>
      </w:pPr>
    </w:p>
    <w:p w14:paraId="60E7249F">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6C27BC66">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6E9B5C3E">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44BD5E7C">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6721CFBA">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840A07B">
      <w:pPr>
        <w:spacing w:line="560" w:lineRule="exact"/>
        <w:rPr>
          <w:rFonts w:hint="eastAsia" w:ascii="宋体" w:hAnsi="宋体"/>
          <w:color w:val="auto"/>
          <w:szCs w:val="21"/>
          <w:highlight w:val="none"/>
        </w:rPr>
      </w:pPr>
    </w:p>
    <w:p w14:paraId="0F5229AE">
      <w:pPr>
        <w:spacing w:line="560" w:lineRule="exact"/>
        <w:ind w:firstLine="420" w:firstLineChars="200"/>
        <w:rPr>
          <w:rFonts w:hint="eastAsia" w:ascii="宋体" w:hAnsi="宋体"/>
          <w:color w:val="auto"/>
          <w:szCs w:val="21"/>
          <w:highlight w:val="none"/>
          <w:bdr w:val="single" w:color="auto" w:sz="4" w:space="0"/>
        </w:rPr>
      </w:pPr>
    </w:p>
    <w:p w14:paraId="798F01CA">
      <w:pPr>
        <w:spacing w:line="560" w:lineRule="exact"/>
        <w:ind w:firstLine="420" w:firstLineChars="200"/>
        <w:rPr>
          <w:rFonts w:hint="eastAsia" w:ascii="宋体" w:hAnsi="宋体"/>
          <w:color w:val="auto"/>
          <w:szCs w:val="21"/>
          <w:highlight w:val="none"/>
        </w:rPr>
      </w:pPr>
    </w:p>
    <w:p w14:paraId="108FDBFE">
      <w:pPr>
        <w:spacing w:line="560" w:lineRule="exact"/>
        <w:ind w:firstLine="420" w:firstLineChars="200"/>
        <w:rPr>
          <w:rFonts w:hint="eastAsia" w:ascii="宋体" w:hAnsi="宋体"/>
          <w:color w:val="auto"/>
          <w:szCs w:val="21"/>
          <w:highlight w:val="none"/>
        </w:rPr>
      </w:pPr>
    </w:p>
    <w:p w14:paraId="2A052AD9">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C024122">
      <w:pPr>
        <w:spacing w:line="560" w:lineRule="exact"/>
        <w:ind w:firstLine="420" w:firstLineChars="200"/>
        <w:rPr>
          <w:rFonts w:hint="eastAsia" w:ascii="宋体" w:hAnsi="宋体"/>
          <w:color w:val="auto"/>
          <w:highlight w:val="none"/>
        </w:rPr>
      </w:pPr>
    </w:p>
    <w:p w14:paraId="04D24366">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D4C5296">
      <w:pPr>
        <w:spacing w:line="560" w:lineRule="exact"/>
        <w:rPr>
          <w:rFonts w:hint="eastAsia" w:ascii="宋体" w:hAnsi="宋体"/>
          <w:color w:val="auto"/>
          <w:szCs w:val="21"/>
          <w:highlight w:val="none"/>
        </w:rPr>
      </w:pPr>
    </w:p>
    <w:p w14:paraId="29884335">
      <w:pPr>
        <w:spacing w:line="560" w:lineRule="exact"/>
        <w:rPr>
          <w:rFonts w:hint="eastAsia" w:ascii="宋体" w:hAnsi="宋体"/>
          <w:color w:val="auto"/>
          <w:szCs w:val="21"/>
          <w:highlight w:val="none"/>
        </w:rPr>
      </w:pPr>
    </w:p>
    <w:p w14:paraId="1DC72175">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15A885B4">
      <w:pPr>
        <w:pStyle w:val="3"/>
        <w:rPr>
          <w:b w:val="0"/>
          <w:color w:val="auto"/>
          <w:sz w:val="24"/>
          <w:szCs w:val="24"/>
          <w:highlight w:val="none"/>
        </w:rPr>
      </w:pPr>
      <w:bookmarkStart w:id="547" w:name="_Toc256000073"/>
      <w:bookmarkStart w:id="548" w:name="_Toc165804343"/>
      <w:bookmarkStart w:id="549" w:name="_Toc353544004"/>
      <w:r>
        <w:rPr>
          <w:rFonts w:hint="eastAsia"/>
          <w:b w:val="0"/>
          <w:color w:val="auto"/>
          <w:sz w:val="24"/>
          <w:szCs w:val="24"/>
          <w:highlight w:val="none"/>
        </w:rPr>
        <w:t>附表四：投标文件递交电子签收凭证</w:t>
      </w:r>
      <w:bookmarkEnd w:id="547"/>
      <w:bookmarkEnd w:id="548"/>
      <w:bookmarkEnd w:id="549"/>
    </w:p>
    <w:p w14:paraId="55F513C5">
      <w:pPr>
        <w:spacing w:before="240" w:beforeLines="100" w:after="240" w:afterLines="100" w:line="480" w:lineRule="exact"/>
        <w:jc w:val="center"/>
        <w:rPr>
          <w:rFonts w:ascii="黑体" w:eastAsia="黑体"/>
          <w:color w:val="auto"/>
          <w:sz w:val="28"/>
          <w:szCs w:val="28"/>
          <w:highlight w:val="none"/>
        </w:rPr>
      </w:pPr>
    </w:p>
    <w:p w14:paraId="7C367BB6">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399D1828">
      <w:pPr>
        <w:spacing w:before="72" w:beforeLines="30"/>
        <w:jc w:val="right"/>
        <w:rPr>
          <w:rFonts w:hint="eastAsia" w:ascii="宋体" w:hAnsi="宋体" w:cs="宋体"/>
          <w:color w:val="auto"/>
          <w:kern w:val="0"/>
          <w:szCs w:val="21"/>
          <w:highlight w:val="none"/>
        </w:rPr>
      </w:pPr>
      <w:bookmarkStart w:id="550" w:name="_Hlk152086657"/>
    </w:p>
    <w:p w14:paraId="7FE738F4">
      <w:pPr>
        <w:spacing w:before="72" w:beforeLines="30"/>
        <w:jc w:val="right"/>
        <w:rPr>
          <w:rFonts w:hint="eastAsia" w:ascii="宋体" w:hAnsi="宋体" w:cs="宋体"/>
          <w:color w:val="auto"/>
          <w:kern w:val="0"/>
          <w:szCs w:val="21"/>
          <w:highlight w:val="none"/>
        </w:rPr>
      </w:pPr>
    </w:p>
    <w:p w14:paraId="0AEF1BEC">
      <w:pPr>
        <w:pStyle w:val="13"/>
        <w:spacing w:line="480" w:lineRule="auto"/>
        <w:ind w:firstLine="0"/>
        <w:rPr>
          <w:rFonts w:hint="eastAsia"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2344B3A2">
      <w:pPr>
        <w:spacing w:line="360" w:lineRule="auto"/>
        <w:ind w:firstLine="420" w:firstLineChars="200"/>
        <w:jc w:val="left"/>
        <w:rPr>
          <w:rFonts w:hint="eastAsia"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0E289704">
      <w:pPr>
        <w:spacing w:line="360" w:lineRule="auto"/>
        <w:ind w:firstLine="420" w:firstLineChars="200"/>
        <w:jc w:val="left"/>
        <w:rPr>
          <w:rFonts w:hint="eastAsia" w:ascii="宋体" w:hAnsi="宋体" w:cs="仿宋_GB2312"/>
          <w:color w:val="auto"/>
          <w:szCs w:val="21"/>
          <w:highlight w:val="none"/>
        </w:rPr>
      </w:pPr>
    </w:p>
    <w:p w14:paraId="4617955F">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7B2FCEF4">
      <w:pPr>
        <w:spacing w:before="72" w:beforeLines="30" w:line="360" w:lineRule="auto"/>
        <w:ind w:firstLine="420" w:firstLineChars="200"/>
        <w:rPr>
          <w:rFonts w:hint="eastAsia"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550"/>
    <w:p w14:paraId="340093DA">
      <w:pPr>
        <w:spacing w:before="72" w:beforeLines="30"/>
        <w:ind w:firstLine="4305" w:firstLineChars="2050"/>
        <w:rPr>
          <w:rFonts w:hint="eastAsia" w:ascii="宋体" w:hAnsi="宋体"/>
          <w:color w:val="auto"/>
          <w:highlight w:val="none"/>
        </w:rPr>
      </w:pPr>
    </w:p>
    <w:p w14:paraId="37BC197E">
      <w:pPr>
        <w:spacing w:line="400" w:lineRule="exact"/>
        <w:rPr>
          <w:rFonts w:hint="eastAsia" w:ascii="宋体" w:hAnsi="宋体"/>
          <w:color w:val="auto"/>
          <w:highlight w:val="none"/>
        </w:rPr>
      </w:pPr>
    </w:p>
    <w:p w14:paraId="1E15DE14">
      <w:pPr>
        <w:spacing w:line="400" w:lineRule="exact"/>
        <w:rPr>
          <w:color w:val="auto"/>
          <w:sz w:val="24"/>
          <w:highlight w:val="none"/>
        </w:rPr>
      </w:pPr>
    </w:p>
    <w:p w14:paraId="1FA198E2">
      <w:pPr>
        <w:pStyle w:val="3"/>
        <w:rPr>
          <w:b w:val="0"/>
          <w:color w:val="auto"/>
          <w:sz w:val="24"/>
          <w:szCs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1BDAEFF2">
      <w:pPr>
        <w:pStyle w:val="3"/>
        <w:rPr>
          <w:b w:val="0"/>
          <w:color w:val="auto"/>
          <w:sz w:val="24"/>
          <w:szCs w:val="24"/>
          <w:highlight w:val="none"/>
        </w:rPr>
      </w:pPr>
      <w:bookmarkStart w:id="551" w:name="_Toc256000074"/>
      <w:bookmarkStart w:id="552" w:name="_Toc165804344"/>
      <w:r>
        <w:rPr>
          <w:rFonts w:hint="eastAsia"/>
          <w:b w:val="0"/>
          <w:color w:val="auto"/>
          <w:sz w:val="24"/>
          <w:szCs w:val="24"/>
          <w:highlight w:val="none"/>
        </w:rPr>
        <w:t>附表五：开标记录表</w:t>
      </w:r>
      <w:bookmarkEnd w:id="551"/>
      <w:bookmarkEnd w:id="552"/>
    </w:p>
    <w:p w14:paraId="1FAEDA30">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30B89045">
      <w:pPr>
        <w:spacing w:line="400" w:lineRule="exact"/>
        <w:ind w:firstLine="105" w:firstLineChars="5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23"/>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67C3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7E761F1A">
            <w:pPr>
              <w:jc w:val="center"/>
              <w:rPr>
                <w:rFonts w:hint="eastAsia"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5C551134">
            <w:pPr>
              <w:jc w:val="center"/>
              <w:rPr>
                <w:rFonts w:hint="eastAsia"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141DA222">
            <w:pPr>
              <w:jc w:val="center"/>
              <w:rPr>
                <w:rFonts w:hint="eastAsia"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76D72EB6">
            <w:pPr>
              <w:jc w:val="center"/>
              <w:rPr>
                <w:rFonts w:hint="eastAsia" w:ascii="宋体" w:hAnsi="宋体"/>
                <w:color w:val="auto"/>
                <w:highlight w:val="none"/>
              </w:rPr>
            </w:pPr>
            <w:r>
              <w:rPr>
                <w:rFonts w:hint="eastAsia" w:ascii="宋体" w:hAnsi="宋体"/>
                <w:color w:val="auto"/>
                <w:highlight w:val="none"/>
              </w:rPr>
              <w:t>工期</w:t>
            </w:r>
          </w:p>
          <w:p w14:paraId="74D1A34C">
            <w:pPr>
              <w:jc w:val="center"/>
              <w:rPr>
                <w:rFonts w:hint="eastAsia"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2096C8DA">
            <w:pPr>
              <w:jc w:val="center"/>
              <w:rPr>
                <w:rFonts w:hint="eastAsia"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121F4045">
            <w:pPr>
              <w:jc w:val="center"/>
              <w:rPr>
                <w:rFonts w:hint="eastAsia"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4BF1EFE0">
            <w:pPr>
              <w:jc w:val="center"/>
              <w:rPr>
                <w:rFonts w:hint="eastAsia" w:ascii="宋体" w:hAnsi="宋体"/>
                <w:color w:val="auto"/>
                <w:highlight w:val="none"/>
              </w:rPr>
            </w:pPr>
            <w:r>
              <w:rPr>
                <w:rFonts w:hint="eastAsia" w:ascii="宋体" w:hAnsi="宋体"/>
                <w:color w:val="auto"/>
                <w:highlight w:val="none"/>
              </w:rPr>
              <w:t>项目经理</w:t>
            </w:r>
          </w:p>
          <w:p w14:paraId="6769C231">
            <w:pPr>
              <w:jc w:val="center"/>
              <w:rPr>
                <w:rFonts w:hint="eastAsia" w:ascii="宋体" w:hAnsi="宋体"/>
                <w:color w:val="auto"/>
                <w:highlight w:val="none"/>
              </w:rPr>
            </w:pPr>
            <w:r>
              <w:rPr>
                <w:rFonts w:hint="eastAsia" w:ascii="宋体" w:hAnsi="宋体"/>
                <w:color w:val="auto"/>
                <w:highlight w:val="none"/>
              </w:rPr>
              <w:t>姓名</w:t>
            </w:r>
          </w:p>
        </w:tc>
        <w:tc>
          <w:tcPr>
            <w:tcW w:w="2410" w:type="dxa"/>
            <w:gridSpan w:val="2"/>
          </w:tcPr>
          <w:p w14:paraId="13B94C83">
            <w:pPr>
              <w:jc w:val="center"/>
              <w:rPr>
                <w:rFonts w:hint="eastAsia"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45612300">
            <w:pPr>
              <w:jc w:val="center"/>
              <w:rPr>
                <w:rFonts w:hint="eastAsia"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7F55694C">
            <w:pPr>
              <w:jc w:val="center"/>
              <w:rPr>
                <w:rFonts w:hint="eastAsia" w:ascii="宋体" w:hAnsi="宋体"/>
                <w:color w:val="auto"/>
                <w:highlight w:val="none"/>
              </w:rPr>
            </w:pPr>
            <w:r>
              <w:rPr>
                <w:rFonts w:hint="eastAsia" w:ascii="宋体" w:hAnsi="宋体"/>
                <w:color w:val="auto"/>
                <w:highlight w:val="none"/>
              </w:rPr>
              <w:t>联系电话</w:t>
            </w:r>
          </w:p>
        </w:tc>
      </w:tr>
      <w:tr w14:paraId="3A74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06D33794">
            <w:pPr>
              <w:jc w:val="center"/>
              <w:rPr>
                <w:rFonts w:hint="eastAsia" w:ascii="宋体" w:hAnsi="宋体"/>
                <w:color w:val="auto"/>
                <w:highlight w:val="none"/>
              </w:rPr>
            </w:pPr>
          </w:p>
        </w:tc>
        <w:tc>
          <w:tcPr>
            <w:tcW w:w="2481" w:type="dxa"/>
            <w:vMerge w:val="continue"/>
            <w:tcMar>
              <w:left w:w="28" w:type="dxa"/>
              <w:right w:w="28" w:type="dxa"/>
            </w:tcMar>
            <w:vAlign w:val="center"/>
          </w:tcPr>
          <w:p w14:paraId="5B5DE7A3">
            <w:pPr>
              <w:jc w:val="center"/>
              <w:rPr>
                <w:rFonts w:hint="eastAsia" w:ascii="宋体" w:hAnsi="宋体"/>
                <w:color w:val="auto"/>
                <w:highlight w:val="none"/>
              </w:rPr>
            </w:pPr>
          </w:p>
        </w:tc>
        <w:tc>
          <w:tcPr>
            <w:tcW w:w="992" w:type="dxa"/>
            <w:vMerge w:val="continue"/>
            <w:tcMar>
              <w:left w:w="28" w:type="dxa"/>
              <w:right w:w="28" w:type="dxa"/>
            </w:tcMar>
            <w:vAlign w:val="center"/>
          </w:tcPr>
          <w:p w14:paraId="39A1C21D">
            <w:pPr>
              <w:jc w:val="center"/>
              <w:rPr>
                <w:rFonts w:hint="eastAsia" w:ascii="宋体" w:hAnsi="宋体"/>
                <w:color w:val="auto"/>
                <w:highlight w:val="none"/>
              </w:rPr>
            </w:pPr>
          </w:p>
        </w:tc>
        <w:tc>
          <w:tcPr>
            <w:tcW w:w="1134" w:type="dxa"/>
            <w:vMerge w:val="continue"/>
            <w:tcMar>
              <w:left w:w="28" w:type="dxa"/>
              <w:right w:w="28" w:type="dxa"/>
            </w:tcMar>
            <w:vAlign w:val="center"/>
          </w:tcPr>
          <w:p w14:paraId="2915FEB8">
            <w:pPr>
              <w:jc w:val="center"/>
              <w:rPr>
                <w:rFonts w:hint="eastAsia" w:ascii="宋体" w:hAnsi="宋体"/>
                <w:color w:val="auto"/>
                <w:highlight w:val="none"/>
              </w:rPr>
            </w:pPr>
          </w:p>
        </w:tc>
        <w:tc>
          <w:tcPr>
            <w:tcW w:w="1134" w:type="dxa"/>
            <w:vMerge w:val="continue"/>
            <w:tcMar>
              <w:left w:w="28" w:type="dxa"/>
              <w:right w:w="28" w:type="dxa"/>
            </w:tcMar>
            <w:vAlign w:val="center"/>
          </w:tcPr>
          <w:p w14:paraId="00125DAE">
            <w:pPr>
              <w:jc w:val="center"/>
              <w:rPr>
                <w:rFonts w:hint="eastAsia" w:ascii="宋体" w:hAnsi="宋体"/>
                <w:color w:val="auto"/>
                <w:highlight w:val="none"/>
              </w:rPr>
            </w:pPr>
          </w:p>
        </w:tc>
        <w:tc>
          <w:tcPr>
            <w:tcW w:w="1134" w:type="dxa"/>
            <w:vMerge w:val="continue"/>
            <w:vAlign w:val="center"/>
          </w:tcPr>
          <w:p w14:paraId="666878A7">
            <w:pPr>
              <w:jc w:val="center"/>
              <w:rPr>
                <w:rFonts w:hint="eastAsia" w:ascii="宋体" w:hAnsi="宋体"/>
                <w:color w:val="auto"/>
                <w:highlight w:val="none"/>
              </w:rPr>
            </w:pPr>
          </w:p>
        </w:tc>
        <w:tc>
          <w:tcPr>
            <w:tcW w:w="1134" w:type="dxa"/>
            <w:vMerge w:val="continue"/>
            <w:tcMar>
              <w:left w:w="28" w:type="dxa"/>
              <w:right w:w="28" w:type="dxa"/>
            </w:tcMar>
            <w:vAlign w:val="center"/>
          </w:tcPr>
          <w:p w14:paraId="503A44B0">
            <w:pPr>
              <w:jc w:val="center"/>
              <w:rPr>
                <w:rFonts w:hint="eastAsia" w:ascii="宋体" w:hAnsi="宋体"/>
                <w:color w:val="auto"/>
                <w:highlight w:val="none"/>
              </w:rPr>
            </w:pPr>
          </w:p>
        </w:tc>
        <w:tc>
          <w:tcPr>
            <w:tcW w:w="1134" w:type="dxa"/>
          </w:tcPr>
          <w:p w14:paraId="61DA5FDA">
            <w:pPr>
              <w:jc w:val="center"/>
              <w:rPr>
                <w:rFonts w:hint="eastAsia"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2684F6D3">
            <w:pPr>
              <w:jc w:val="center"/>
              <w:rPr>
                <w:rFonts w:hint="eastAsia"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60E9BCD7">
            <w:pPr>
              <w:jc w:val="center"/>
              <w:rPr>
                <w:rFonts w:hint="eastAsia" w:ascii="宋体" w:hAnsi="宋体"/>
                <w:color w:val="auto"/>
                <w:highlight w:val="none"/>
              </w:rPr>
            </w:pPr>
          </w:p>
        </w:tc>
        <w:tc>
          <w:tcPr>
            <w:tcW w:w="1276" w:type="dxa"/>
            <w:vMerge w:val="continue"/>
            <w:vAlign w:val="center"/>
          </w:tcPr>
          <w:p w14:paraId="583EDD6F">
            <w:pPr>
              <w:jc w:val="center"/>
              <w:rPr>
                <w:rFonts w:hint="eastAsia" w:ascii="宋体" w:hAnsi="宋体"/>
                <w:color w:val="auto"/>
                <w:highlight w:val="none"/>
              </w:rPr>
            </w:pPr>
          </w:p>
        </w:tc>
      </w:tr>
      <w:tr w14:paraId="384D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18878C6">
            <w:pPr>
              <w:jc w:val="center"/>
              <w:rPr>
                <w:rFonts w:hint="eastAsia" w:ascii="宋体" w:hAnsi="宋体"/>
                <w:color w:val="auto"/>
                <w:highlight w:val="none"/>
              </w:rPr>
            </w:pPr>
          </w:p>
        </w:tc>
        <w:tc>
          <w:tcPr>
            <w:tcW w:w="2481" w:type="dxa"/>
            <w:tcMar>
              <w:left w:w="28" w:type="dxa"/>
              <w:right w:w="28" w:type="dxa"/>
            </w:tcMar>
            <w:vAlign w:val="center"/>
          </w:tcPr>
          <w:p w14:paraId="6606CCAC">
            <w:pPr>
              <w:jc w:val="center"/>
              <w:rPr>
                <w:rFonts w:hint="eastAsia" w:ascii="宋体" w:hAnsi="宋体"/>
                <w:color w:val="auto"/>
                <w:highlight w:val="none"/>
              </w:rPr>
            </w:pPr>
          </w:p>
        </w:tc>
        <w:tc>
          <w:tcPr>
            <w:tcW w:w="992" w:type="dxa"/>
            <w:tcMar>
              <w:left w:w="28" w:type="dxa"/>
              <w:right w:w="28" w:type="dxa"/>
            </w:tcMar>
            <w:vAlign w:val="center"/>
          </w:tcPr>
          <w:p w14:paraId="65DE7DE8">
            <w:pPr>
              <w:jc w:val="center"/>
              <w:rPr>
                <w:rFonts w:hint="eastAsia" w:ascii="宋体" w:hAnsi="宋体"/>
                <w:color w:val="auto"/>
                <w:highlight w:val="none"/>
              </w:rPr>
            </w:pPr>
          </w:p>
        </w:tc>
        <w:tc>
          <w:tcPr>
            <w:tcW w:w="1134" w:type="dxa"/>
            <w:tcMar>
              <w:left w:w="28" w:type="dxa"/>
              <w:right w:w="28" w:type="dxa"/>
            </w:tcMar>
            <w:vAlign w:val="center"/>
          </w:tcPr>
          <w:p w14:paraId="44964FBF">
            <w:pPr>
              <w:jc w:val="center"/>
              <w:rPr>
                <w:rFonts w:hint="eastAsia" w:ascii="宋体" w:hAnsi="宋体"/>
                <w:color w:val="auto"/>
                <w:highlight w:val="none"/>
              </w:rPr>
            </w:pPr>
          </w:p>
        </w:tc>
        <w:tc>
          <w:tcPr>
            <w:tcW w:w="1134" w:type="dxa"/>
            <w:tcMar>
              <w:left w:w="28" w:type="dxa"/>
              <w:right w:w="28" w:type="dxa"/>
            </w:tcMar>
            <w:vAlign w:val="center"/>
          </w:tcPr>
          <w:p w14:paraId="54CA4145">
            <w:pPr>
              <w:jc w:val="center"/>
              <w:rPr>
                <w:rFonts w:hint="eastAsia" w:ascii="宋体" w:hAnsi="宋体"/>
                <w:color w:val="auto"/>
                <w:highlight w:val="none"/>
              </w:rPr>
            </w:pPr>
          </w:p>
        </w:tc>
        <w:tc>
          <w:tcPr>
            <w:tcW w:w="1134" w:type="dxa"/>
            <w:vAlign w:val="center"/>
          </w:tcPr>
          <w:p w14:paraId="1F7AFEF6">
            <w:pPr>
              <w:jc w:val="center"/>
              <w:rPr>
                <w:rFonts w:hint="eastAsia" w:ascii="宋体" w:hAnsi="宋体"/>
                <w:color w:val="auto"/>
                <w:highlight w:val="none"/>
              </w:rPr>
            </w:pPr>
          </w:p>
        </w:tc>
        <w:tc>
          <w:tcPr>
            <w:tcW w:w="1134" w:type="dxa"/>
            <w:tcMar>
              <w:left w:w="28" w:type="dxa"/>
              <w:right w:w="28" w:type="dxa"/>
            </w:tcMar>
            <w:vAlign w:val="center"/>
          </w:tcPr>
          <w:p w14:paraId="6BF4DF75">
            <w:pPr>
              <w:jc w:val="center"/>
              <w:rPr>
                <w:rFonts w:hint="eastAsia" w:ascii="宋体" w:hAnsi="宋体"/>
                <w:color w:val="auto"/>
                <w:highlight w:val="none"/>
              </w:rPr>
            </w:pPr>
          </w:p>
        </w:tc>
        <w:tc>
          <w:tcPr>
            <w:tcW w:w="1134" w:type="dxa"/>
          </w:tcPr>
          <w:p w14:paraId="348E696E">
            <w:pPr>
              <w:jc w:val="center"/>
              <w:rPr>
                <w:rFonts w:hint="eastAsia" w:ascii="宋体" w:hAnsi="宋体"/>
                <w:color w:val="auto"/>
                <w:highlight w:val="none"/>
              </w:rPr>
            </w:pPr>
          </w:p>
        </w:tc>
        <w:tc>
          <w:tcPr>
            <w:tcW w:w="1276" w:type="dxa"/>
            <w:tcMar>
              <w:left w:w="28" w:type="dxa"/>
              <w:right w:w="28" w:type="dxa"/>
            </w:tcMar>
            <w:vAlign w:val="center"/>
          </w:tcPr>
          <w:p w14:paraId="4145FA31">
            <w:pPr>
              <w:jc w:val="center"/>
              <w:rPr>
                <w:rFonts w:hint="eastAsia" w:ascii="宋体" w:hAnsi="宋体"/>
                <w:color w:val="auto"/>
                <w:highlight w:val="none"/>
              </w:rPr>
            </w:pPr>
          </w:p>
        </w:tc>
        <w:tc>
          <w:tcPr>
            <w:tcW w:w="1701" w:type="dxa"/>
            <w:tcMar>
              <w:left w:w="28" w:type="dxa"/>
              <w:right w:w="28" w:type="dxa"/>
            </w:tcMar>
            <w:vAlign w:val="center"/>
          </w:tcPr>
          <w:p w14:paraId="2684A8EA">
            <w:pPr>
              <w:jc w:val="center"/>
              <w:rPr>
                <w:rFonts w:hint="eastAsia" w:ascii="宋体" w:hAnsi="宋体"/>
                <w:color w:val="auto"/>
                <w:highlight w:val="none"/>
              </w:rPr>
            </w:pPr>
          </w:p>
        </w:tc>
        <w:tc>
          <w:tcPr>
            <w:tcW w:w="1276" w:type="dxa"/>
            <w:vAlign w:val="center"/>
          </w:tcPr>
          <w:p w14:paraId="0CCA2CE1">
            <w:pPr>
              <w:jc w:val="center"/>
              <w:rPr>
                <w:rFonts w:hint="eastAsia" w:ascii="宋体" w:hAnsi="宋体"/>
                <w:color w:val="auto"/>
                <w:highlight w:val="none"/>
              </w:rPr>
            </w:pPr>
          </w:p>
        </w:tc>
      </w:tr>
      <w:tr w14:paraId="197E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12ED17D">
            <w:pPr>
              <w:jc w:val="center"/>
              <w:rPr>
                <w:rFonts w:hint="eastAsia" w:ascii="宋体" w:hAnsi="宋体"/>
                <w:color w:val="auto"/>
                <w:highlight w:val="none"/>
              </w:rPr>
            </w:pPr>
          </w:p>
        </w:tc>
        <w:tc>
          <w:tcPr>
            <w:tcW w:w="2481" w:type="dxa"/>
            <w:tcMar>
              <w:left w:w="28" w:type="dxa"/>
              <w:right w:w="28" w:type="dxa"/>
            </w:tcMar>
            <w:vAlign w:val="center"/>
          </w:tcPr>
          <w:p w14:paraId="2D4C4269">
            <w:pPr>
              <w:jc w:val="center"/>
              <w:rPr>
                <w:rFonts w:hint="eastAsia" w:ascii="宋体" w:hAnsi="宋体"/>
                <w:color w:val="auto"/>
                <w:highlight w:val="none"/>
              </w:rPr>
            </w:pPr>
          </w:p>
        </w:tc>
        <w:tc>
          <w:tcPr>
            <w:tcW w:w="992" w:type="dxa"/>
            <w:tcMar>
              <w:left w:w="28" w:type="dxa"/>
              <w:right w:w="28" w:type="dxa"/>
            </w:tcMar>
            <w:vAlign w:val="center"/>
          </w:tcPr>
          <w:p w14:paraId="4FFFEE41">
            <w:pPr>
              <w:jc w:val="center"/>
              <w:rPr>
                <w:rFonts w:hint="eastAsia" w:ascii="宋体" w:hAnsi="宋体"/>
                <w:color w:val="auto"/>
                <w:highlight w:val="none"/>
              </w:rPr>
            </w:pPr>
          </w:p>
        </w:tc>
        <w:tc>
          <w:tcPr>
            <w:tcW w:w="1134" w:type="dxa"/>
            <w:tcMar>
              <w:left w:w="28" w:type="dxa"/>
              <w:right w:w="28" w:type="dxa"/>
            </w:tcMar>
            <w:vAlign w:val="center"/>
          </w:tcPr>
          <w:p w14:paraId="51D23066">
            <w:pPr>
              <w:jc w:val="center"/>
              <w:rPr>
                <w:rFonts w:hint="eastAsia" w:ascii="宋体" w:hAnsi="宋体"/>
                <w:color w:val="auto"/>
                <w:highlight w:val="none"/>
              </w:rPr>
            </w:pPr>
          </w:p>
        </w:tc>
        <w:tc>
          <w:tcPr>
            <w:tcW w:w="1134" w:type="dxa"/>
            <w:tcMar>
              <w:left w:w="28" w:type="dxa"/>
              <w:right w:w="28" w:type="dxa"/>
            </w:tcMar>
            <w:vAlign w:val="center"/>
          </w:tcPr>
          <w:p w14:paraId="1BCABB2C">
            <w:pPr>
              <w:jc w:val="center"/>
              <w:rPr>
                <w:rFonts w:hint="eastAsia" w:ascii="宋体" w:hAnsi="宋体"/>
                <w:color w:val="auto"/>
                <w:highlight w:val="none"/>
              </w:rPr>
            </w:pPr>
          </w:p>
        </w:tc>
        <w:tc>
          <w:tcPr>
            <w:tcW w:w="1134" w:type="dxa"/>
            <w:vAlign w:val="center"/>
          </w:tcPr>
          <w:p w14:paraId="34F58C79">
            <w:pPr>
              <w:jc w:val="center"/>
              <w:rPr>
                <w:rFonts w:hint="eastAsia" w:ascii="宋体" w:hAnsi="宋体"/>
                <w:color w:val="auto"/>
                <w:highlight w:val="none"/>
              </w:rPr>
            </w:pPr>
          </w:p>
        </w:tc>
        <w:tc>
          <w:tcPr>
            <w:tcW w:w="1134" w:type="dxa"/>
            <w:tcMar>
              <w:left w:w="28" w:type="dxa"/>
              <w:right w:w="28" w:type="dxa"/>
            </w:tcMar>
            <w:vAlign w:val="center"/>
          </w:tcPr>
          <w:p w14:paraId="520C4AB4">
            <w:pPr>
              <w:jc w:val="center"/>
              <w:rPr>
                <w:rFonts w:hint="eastAsia" w:ascii="宋体" w:hAnsi="宋体"/>
                <w:color w:val="auto"/>
                <w:highlight w:val="none"/>
              </w:rPr>
            </w:pPr>
          </w:p>
        </w:tc>
        <w:tc>
          <w:tcPr>
            <w:tcW w:w="1134" w:type="dxa"/>
          </w:tcPr>
          <w:p w14:paraId="29FDC1A1">
            <w:pPr>
              <w:jc w:val="center"/>
              <w:rPr>
                <w:rFonts w:hint="eastAsia" w:ascii="宋体" w:hAnsi="宋体"/>
                <w:color w:val="auto"/>
                <w:highlight w:val="none"/>
              </w:rPr>
            </w:pPr>
          </w:p>
        </w:tc>
        <w:tc>
          <w:tcPr>
            <w:tcW w:w="1276" w:type="dxa"/>
            <w:tcMar>
              <w:left w:w="28" w:type="dxa"/>
              <w:right w:w="28" w:type="dxa"/>
            </w:tcMar>
            <w:vAlign w:val="center"/>
          </w:tcPr>
          <w:p w14:paraId="7FE783E3">
            <w:pPr>
              <w:jc w:val="center"/>
              <w:rPr>
                <w:rFonts w:hint="eastAsia" w:ascii="宋体" w:hAnsi="宋体"/>
                <w:color w:val="auto"/>
                <w:highlight w:val="none"/>
              </w:rPr>
            </w:pPr>
          </w:p>
        </w:tc>
        <w:tc>
          <w:tcPr>
            <w:tcW w:w="1701" w:type="dxa"/>
            <w:tcMar>
              <w:left w:w="28" w:type="dxa"/>
              <w:right w:w="28" w:type="dxa"/>
            </w:tcMar>
            <w:vAlign w:val="center"/>
          </w:tcPr>
          <w:p w14:paraId="3F7A6A0F">
            <w:pPr>
              <w:jc w:val="center"/>
              <w:rPr>
                <w:rFonts w:hint="eastAsia" w:ascii="宋体" w:hAnsi="宋体"/>
                <w:color w:val="auto"/>
                <w:highlight w:val="none"/>
              </w:rPr>
            </w:pPr>
          </w:p>
        </w:tc>
        <w:tc>
          <w:tcPr>
            <w:tcW w:w="1276" w:type="dxa"/>
            <w:vAlign w:val="center"/>
          </w:tcPr>
          <w:p w14:paraId="26464C7A">
            <w:pPr>
              <w:jc w:val="center"/>
              <w:rPr>
                <w:rFonts w:hint="eastAsia" w:ascii="宋体" w:hAnsi="宋体"/>
                <w:color w:val="auto"/>
                <w:highlight w:val="none"/>
              </w:rPr>
            </w:pPr>
          </w:p>
        </w:tc>
      </w:tr>
      <w:tr w14:paraId="3ABD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34DA399B">
            <w:pPr>
              <w:jc w:val="center"/>
              <w:rPr>
                <w:rFonts w:hint="eastAsia" w:ascii="宋体" w:hAnsi="宋体"/>
                <w:color w:val="auto"/>
                <w:highlight w:val="none"/>
              </w:rPr>
            </w:pPr>
          </w:p>
        </w:tc>
        <w:tc>
          <w:tcPr>
            <w:tcW w:w="2481" w:type="dxa"/>
            <w:tcMar>
              <w:left w:w="28" w:type="dxa"/>
              <w:right w:w="28" w:type="dxa"/>
            </w:tcMar>
            <w:vAlign w:val="center"/>
          </w:tcPr>
          <w:p w14:paraId="5857192B">
            <w:pPr>
              <w:jc w:val="center"/>
              <w:rPr>
                <w:rFonts w:hint="eastAsia" w:ascii="宋体" w:hAnsi="宋体"/>
                <w:color w:val="auto"/>
                <w:highlight w:val="none"/>
              </w:rPr>
            </w:pPr>
          </w:p>
        </w:tc>
        <w:tc>
          <w:tcPr>
            <w:tcW w:w="992" w:type="dxa"/>
            <w:tcMar>
              <w:left w:w="28" w:type="dxa"/>
              <w:right w:w="28" w:type="dxa"/>
            </w:tcMar>
            <w:vAlign w:val="center"/>
          </w:tcPr>
          <w:p w14:paraId="456CD5A4">
            <w:pPr>
              <w:jc w:val="center"/>
              <w:rPr>
                <w:rFonts w:hint="eastAsia" w:ascii="宋体" w:hAnsi="宋体"/>
                <w:color w:val="auto"/>
                <w:highlight w:val="none"/>
              </w:rPr>
            </w:pPr>
          </w:p>
        </w:tc>
        <w:tc>
          <w:tcPr>
            <w:tcW w:w="1134" w:type="dxa"/>
            <w:tcMar>
              <w:left w:w="28" w:type="dxa"/>
              <w:right w:w="28" w:type="dxa"/>
            </w:tcMar>
            <w:vAlign w:val="center"/>
          </w:tcPr>
          <w:p w14:paraId="502FD661">
            <w:pPr>
              <w:jc w:val="center"/>
              <w:rPr>
                <w:rFonts w:hint="eastAsia" w:ascii="宋体" w:hAnsi="宋体"/>
                <w:color w:val="auto"/>
                <w:highlight w:val="none"/>
              </w:rPr>
            </w:pPr>
          </w:p>
        </w:tc>
        <w:tc>
          <w:tcPr>
            <w:tcW w:w="1134" w:type="dxa"/>
            <w:tcMar>
              <w:left w:w="28" w:type="dxa"/>
              <w:right w:w="28" w:type="dxa"/>
            </w:tcMar>
            <w:vAlign w:val="center"/>
          </w:tcPr>
          <w:p w14:paraId="16BF0F90">
            <w:pPr>
              <w:jc w:val="center"/>
              <w:rPr>
                <w:rFonts w:hint="eastAsia" w:ascii="宋体" w:hAnsi="宋体"/>
                <w:color w:val="auto"/>
                <w:highlight w:val="none"/>
              </w:rPr>
            </w:pPr>
          </w:p>
        </w:tc>
        <w:tc>
          <w:tcPr>
            <w:tcW w:w="1134" w:type="dxa"/>
            <w:vAlign w:val="center"/>
          </w:tcPr>
          <w:p w14:paraId="63AF193C">
            <w:pPr>
              <w:jc w:val="center"/>
              <w:rPr>
                <w:rFonts w:hint="eastAsia" w:ascii="宋体" w:hAnsi="宋体"/>
                <w:color w:val="auto"/>
                <w:highlight w:val="none"/>
              </w:rPr>
            </w:pPr>
          </w:p>
        </w:tc>
        <w:tc>
          <w:tcPr>
            <w:tcW w:w="1134" w:type="dxa"/>
            <w:tcMar>
              <w:left w:w="28" w:type="dxa"/>
              <w:right w:w="28" w:type="dxa"/>
            </w:tcMar>
            <w:vAlign w:val="center"/>
          </w:tcPr>
          <w:p w14:paraId="1737DE67">
            <w:pPr>
              <w:jc w:val="center"/>
              <w:rPr>
                <w:rFonts w:hint="eastAsia" w:ascii="宋体" w:hAnsi="宋体"/>
                <w:color w:val="auto"/>
                <w:highlight w:val="none"/>
              </w:rPr>
            </w:pPr>
          </w:p>
        </w:tc>
        <w:tc>
          <w:tcPr>
            <w:tcW w:w="1134" w:type="dxa"/>
          </w:tcPr>
          <w:p w14:paraId="735985B6">
            <w:pPr>
              <w:jc w:val="center"/>
              <w:rPr>
                <w:rFonts w:hint="eastAsia" w:ascii="宋体" w:hAnsi="宋体"/>
                <w:color w:val="auto"/>
                <w:highlight w:val="none"/>
              </w:rPr>
            </w:pPr>
          </w:p>
        </w:tc>
        <w:tc>
          <w:tcPr>
            <w:tcW w:w="1276" w:type="dxa"/>
            <w:tcMar>
              <w:left w:w="28" w:type="dxa"/>
              <w:right w:w="28" w:type="dxa"/>
            </w:tcMar>
            <w:vAlign w:val="center"/>
          </w:tcPr>
          <w:p w14:paraId="286E799F">
            <w:pPr>
              <w:jc w:val="center"/>
              <w:rPr>
                <w:rFonts w:hint="eastAsia" w:ascii="宋体" w:hAnsi="宋体"/>
                <w:color w:val="auto"/>
                <w:highlight w:val="none"/>
              </w:rPr>
            </w:pPr>
          </w:p>
        </w:tc>
        <w:tc>
          <w:tcPr>
            <w:tcW w:w="1701" w:type="dxa"/>
            <w:tcMar>
              <w:left w:w="28" w:type="dxa"/>
              <w:right w:w="28" w:type="dxa"/>
            </w:tcMar>
            <w:vAlign w:val="center"/>
          </w:tcPr>
          <w:p w14:paraId="7D33EBB5">
            <w:pPr>
              <w:jc w:val="center"/>
              <w:rPr>
                <w:rFonts w:hint="eastAsia" w:ascii="宋体" w:hAnsi="宋体"/>
                <w:color w:val="auto"/>
                <w:highlight w:val="none"/>
              </w:rPr>
            </w:pPr>
          </w:p>
        </w:tc>
        <w:tc>
          <w:tcPr>
            <w:tcW w:w="1276" w:type="dxa"/>
            <w:vAlign w:val="center"/>
          </w:tcPr>
          <w:p w14:paraId="4AF52F99">
            <w:pPr>
              <w:jc w:val="center"/>
              <w:rPr>
                <w:rFonts w:hint="eastAsia" w:ascii="宋体" w:hAnsi="宋体"/>
                <w:color w:val="auto"/>
                <w:highlight w:val="none"/>
              </w:rPr>
            </w:pPr>
          </w:p>
        </w:tc>
      </w:tr>
      <w:tr w14:paraId="5635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ADAE4DF">
            <w:pPr>
              <w:jc w:val="center"/>
              <w:rPr>
                <w:rFonts w:hint="eastAsia" w:ascii="宋体" w:hAnsi="宋体"/>
                <w:color w:val="auto"/>
                <w:highlight w:val="none"/>
              </w:rPr>
            </w:pPr>
          </w:p>
        </w:tc>
        <w:tc>
          <w:tcPr>
            <w:tcW w:w="2481" w:type="dxa"/>
            <w:tcMar>
              <w:left w:w="28" w:type="dxa"/>
              <w:right w:w="28" w:type="dxa"/>
            </w:tcMar>
            <w:vAlign w:val="center"/>
          </w:tcPr>
          <w:p w14:paraId="04EBA774">
            <w:pPr>
              <w:jc w:val="center"/>
              <w:rPr>
                <w:rFonts w:hint="eastAsia" w:ascii="宋体" w:hAnsi="宋体"/>
                <w:color w:val="auto"/>
                <w:highlight w:val="none"/>
              </w:rPr>
            </w:pPr>
          </w:p>
        </w:tc>
        <w:tc>
          <w:tcPr>
            <w:tcW w:w="992" w:type="dxa"/>
            <w:tcMar>
              <w:left w:w="28" w:type="dxa"/>
              <w:right w:w="28" w:type="dxa"/>
            </w:tcMar>
            <w:vAlign w:val="center"/>
          </w:tcPr>
          <w:p w14:paraId="4AE03A63">
            <w:pPr>
              <w:jc w:val="center"/>
              <w:rPr>
                <w:rFonts w:hint="eastAsia" w:ascii="宋体" w:hAnsi="宋体"/>
                <w:color w:val="auto"/>
                <w:highlight w:val="none"/>
              </w:rPr>
            </w:pPr>
          </w:p>
        </w:tc>
        <w:tc>
          <w:tcPr>
            <w:tcW w:w="1134" w:type="dxa"/>
            <w:tcMar>
              <w:left w:w="28" w:type="dxa"/>
              <w:right w:w="28" w:type="dxa"/>
            </w:tcMar>
            <w:vAlign w:val="center"/>
          </w:tcPr>
          <w:p w14:paraId="4431C245">
            <w:pPr>
              <w:jc w:val="center"/>
              <w:rPr>
                <w:rFonts w:hint="eastAsia" w:ascii="宋体" w:hAnsi="宋体"/>
                <w:color w:val="auto"/>
                <w:highlight w:val="none"/>
              </w:rPr>
            </w:pPr>
          </w:p>
        </w:tc>
        <w:tc>
          <w:tcPr>
            <w:tcW w:w="1134" w:type="dxa"/>
            <w:tcMar>
              <w:left w:w="28" w:type="dxa"/>
              <w:right w:w="28" w:type="dxa"/>
            </w:tcMar>
            <w:vAlign w:val="center"/>
          </w:tcPr>
          <w:p w14:paraId="68CDCECD">
            <w:pPr>
              <w:jc w:val="center"/>
              <w:rPr>
                <w:rFonts w:hint="eastAsia" w:ascii="宋体" w:hAnsi="宋体"/>
                <w:color w:val="auto"/>
                <w:highlight w:val="none"/>
              </w:rPr>
            </w:pPr>
          </w:p>
        </w:tc>
        <w:tc>
          <w:tcPr>
            <w:tcW w:w="1134" w:type="dxa"/>
            <w:vAlign w:val="center"/>
          </w:tcPr>
          <w:p w14:paraId="68D69294">
            <w:pPr>
              <w:jc w:val="center"/>
              <w:rPr>
                <w:rFonts w:hint="eastAsia" w:ascii="宋体" w:hAnsi="宋体"/>
                <w:color w:val="auto"/>
                <w:highlight w:val="none"/>
              </w:rPr>
            </w:pPr>
          </w:p>
        </w:tc>
        <w:tc>
          <w:tcPr>
            <w:tcW w:w="1134" w:type="dxa"/>
            <w:tcMar>
              <w:left w:w="28" w:type="dxa"/>
              <w:right w:w="28" w:type="dxa"/>
            </w:tcMar>
            <w:vAlign w:val="center"/>
          </w:tcPr>
          <w:p w14:paraId="1EA6C70C">
            <w:pPr>
              <w:jc w:val="center"/>
              <w:rPr>
                <w:rFonts w:hint="eastAsia" w:ascii="宋体" w:hAnsi="宋体"/>
                <w:color w:val="auto"/>
                <w:highlight w:val="none"/>
              </w:rPr>
            </w:pPr>
          </w:p>
        </w:tc>
        <w:tc>
          <w:tcPr>
            <w:tcW w:w="1134" w:type="dxa"/>
          </w:tcPr>
          <w:p w14:paraId="6EB9F595">
            <w:pPr>
              <w:jc w:val="center"/>
              <w:rPr>
                <w:rFonts w:hint="eastAsia" w:ascii="宋体" w:hAnsi="宋体"/>
                <w:color w:val="auto"/>
                <w:highlight w:val="none"/>
              </w:rPr>
            </w:pPr>
          </w:p>
        </w:tc>
        <w:tc>
          <w:tcPr>
            <w:tcW w:w="1276" w:type="dxa"/>
            <w:tcMar>
              <w:left w:w="28" w:type="dxa"/>
              <w:right w:w="28" w:type="dxa"/>
            </w:tcMar>
            <w:vAlign w:val="center"/>
          </w:tcPr>
          <w:p w14:paraId="157C2ED4">
            <w:pPr>
              <w:jc w:val="center"/>
              <w:rPr>
                <w:rFonts w:hint="eastAsia" w:ascii="宋体" w:hAnsi="宋体"/>
                <w:color w:val="auto"/>
                <w:highlight w:val="none"/>
              </w:rPr>
            </w:pPr>
          </w:p>
        </w:tc>
        <w:tc>
          <w:tcPr>
            <w:tcW w:w="1701" w:type="dxa"/>
            <w:tcMar>
              <w:left w:w="28" w:type="dxa"/>
              <w:right w:w="28" w:type="dxa"/>
            </w:tcMar>
            <w:vAlign w:val="center"/>
          </w:tcPr>
          <w:p w14:paraId="1F25D3AE">
            <w:pPr>
              <w:jc w:val="center"/>
              <w:rPr>
                <w:rFonts w:hint="eastAsia" w:ascii="宋体" w:hAnsi="宋体"/>
                <w:color w:val="auto"/>
                <w:highlight w:val="none"/>
              </w:rPr>
            </w:pPr>
          </w:p>
        </w:tc>
        <w:tc>
          <w:tcPr>
            <w:tcW w:w="1276" w:type="dxa"/>
            <w:vAlign w:val="center"/>
          </w:tcPr>
          <w:p w14:paraId="5903630C">
            <w:pPr>
              <w:jc w:val="center"/>
              <w:rPr>
                <w:rFonts w:hint="eastAsia" w:ascii="宋体" w:hAnsi="宋体"/>
                <w:color w:val="auto"/>
                <w:highlight w:val="none"/>
              </w:rPr>
            </w:pPr>
          </w:p>
        </w:tc>
      </w:tr>
      <w:tr w14:paraId="7120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9B86AAA">
            <w:pPr>
              <w:jc w:val="center"/>
              <w:rPr>
                <w:rFonts w:hint="eastAsia" w:ascii="宋体" w:hAnsi="宋体"/>
                <w:color w:val="auto"/>
                <w:highlight w:val="none"/>
              </w:rPr>
            </w:pPr>
          </w:p>
        </w:tc>
        <w:tc>
          <w:tcPr>
            <w:tcW w:w="2481" w:type="dxa"/>
            <w:tcMar>
              <w:left w:w="28" w:type="dxa"/>
              <w:right w:w="28" w:type="dxa"/>
            </w:tcMar>
            <w:vAlign w:val="center"/>
          </w:tcPr>
          <w:p w14:paraId="3B8C1F1F">
            <w:pPr>
              <w:jc w:val="center"/>
              <w:rPr>
                <w:rFonts w:hint="eastAsia" w:ascii="宋体" w:hAnsi="宋体"/>
                <w:color w:val="auto"/>
                <w:highlight w:val="none"/>
              </w:rPr>
            </w:pPr>
          </w:p>
        </w:tc>
        <w:tc>
          <w:tcPr>
            <w:tcW w:w="992" w:type="dxa"/>
            <w:tcMar>
              <w:left w:w="28" w:type="dxa"/>
              <w:right w:w="28" w:type="dxa"/>
            </w:tcMar>
            <w:vAlign w:val="center"/>
          </w:tcPr>
          <w:p w14:paraId="7F8ACEF8">
            <w:pPr>
              <w:jc w:val="center"/>
              <w:rPr>
                <w:rFonts w:hint="eastAsia" w:ascii="宋体" w:hAnsi="宋体"/>
                <w:color w:val="auto"/>
                <w:highlight w:val="none"/>
              </w:rPr>
            </w:pPr>
          </w:p>
        </w:tc>
        <w:tc>
          <w:tcPr>
            <w:tcW w:w="1134" w:type="dxa"/>
            <w:tcMar>
              <w:left w:w="28" w:type="dxa"/>
              <w:right w:w="28" w:type="dxa"/>
            </w:tcMar>
            <w:vAlign w:val="center"/>
          </w:tcPr>
          <w:p w14:paraId="797CC3D5">
            <w:pPr>
              <w:jc w:val="center"/>
              <w:rPr>
                <w:rFonts w:hint="eastAsia" w:ascii="宋体" w:hAnsi="宋体"/>
                <w:color w:val="auto"/>
                <w:highlight w:val="none"/>
              </w:rPr>
            </w:pPr>
          </w:p>
        </w:tc>
        <w:tc>
          <w:tcPr>
            <w:tcW w:w="1134" w:type="dxa"/>
            <w:tcMar>
              <w:left w:w="28" w:type="dxa"/>
              <w:right w:w="28" w:type="dxa"/>
            </w:tcMar>
            <w:vAlign w:val="center"/>
          </w:tcPr>
          <w:p w14:paraId="666538A6">
            <w:pPr>
              <w:jc w:val="center"/>
              <w:rPr>
                <w:rFonts w:hint="eastAsia" w:ascii="宋体" w:hAnsi="宋体"/>
                <w:color w:val="auto"/>
                <w:highlight w:val="none"/>
              </w:rPr>
            </w:pPr>
          </w:p>
        </w:tc>
        <w:tc>
          <w:tcPr>
            <w:tcW w:w="1134" w:type="dxa"/>
            <w:vAlign w:val="center"/>
          </w:tcPr>
          <w:p w14:paraId="662CC025">
            <w:pPr>
              <w:jc w:val="center"/>
              <w:rPr>
                <w:rFonts w:hint="eastAsia" w:ascii="宋体" w:hAnsi="宋体"/>
                <w:color w:val="auto"/>
                <w:highlight w:val="none"/>
              </w:rPr>
            </w:pPr>
          </w:p>
        </w:tc>
        <w:tc>
          <w:tcPr>
            <w:tcW w:w="1134" w:type="dxa"/>
            <w:tcMar>
              <w:left w:w="28" w:type="dxa"/>
              <w:right w:w="28" w:type="dxa"/>
            </w:tcMar>
            <w:vAlign w:val="center"/>
          </w:tcPr>
          <w:p w14:paraId="2633335F">
            <w:pPr>
              <w:jc w:val="center"/>
              <w:rPr>
                <w:rFonts w:hint="eastAsia" w:ascii="宋体" w:hAnsi="宋体"/>
                <w:color w:val="auto"/>
                <w:highlight w:val="none"/>
              </w:rPr>
            </w:pPr>
          </w:p>
        </w:tc>
        <w:tc>
          <w:tcPr>
            <w:tcW w:w="1134" w:type="dxa"/>
          </w:tcPr>
          <w:p w14:paraId="18333C79">
            <w:pPr>
              <w:jc w:val="center"/>
              <w:rPr>
                <w:rFonts w:hint="eastAsia" w:ascii="宋体" w:hAnsi="宋体"/>
                <w:color w:val="auto"/>
                <w:highlight w:val="none"/>
              </w:rPr>
            </w:pPr>
          </w:p>
        </w:tc>
        <w:tc>
          <w:tcPr>
            <w:tcW w:w="1276" w:type="dxa"/>
            <w:tcMar>
              <w:left w:w="28" w:type="dxa"/>
              <w:right w:w="28" w:type="dxa"/>
            </w:tcMar>
            <w:vAlign w:val="center"/>
          </w:tcPr>
          <w:p w14:paraId="7D7ADCC1">
            <w:pPr>
              <w:jc w:val="center"/>
              <w:rPr>
                <w:rFonts w:hint="eastAsia" w:ascii="宋体" w:hAnsi="宋体"/>
                <w:color w:val="auto"/>
                <w:highlight w:val="none"/>
              </w:rPr>
            </w:pPr>
          </w:p>
        </w:tc>
        <w:tc>
          <w:tcPr>
            <w:tcW w:w="1701" w:type="dxa"/>
            <w:tcMar>
              <w:left w:w="28" w:type="dxa"/>
              <w:right w:w="28" w:type="dxa"/>
            </w:tcMar>
            <w:vAlign w:val="center"/>
          </w:tcPr>
          <w:p w14:paraId="614DFE4C">
            <w:pPr>
              <w:jc w:val="center"/>
              <w:rPr>
                <w:rFonts w:hint="eastAsia" w:ascii="宋体" w:hAnsi="宋体"/>
                <w:color w:val="auto"/>
                <w:highlight w:val="none"/>
              </w:rPr>
            </w:pPr>
          </w:p>
        </w:tc>
        <w:tc>
          <w:tcPr>
            <w:tcW w:w="1276" w:type="dxa"/>
            <w:vAlign w:val="center"/>
          </w:tcPr>
          <w:p w14:paraId="47C65B97">
            <w:pPr>
              <w:jc w:val="center"/>
              <w:rPr>
                <w:rFonts w:hint="eastAsia" w:ascii="宋体" w:hAnsi="宋体"/>
                <w:color w:val="auto"/>
                <w:highlight w:val="none"/>
              </w:rPr>
            </w:pPr>
          </w:p>
        </w:tc>
      </w:tr>
      <w:tr w14:paraId="4FD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AAD6B57">
            <w:pPr>
              <w:jc w:val="center"/>
              <w:rPr>
                <w:rFonts w:hint="eastAsia" w:ascii="宋体" w:hAnsi="宋体"/>
                <w:color w:val="auto"/>
                <w:highlight w:val="none"/>
              </w:rPr>
            </w:pPr>
          </w:p>
        </w:tc>
        <w:tc>
          <w:tcPr>
            <w:tcW w:w="2481" w:type="dxa"/>
            <w:tcMar>
              <w:left w:w="28" w:type="dxa"/>
              <w:right w:w="28" w:type="dxa"/>
            </w:tcMar>
            <w:vAlign w:val="center"/>
          </w:tcPr>
          <w:p w14:paraId="2860A750">
            <w:pPr>
              <w:jc w:val="center"/>
              <w:rPr>
                <w:rFonts w:hint="eastAsia" w:ascii="宋体" w:hAnsi="宋体"/>
                <w:color w:val="auto"/>
                <w:highlight w:val="none"/>
              </w:rPr>
            </w:pPr>
          </w:p>
        </w:tc>
        <w:tc>
          <w:tcPr>
            <w:tcW w:w="992" w:type="dxa"/>
            <w:tcMar>
              <w:left w:w="28" w:type="dxa"/>
              <w:right w:w="28" w:type="dxa"/>
            </w:tcMar>
            <w:vAlign w:val="center"/>
          </w:tcPr>
          <w:p w14:paraId="79EB30B6">
            <w:pPr>
              <w:jc w:val="center"/>
              <w:rPr>
                <w:rFonts w:hint="eastAsia" w:ascii="宋体" w:hAnsi="宋体"/>
                <w:color w:val="auto"/>
                <w:highlight w:val="none"/>
              </w:rPr>
            </w:pPr>
          </w:p>
        </w:tc>
        <w:tc>
          <w:tcPr>
            <w:tcW w:w="1134" w:type="dxa"/>
            <w:tcMar>
              <w:left w:w="28" w:type="dxa"/>
              <w:right w:w="28" w:type="dxa"/>
            </w:tcMar>
            <w:vAlign w:val="center"/>
          </w:tcPr>
          <w:p w14:paraId="1684246E">
            <w:pPr>
              <w:jc w:val="center"/>
              <w:rPr>
                <w:rFonts w:hint="eastAsia" w:ascii="宋体" w:hAnsi="宋体"/>
                <w:color w:val="auto"/>
                <w:highlight w:val="none"/>
              </w:rPr>
            </w:pPr>
          </w:p>
        </w:tc>
        <w:tc>
          <w:tcPr>
            <w:tcW w:w="1134" w:type="dxa"/>
            <w:tcMar>
              <w:left w:w="28" w:type="dxa"/>
              <w:right w:w="28" w:type="dxa"/>
            </w:tcMar>
            <w:vAlign w:val="center"/>
          </w:tcPr>
          <w:p w14:paraId="469BF78E">
            <w:pPr>
              <w:jc w:val="center"/>
              <w:rPr>
                <w:rFonts w:hint="eastAsia" w:ascii="宋体" w:hAnsi="宋体"/>
                <w:color w:val="auto"/>
                <w:highlight w:val="none"/>
              </w:rPr>
            </w:pPr>
          </w:p>
        </w:tc>
        <w:tc>
          <w:tcPr>
            <w:tcW w:w="1134" w:type="dxa"/>
            <w:vAlign w:val="center"/>
          </w:tcPr>
          <w:p w14:paraId="5CABAAC9">
            <w:pPr>
              <w:jc w:val="center"/>
              <w:rPr>
                <w:rFonts w:hint="eastAsia" w:ascii="宋体" w:hAnsi="宋体"/>
                <w:color w:val="auto"/>
                <w:highlight w:val="none"/>
              </w:rPr>
            </w:pPr>
          </w:p>
        </w:tc>
        <w:tc>
          <w:tcPr>
            <w:tcW w:w="1134" w:type="dxa"/>
            <w:tcMar>
              <w:left w:w="28" w:type="dxa"/>
              <w:right w:w="28" w:type="dxa"/>
            </w:tcMar>
            <w:vAlign w:val="center"/>
          </w:tcPr>
          <w:p w14:paraId="5868E3E8">
            <w:pPr>
              <w:jc w:val="center"/>
              <w:rPr>
                <w:rFonts w:hint="eastAsia" w:ascii="宋体" w:hAnsi="宋体"/>
                <w:color w:val="auto"/>
                <w:highlight w:val="none"/>
              </w:rPr>
            </w:pPr>
          </w:p>
        </w:tc>
        <w:tc>
          <w:tcPr>
            <w:tcW w:w="1134" w:type="dxa"/>
          </w:tcPr>
          <w:p w14:paraId="49C9FA99">
            <w:pPr>
              <w:jc w:val="center"/>
              <w:rPr>
                <w:rFonts w:hint="eastAsia" w:ascii="宋体" w:hAnsi="宋体"/>
                <w:color w:val="auto"/>
                <w:highlight w:val="none"/>
              </w:rPr>
            </w:pPr>
          </w:p>
        </w:tc>
        <w:tc>
          <w:tcPr>
            <w:tcW w:w="1276" w:type="dxa"/>
            <w:tcMar>
              <w:left w:w="28" w:type="dxa"/>
              <w:right w:w="28" w:type="dxa"/>
            </w:tcMar>
            <w:vAlign w:val="center"/>
          </w:tcPr>
          <w:p w14:paraId="44F53ED7">
            <w:pPr>
              <w:jc w:val="center"/>
              <w:rPr>
                <w:rFonts w:hint="eastAsia" w:ascii="宋体" w:hAnsi="宋体"/>
                <w:color w:val="auto"/>
                <w:highlight w:val="none"/>
              </w:rPr>
            </w:pPr>
          </w:p>
        </w:tc>
        <w:tc>
          <w:tcPr>
            <w:tcW w:w="1701" w:type="dxa"/>
            <w:tcMar>
              <w:left w:w="28" w:type="dxa"/>
              <w:right w:w="28" w:type="dxa"/>
            </w:tcMar>
            <w:vAlign w:val="center"/>
          </w:tcPr>
          <w:p w14:paraId="687971B1">
            <w:pPr>
              <w:jc w:val="center"/>
              <w:rPr>
                <w:rFonts w:hint="eastAsia" w:ascii="宋体" w:hAnsi="宋体"/>
                <w:color w:val="auto"/>
                <w:highlight w:val="none"/>
              </w:rPr>
            </w:pPr>
          </w:p>
        </w:tc>
        <w:tc>
          <w:tcPr>
            <w:tcW w:w="1276" w:type="dxa"/>
            <w:vAlign w:val="center"/>
          </w:tcPr>
          <w:p w14:paraId="5602A051">
            <w:pPr>
              <w:jc w:val="center"/>
              <w:rPr>
                <w:rFonts w:hint="eastAsia" w:ascii="宋体" w:hAnsi="宋体"/>
                <w:color w:val="auto"/>
                <w:highlight w:val="none"/>
              </w:rPr>
            </w:pPr>
          </w:p>
        </w:tc>
      </w:tr>
      <w:tr w14:paraId="787D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EE2D989">
            <w:pPr>
              <w:jc w:val="center"/>
              <w:rPr>
                <w:rFonts w:hint="eastAsia" w:ascii="宋体" w:hAnsi="宋体"/>
                <w:color w:val="auto"/>
                <w:highlight w:val="none"/>
              </w:rPr>
            </w:pPr>
          </w:p>
        </w:tc>
        <w:tc>
          <w:tcPr>
            <w:tcW w:w="2481" w:type="dxa"/>
            <w:tcMar>
              <w:left w:w="28" w:type="dxa"/>
              <w:right w:w="28" w:type="dxa"/>
            </w:tcMar>
            <w:vAlign w:val="center"/>
          </w:tcPr>
          <w:p w14:paraId="57704CC3">
            <w:pPr>
              <w:jc w:val="center"/>
              <w:rPr>
                <w:rFonts w:hint="eastAsia" w:ascii="宋体" w:hAnsi="宋体"/>
                <w:color w:val="auto"/>
                <w:highlight w:val="none"/>
              </w:rPr>
            </w:pPr>
          </w:p>
        </w:tc>
        <w:tc>
          <w:tcPr>
            <w:tcW w:w="992" w:type="dxa"/>
            <w:tcMar>
              <w:left w:w="28" w:type="dxa"/>
              <w:right w:w="28" w:type="dxa"/>
            </w:tcMar>
            <w:vAlign w:val="center"/>
          </w:tcPr>
          <w:p w14:paraId="5DF6BAE1">
            <w:pPr>
              <w:jc w:val="center"/>
              <w:rPr>
                <w:rFonts w:hint="eastAsia" w:ascii="宋体" w:hAnsi="宋体"/>
                <w:color w:val="auto"/>
                <w:highlight w:val="none"/>
              </w:rPr>
            </w:pPr>
          </w:p>
        </w:tc>
        <w:tc>
          <w:tcPr>
            <w:tcW w:w="1134" w:type="dxa"/>
            <w:tcMar>
              <w:left w:w="28" w:type="dxa"/>
              <w:right w:w="28" w:type="dxa"/>
            </w:tcMar>
            <w:vAlign w:val="center"/>
          </w:tcPr>
          <w:p w14:paraId="4DB53CDF">
            <w:pPr>
              <w:jc w:val="center"/>
              <w:rPr>
                <w:rFonts w:hint="eastAsia" w:ascii="宋体" w:hAnsi="宋体"/>
                <w:color w:val="auto"/>
                <w:highlight w:val="none"/>
              </w:rPr>
            </w:pPr>
          </w:p>
        </w:tc>
        <w:tc>
          <w:tcPr>
            <w:tcW w:w="1134" w:type="dxa"/>
            <w:tcMar>
              <w:left w:w="28" w:type="dxa"/>
              <w:right w:w="28" w:type="dxa"/>
            </w:tcMar>
            <w:vAlign w:val="center"/>
          </w:tcPr>
          <w:p w14:paraId="0E76EE48">
            <w:pPr>
              <w:jc w:val="center"/>
              <w:rPr>
                <w:rFonts w:hint="eastAsia" w:ascii="宋体" w:hAnsi="宋体"/>
                <w:color w:val="auto"/>
                <w:highlight w:val="none"/>
              </w:rPr>
            </w:pPr>
          </w:p>
        </w:tc>
        <w:tc>
          <w:tcPr>
            <w:tcW w:w="1134" w:type="dxa"/>
            <w:vAlign w:val="center"/>
          </w:tcPr>
          <w:p w14:paraId="1A04A042">
            <w:pPr>
              <w:jc w:val="center"/>
              <w:rPr>
                <w:rFonts w:hint="eastAsia" w:ascii="宋体" w:hAnsi="宋体"/>
                <w:color w:val="auto"/>
                <w:highlight w:val="none"/>
              </w:rPr>
            </w:pPr>
          </w:p>
        </w:tc>
        <w:tc>
          <w:tcPr>
            <w:tcW w:w="1134" w:type="dxa"/>
            <w:tcMar>
              <w:left w:w="28" w:type="dxa"/>
              <w:right w:w="28" w:type="dxa"/>
            </w:tcMar>
            <w:vAlign w:val="center"/>
          </w:tcPr>
          <w:p w14:paraId="23D3FF02">
            <w:pPr>
              <w:jc w:val="center"/>
              <w:rPr>
                <w:rFonts w:hint="eastAsia" w:ascii="宋体" w:hAnsi="宋体"/>
                <w:color w:val="auto"/>
                <w:highlight w:val="none"/>
              </w:rPr>
            </w:pPr>
          </w:p>
        </w:tc>
        <w:tc>
          <w:tcPr>
            <w:tcW w:w="1134" w:type="dxa"/>
          </w:tcPr>
          <w:p w14:paraId="09A27ED6">
            <w:pPr>
              <w:jc w:val="center"/>
              <w:rPr>
                <w:rFonts w:hint="eastAsia" w:ascii="宋体" w:hAnsi="宋体"/>
                <w:color w:val="auto"/>
                <w:highlight w:val="none"/>
              </w:rPr>
            </w:pPr>
          </w:p>
        </w:tc>
        <w:tc>
          <w:tcPr>
            <w:tcW w:w="1276" w:type="dxa"/>
            <w:tcMar>
              <w:left w:w="28" w:type="dxa"/>
              <w:right w:w="28" w:type="dxa"/>
            </w:tcMar>
            <w:vAlign w:val="center"/>
          </w:tcPr>
          <w:p w14:paraId="52048BB7">
            <w:pPr>
              <w:jc w:val="center"/>
              <w:rPr>
                <w:rFonts w:hint="eastAsia" w:ascii="宋体" w:hAnsi="宋体"/>
                <w:color w:val="auto"/>
                <w:highlight w:val="none"/>
              </w:rPr>
            </w:pPr>
          </w:p>
        </w:tc>
        <w:tc>
          <w:tcPr>
            <w:tcW w:w="1701" w:type="dxa"/>
            <w:tcMar>
              <w:left w:w="28" w:type="dxa"/>
              <w:right w:w="28" w:type="dxa"/>
            </w:tcMar>
            <w:vAlign w:val="center"/>
          </w:tcPr>
          <w:p w14:paraId="79D218E8">
            <w:pPr>
              <w:jc w:val="center"/>
              <w:rPr>
                <w:rFonts w:hint="eastAsia" w:ascii="宋体" w:hAnsi="宋体"/>
                <w:color w:val="auto"/>
                <w:highlight w:val="none"/>
              </w:rPr>
            </w:pPr>
          </w:p>
        </w:tc>
        <w:tc>
          <w:tcPr>
            <w:tcW w:w="1276" w:type="dxa"/>
            <w:vAlign w:val="center"/>
          </w:tcPr>
          <w:p w14:paraId="45DE6140">
            <w:pPr>
              <w:jc w:val="center"/>
              <w:rPr>
                <w:rFonts w:hint="eastAsia" w:ascii="宋体" w:hAnsi="宋体"/>
                <w:color w:val="auto"/>
                <w:highlight w:val="none"/>
              </w:rPr>
            </w:pPr>
          </w:p>
        </w:tc>
      </w:tr>
      <w:tr w14:paraId="20D4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7467D5E7">
            <w:pPr>
              <w:spacing w:line="400" w:lineRule="exact"/>
              <w:jc w:val="center"/>
              <w:rPr>
                <w:rFonts w:hint="eastAsia" w:ascii="宋体" w:hAnsi="宋体"/>
                <w:color w:val="auto"/>
                <w:highlight w:val="none"/>
              </w:rPr>
            </w:pPr>
          </w:p>
        </w:tc>
        <w:tc>
          <w:tcPr>
            <w:tcW w:w="2481" w:type="dxa"/>
            <w:tcMar>
              <w:left w:w="28" w:type="dxa"/>
              <w:right w:w="28" w:type="dxa"/>
            </w:tcMar>
            <w:vAlign w:val="center"/>
          </w:tcPr>
          <w:p w14:paraId="0DFD7E9F">
            <w:pPr>
              <w:spacing w:line="400" w:lineRule="exact"/>
              <w:jc w:val="center"/>
              <w:rPr>
                <w:rFonts w:hint="eastAsia" w:ascii="宋体" w:hAnsi="宋体"/>
                <w:color w:val="auto"/>
                <w:highlight w:val="none"/>
              </w:rPr>
            </w:pPr>
          </w:p>
        </w:tc>
        <w:tc>
          <w:tcPr>
            <w:tcW w:w="992" w:type="dxa"/>
            <w:tcMar>
              <w:left w:w="28" w:type="dxa"/>
              <w:right w:w="28" w:type="dxa"/>
            </w:tcMar>
            <w:vAlign w:val="center"/>
          </w:tcPr>
          <w:p w14:paraId="449B4E83">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4E9B91D1">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48BAC6D8">
            <w:pPr>
              <w:spacing w:line="400" w:lineRule="exact"/>
              <w:jc w:val="center"/>
              <w:rPr>
                <w:rFonts w:hint="eastAsia" w:ascii="宋体" w:hAnsi="宋体"/>
                <w:color w:val="auto"/>
                <w:highlight w:val="none"/>
              </w:rPr>
            </w:pPr>
          </w:p>
        </w:tc>
        <w:tc>
          <w:tcPr>
            <w:tcW w:w="1134" w:type="dxa"/>
            <w:vAlign w:val="center"/>
          </w:tcPr>
          <w:p w14:paraId="6F307CE4">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4A5D4DF5">
            <w:pPr>
              <w:spacing w:line="400" w:lineRule="exact"/>
              <w:jc w:val="center"/>
              <w:rPr>
                <w:rFonts w:hint="eastAsia" w:ascii="宋体" w:hAnsi="宋体"/>
                <w:color w:val="auto"/>
                <w:highlight w:val="none"/>
              </w:rPr>
            </w:pPr>
          </w:p>
        </w:tc>
        <w:tc>
          <w:tcPr>
            <w:tcW w:w="1134" w:type="dxa"/>
          </w:tcPr>
          <w:p w14:paraId="6258E36A">
            <w:pPr>
              <w:spacing w:line="400" w:lineRule="exact"/>
              <w:jc w:val="center"/>
              <w:rPr>
                <w:rFonts w:hint="eastAsia" w:ascii="宋体" w:hAnsi="宋体"/>
                <w:color w:val="auto"/>
                <w:highlight w:val="none"/>
              </w:rPr>
            </w:pPr>
          </w:p>
        </w:tc>
        <w:tc>
          <w:tcPr>
            <w:tcW w:w="1276" w:type="dxa"/>
            <w:tcMar>
              <w:left w:w="28" w:type="dxa"/>
              <w:right w:w="28" w:type="dxa"/>
            </w:tcMar>
            <w:vAlign w:val="center"/>
          </w:tcPr>
          <w:p w14:paraId="6359BB27">
            <w:pPr>
              <w:spacing w:line="400" w:lineRule="exact"/>
              <w:jc w:val="center"/>
              <w:rPr>
                <w:rFonts w:hint="eastAsia" w:ascii="宋体" w:hAnsi="宋体"/>
                <w:color w:val="auto"/>
                <w:highlight w:val="none"/>
              </w:rPr>
            </w:pPr>
          </w:p>
        </w:tc>
        <w:tc>
          <w:tcPr>
            <w:tcW w:w="1701" w:type="dxa"/>
            <w:tcMar>
              <w:left w:w="28" w:type="dxa"/>
              <w:right w:w="28" w:type="dxa"/>
            </w:tcMar>
            <w:vAlign w:val="center"/>
          </w:tcPr>
          <w:p w14:paraId="51E2A189">
            <w:pPr>
              <w:spacing w:line="400" w:lineRule="exact"/>
              <w:jc w:val="center"/>
              <w:rPr>
                <w:rFonts w:hint="eastAsia" w:ascii="宋体" w:hAnsi="宋体"/>
                <w:color w:val="auto"/>
                <w:highlight w:val="none"/>
              </w:rPr>
            </w:pPr>
          </w:p>
        </w:tc>
        <w:tc>
          <w:tcPr>
            <w:tcW w:w="1276" w:type="dxa"/>
            <w:vAlign w:val="center"/>
          </w:tcPr>
          <w:p w14:paraId="7CA021DF">
            <w:pPr>
              <w:spacing w:line="400" w:lineRule="exact"/>
              <w:jc w:val="center"/>
              <w:rPr>
                <w:rFonts w:hint="eastAsia" w:ascii="宋体" w:hAnsi="宋体"/>
                <w:color w:val="auto"/>
                <w:highlight w:val="none"/>
              </w:rPr>
            </w:pPr>
          </w:p>
        </w:tc>
      </w:tr>
      <w:tr w14:paraId="69D5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05E4E2A8">
            <w:pPr>
              <w:spacing w:line="400" w:lineRule="exact"/>
              <w:jc w:val="center"/>
              <w:rPr>
                <w:rFonts w:hint="eastAsia" w:ascii="宋体" w:hAnsi="宋体"/>
                <w:color w:val="auto"/>
                <w:highlight w:val="none"/>
              </w:rPr>
            </w:pPr>
            <w:r>
              <w:rPr>
                <w:rFonts w:hint="eastAsia" w:ascii="宋体" w:hAnsi="宋体"/>
                <w:color w:val="auto"/>
                <w:highlight w:val="none"/>
              </w:rPr>
              <w:t>最高投标限价（元）</w:t>
            </w:r>
          </w:p>
        </w:tc>
        <w:tc>
          <w:tcPr>
            <w:tcW w:w="10915" w:type="dxa"/>
            <w:gridSpan w:val="9"/>
          </w:tcPr>
          <w:p w14:paraId="52AD7579">
            <w:pPr>
              <w:spacing w:line="400" w:lineRule="exact"/>
              <w:rPr>
                <w:rFonts w:hint="eastAsia" w:ascii="宋体" w:hAnsi="宋体"/>
                <w:color w:val="auto"/>
                <w:highlight w:val="none"/>
              </w:rPr>
            </w:pPr>
          </w:p>
        </w:tc>
      </w:tr>
      <w:tr w14:paraId="6317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5C85D877">
            <w:pPr>
              <w:spacing w:line="400" w:lineRule="exact"/>
              <w:jc w:val="center"/>
              <w:rPr>
                <w:rFonts w:hint="eastAsia" w:ascii="宋体" w:hAnsi="宋体"/>
                <w:color w:val="auto"/>
                <w:highlight w:val="none"/>
              </w:rPr>
            </w:pPr>
            <w:r>
              <w:rPr>
                <w:rFonts w:hint="eastAsia"/>
                <w:color w:val="auto"/>
                <w:szCs w:val="21"/>
                <w:highlight w:val="none"/>
              </w:rPr>
              <w:t>开标过程需记录的其他事项</w:t>
            </w:r>
          </w:p>
        </w:tc>
        <w:tc>
          <w:tcPr>
            <w:tcW w:w="10915" w:type="dxa"/>
            <w:gridSpan w:val="9"/>
          </w:tcPr>
          <w:p w14:paraId="60228523">
            <w:pPr>
              <w:spacing w:line="400" w:lineRule="exact"/>
              <w:rPr>
                <w:rFonts w:hint="eastAsia" w:ascii="宋体" w:hAnsi="宋体"/>
                <w:color w:val="auto"/>
                <w:highlight w:val="none"/>
              </w:rPr>
            </w:pPr>
          </w:p>
        </w:tc>
      </w:tr>
    </w:tbl>
    <w:p w14:paraId="74910CA3">
      <w:pPr>
        <w:spacing w:line="400" w:lineRule="exact"/>
        <w:jc w:val="left"/>
        <w:rPr>
          <w:rFonts w:hint="eastAsia" w:ascii="宋体" w:hAnsi="宋体"/>
          <w:color w:val="auto"/>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12A53969">
      <w:pPr>
        <w:pStyle w:val="3"/>
        <w:rPr>
          <w:b w:val="0"/>
          <w:color w:val="auto"/>
          <w:sz w:val="24"/>
          <w:szCs w:val="24"/>
          <w:highlight w:val="none"/>
        </w:rPr>
      </w:pPr>
      <w:bookmarkStart w:id="553" w:name="_Toc256000075"/>
      <w:bookmarkStart w:id="554" w:name="_Toc165804345"/>
      <w:r>
        <w:rPr>
          <w:rFonts w:hint="eastAsia"/>
          <w:b w:val="0"/>
          <w:color w:val="auto"/>
          <w:sz w:val="24"/>
          <w:szCs w:val="24"/>
          <w:highlight w:val="none"/>
        </w:rPr>
        <w:t>附表六：投标文件问题澄清通知</w:t>
      </w:r>
      <w:bookmarkEnd w:id="553"/>
      <w:bookmarkEnd w:id="554"/>
    </w:p>
    <w:p w14:paraId="79ECDCD7">
      <w:pPr>
        <w:rPr>
          <w:color w:val="auto"/>
          <w:highlight w:val="none"/>
        </w:rPr>
      </w:pPr>
    </w:p>
    <w:p w14:paraId="3718C0A4">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56631DFE">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559A95AD">
      <w:pPr>
        <w:spacing w:line="480" w:lineRule="exact"/>
        <w:rPr>
          <w:color w:val="auto"/>
          <w:highlight w:val="none"/>
        </w:rPr>
      </w:pPr>
      <w:r>
        <w:rPr>
          <w:rFonts w:hint="eastAsia"/>
          <w:color w:val="auto"/>
          <w:highlight w:val="none"/>
          <w:u w:val="single"/>
        </w:rPr>
        <w:t xml:space="preserve"> </w:t>
      </w:r>
      <w:bookmarkStart w:id="555"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555"/>
      <w:r>
        <w:rPr>
          <w:rFonts w:hint="eastAsia"/>
          <w:color w:val="auto"/>
          <w:highlight w:val="none"/>
        </w:rPr>
        <w:t>（投标人名称）：</w:t>
      </w:r>
    </w:p>
    <w:p w14:paraId="2F30DC46">
      <w:pPr>
        <w:spacing w:line="480" w:lineRule="exact"/>
        <w:ind w:firstLine="420" w:firstLineChars="200"/>
        <w:rPr>
          <w:color w:val="auto"/>
          <w:highlight w:val="none"/>
          <w:u w:val="single"/>
        </w:rPr>
      </w:pPr>
    </w:p>
    <w:p w14:paraId="203A8CA3">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556" w:name="_Hlk120872985"/>
      <w:r>
        <w:rPr>
          <w:rFonts w:hint="eastAsia"/>
          <w:color w:val="auto"/>
          <w:highlight w:val="none"/>
        </w:rPr>
        <w:t>项目</w:t>
      </w:r>
      <w:bookmarkEnd w:id="556"/>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452FF205">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13861007">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0C8409DC">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479839EB">
      <w:pPr>
        <w:spacing w:line="480" w:lineRule="exact"/>
        <w:rPr>
          <w:color w:val="auto"/>
          <w:highlight w:val="none"/>
        </w:rPr>
      </w:pPr>
    </w:p>
    <w:p w14:paraId="13C566E1">
      <w:pPr>
        <w:spacing w:line="480" w:lineRule="exact"/>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7CB13A6D">
      <w:pPr>
        <w:spacing w:line="480" w:lineRule="exact"/>
        <w:jc w:val="right"/>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C69FA7F">
      <w:pPr>
        <w:rPr>
          <w:color w:val="auto"/>
          <w:highlight w:val="none"/>
        </w:rPr>
      </w:pPr>
      <w:r>
        <w:rPr>
          <w:rFonts w:hint="eastAsia"/>
          <w:color w:val="auto"/>
          <w:highlight w:val="none"/>
        </w:rPr>
        <w:br w:type="page"/>
      </w:r>
    </w:p>
    <w:p w14:paraId="78C42387">
      <w:pPr>
        <w:pStyle w:val="3"/>
        <w:rPr>
          <w:rFonts w:ascii="黑体"/>
          <w:color w:val="auto"/>
          <w:sz w:val="24"/>
          <w:highlight w:val="none"/>
        </w:rPr>
      </w:pPr>
      <w:bookmarkStart w:id="557" w:name="_Toc165804346"/>
      <w:bookmarkStart w:id="558" w:name="_Toc256000076"/>
      <w:r>
        <w:rPr>
          <w:rFonts w:hint="eastAsia"/>
          <w:b w:val="0"/>
          <w:color w:val="auto"/>
          <w:sz w:val="24"/>
          <w:szCs w:val="24"/>
          <w:highlight w:val="none"/>
        </w:rPr>
        <w:t>附表七：投标文件问题的澄清</w:t>
      </w:r>
      <w:bookmarkEnd w:id="557"/>
      <w:bookmarkEnd w:id="558"/>
    </w:p>
    <w:p w14:paraId="56877A6E">
      <w:pPr>
        <w:spacing w:line="480" w:lineRule="exact"/>
        <w:rPr>
          <w:rFonts w:ascii="黑体" w:eastAsia="黑体"/>
          <w:color w:val="auto"/>
          <w:sz w:val="24"/>
          <w:highlight w:val="none"/>
        </w:rPr>
      </w:pPr>
    </w:p>
    <w:p w14:paraId="1E663174">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7867C6BC">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58E18DF3">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45B0175C">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4C000114">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009E4110">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240BAA53">
      <w:pPr>
        <w:spacing w:line="480" w:lineRule="exact"/>
        <w:ind w:firstLine="420" w:firstLineChars="200"/>
        <w:rPr>
          <w:color w:val="auto"/>
          <w:highlight w:val="none"/>
        </w:rPr>
      </w:pPr>
    </w:p>
    <w:p w14:paraId="6C948001">
      <w:pPr>
        <w:spacing w:line="480" w:lineRule="exact"/>
        <w:ind w:firstLine="420" w:firstLineChars="200"/>
        <w:rPr>
          <w:color w:val="auto"/>
          <w:highlight w:val="none"/>
        </w:rPr>
      </w:pPr>
      <w:r>
        <w:rPr>
          <w:rFonts w:hint="eastAsia"/>
          <w:color w:val="auto"/>
          <w:highlight w:val="none"/>
        </w:rPr>
        <w:t>……</w:t>
      </w:r>
    </w:p>
    <w:p w14:paraId="5AFC407A">
      <w:pPr>
        <w:spacing w:line="480" w:lineRule="exact"/>
        <w:ind w:firstLine="420" w:firstLineChars="200"/>
        <w:rPr>
          <w:color w:val="auto"/>
          <w:highlight w:val="none"/>
        </w:rPr>
      </w:pPr>
    </w:p>
    <w:p w14:paraId="78C7E5C4">
      <w:pPr>
        <w:spacing w:line="480" w:lineRule="exact"/>
        <w:ind w:firstLine="420" w:firstLineChars="200"/>
        <w:rPr>
          <w:color w:val="auto"/>
          <w:highlight w:val="none"/>
        </w:rPr>
      </w:pPr>
    </w:p>
    <w:p w14:paraId="7A4E41F8">
      <w:pPr>
        <w:spacing w:line="480" w:lineRule="exact"/>
        <w:ind w:firstLine="420" w:firstLineChars="200"/>
        <w:rPr>
          <w:color w:val="auto"/>
          <w:highlight w:val="none"/>
        </w:rPr>
      </w:pPr>
    </w:p>
    <w:p w14:paraId="56DC4F45">
      <w:pPr>
        <w:spacing w:line="480" w:lineRule="exact"/>
        <w:ind w:firstLine="420" w:firstLineChars="200"/>
        <w:rPr>
          <w:color w:val="auto"/>
          <w:highlight w:val="none"/>
        </w:rPr>
      </w:pPr>
    </w:p>
    <w:p w14:paraId="5C2545CB">
      <w:pPr>
        <w:spacing w:line="480" w:lineRule="exact"/>
        <w:ind w:firstLine="420" w:firstLineChars="200"/>
        <w:rPr>
          <w:color w:val="auto"/>
          <w:highlight w:val="none"/>
        </w:rPr>
      </w:pPr>
    </w:p>
    <w:p w14:paraId="5FB255DE">
      <w:pPr>
        <w:spacing w:line="480" w:lineRule="exact"/>
        <w:ind w:firstLine="420" w:firstLineChars="200"/>
        <w:rPr>
          <w:color w:val="auto"/>
          <w:highlight w:val="none"/>
        </w:rPr>
      </w:pPr>
    </w:p>
    <w:p w14:paraId="36703E42">
      <w:pPr>
        <w:wordWrap w:val="0"/>
        <w:spacing w:line="480" w:lineRule="exact"/>
        <w:ind w:right="105" w:firstLine="420" w:firstLineChars="200"/>
        <w:jc w:val="right"/>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3D3042D2">
      <w:pPr>
        <w:wordWrap w:val="0"/>
        <w:spacing w:before="120" w:beforeLines="50" w:after="120" w:afterLines="50" w:line="480" w:lineRule="exact"/>
        <w:ind w:right="105"/>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6CEC8848">
      <w:pPr>
        <w:spacing w:line="480" w:lineRule="exact"/>
        <w:ind w:firstLine="5775" w:firstLineChars="275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B927263">
      <w:pPr>
        <w:spacing w:line="480" w:lineRule="exact"/>
        <w:ind w:firstLine="5775" w:firstLineChars="2750"/>
        <w:rPr>
          <w:color w:val="auto"/>
          <w:highlight w:val="none"/>
        </w:rPr>
      </w:pPr>
    </w:p>
    <w:p w14:paraId="2802B836">
      <w:pPr>
        <w:spacing w:line="480" w:lineRule="exact"/>
        <w:ind w:firstLine="5775" w:firstLineChars="2750"/>
        <w:rPr>
          <w:color w:val="auto"/>
          <w:highlight w:val="none"/>
        </w:rPr>
      </w:pPr>
    </w:p>
    <w:p w14:paraId="73D0D5CE">
      <w:pPr>
        <w:spacing w:line="480" w:lineRule="exact"/>
        <w:ind w:firstLine="5775" w:firstLineChars="2750"/>
        <w:rPr>
          <w:color w:val="auto"/>
          <w:highlight w:val="none"/>
        </w:rPr>
      </w:pPr>
    </w:p>
    <w:p w14:paraId="357BA9A3">
      <w:pPr>
        <w:spacing w:line="480" w:lineRule="exact"/>
        <w:ind w:firstLine="5775" w:firstLineChars="2750"/>
        <w:rPr>
          <w:color w:val="auto"/>
          <w:highlight w:val="none"/>
        </w:rPr>
      </w:pPr>
    </w:p>
    <w:p w14:paraId="00902750">
      <w:pPr>
        <w:spacing w:line="480" w:lineRule="exact"/>
        <w:ind w:firstLine="5775" w:firstLineChars="2750"/>
        <w:rPr>
          <w:color w:val="auto"/>
          <w:highlight w:val="none"/>
        </w:rPr>
      </w:pPr>
    </w:p>
    <w:p w14:paraId="48D86880">
      <w:pPr>
        <w:spacing w:line="480" w:lineRule="exact"/>
        <w:ind w:firstLine="5145" w:firstLineChars="2450"/>
        <w:rPr>
          <w:color w:val="auto"/>
          <w:highlight w:val="none"/>
        </w:rPr>
      </w:pPr>
    </w:p>
    <w:p w14:paraId="697E2FB2">
      <w:pPr>
        <w:spacing w:line="480" w:lineRule="exact"/>
        <w:jc w:val="left"/>
        <w:rPr>
          <w:color w:val="auto"/>
          <w:highlight w:val="none"/>
        </w:rPr>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2FA696A0">
      <w:pPr>
        <w:pStyle w:val="3"/>
        <w:spacing w:before="60" w:after="60" w:line="415" w:lineRule="auto"/>
        <w:rPr>
          <w:b w:val="0"/>
          <w:color w:val="auto"/>
          <w:sz w:val="24"/>
          <w:szCs w:val="24"/>
          <w:highlight w:val="none"/>
        </w:rPr>
      </w:pPr>
      <w:bookmarkStart w:id="559" w:name="_Toc165804347"/>
      <w:bookmarkStart w:id="560" w:name="_Toc256000077"/>
      <w:r>
        <w:rPr>
          <w:rFonts w:hint="eastAsia"/>
          <w:b w:val="0"/>
          <w:color w:val="auto"/>
          <w:sz w:val="24"/>
          <w:szCs w:val="24"/>
          <w:highlight w:val="none"/>
        </w:rPr>
        <w:t>附表八：中标通知书</w:t>
      </w:r>
      <w:bookmarkEnd w:id="559"/>
      <w:bookmarkEnd w:id="560"/>
    </w:p>
    <w:p w14:paraId="4F255C47">
      <w:pPr>
        <w:spacing w:line="360" w:lineRule="auto"/>
        <w:jc w:val="center"/>
        <w:rPr>
          <w:rFonts w:hint="eastAsia"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415B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2813A71D">
            <w:pPr>
              <w:spacing w:line="360" w:lineRule="auto"/>
              <w:jc w:val="left"/>
              <w:rPr>
                <w:rFonts w:hint="eastAsia"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2271FF75">
            <w:pPr>
              <w:spacing w:line="360" w:lineRule="auto"/>
              <w:ind w:right="210"/>
              <w:jc w:val="right"/>
              <w:rPr>
                <w:rFonts w:hint="eastAsia" w:ascii="宋体" w:hAnsi="宋体"/>
                <w:color w:val="auto"/>
                <w:szCs w:val="21"/>
                <w:highlight w:val="none"/>
              </w:rPr>
            </w:pPr>
            <w:r>
              <w:rPr>
                <w:rFonts w:hint="eastAsia" w:ascii="宋体" w:hAnsi="宋体"/>
                <w:color w:val="auto"/>
                <w:szCs w:val="21"/>
                <w:highlight w:val="none"/>
              </w:rPr>
              <w:t>编号：_</w:t>
            </w:r>
            <w:r>
              <w:rPr>
                <w:rFonts w:ascii="宋体" w:hAnsi="宋体"/>
                <w:color w:val="auto"/>
                <w:szCs w:val="21"/>
                <w:highlight w:val="none"/>
              </w:rPr>
              <w:t>___________</w:t>
            </w:r>
          </w:p>
        </w:tc>
      </w:tr>
    </w:tbl>
    <w:p w14:paraId="5F2C3CC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3D56A2C6">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工程概况及中标内容</w:t>
      </w:r>
    </w:p>
    <w:tbl>
      <w:tblPr>
        <w:tblStyle w:val="23"/>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231F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8D68829">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191" w:type="dxa"/>
            <w:gridSpan w:val="6"/>
            <w:shd w:val="clear" w:color="auto" w:fill="auto"/>
            <w:vAlign w:val="center"/>
          </w:tcPr>
          <w:p w14:paraId="65216ED2">
            <w:pPr>
              <w:jc w:val="center"/>
              <w:rPr>
                <w:rFonts w:hint="eastAsia" w:ascii="宋体" w:hAnsi="宋体"/>
                <w:color w:val="auto"/>
                <w:szCs w:val="21"/>
                <w:highlight w:val="none"/>
              </w:rPr>
            </w:pPr>
          </w:p>
        </w:tc>
      </w:tr>
      <w:tr w14:paraId="7816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6524DED">
            <w:pPr>
              <w:jc w:val="center"/>
              <w:rPr>
                <w:rFonts w:hint="eastAsia" w:ascii="宋体" w:hAnsi="宋体"/>
                <w:color w:val="auto"/>
                <w:szCs w:val="21"/>
                <w:highlight w:val="none"/>
              </w:rPr>
            </w:pPr>
            <w:r>
              <w:rPr>
                <w:rFonts w:hint="eastAsia" w:ascii="宋体" w:hAnsi="宋体"/>
                <w:color w:val="auto"/>
                <w:szCs w:val="21"/>
                <w:highlight w:val="none"/>
              </w:rPr>
              <w:t>标段名称</w:t>
            </w:r>
          </w:p>
        </w:tc>
        <w:tc>
          <w:tcPr>
            <w:tcW w:w="12191" w:type="dxa"/>
            <w:gridSpan w:val="6"/>
            <w:shd w:val="clear" w:color="auto" w:fill="auto"/>
            <w:vAlign w:val="center"/>
          </w:tcPr>
          <w:p w14:paraId="3452EA6B">
            <w:pPr>
              <w:jc w:val="center"/>
              <w:rPr>
                <w:rFonts w:hint="eastAsia" w:ascii="宋体" w:hAnsi="宋体"/>
                <w:color w:val="auto"/>
                <w:szCs w:val="21"/>
                <w:highlight w:val="none"/>
              </w:rPr>
            </w:pPr>
          </w:p>
        </w:tc>
      </w:tr>
      <w:tr w14:paraId="3CC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B089FC0">
            <w:pPr>
              <w:jc w:val="center"/>
              <w:rPr>
                <w:rFonts w:hint="eastAsia" w:ascii="宋体" w:hAnsi="宋体"/>
                <w:color w:val="auto"/>
                <w:szCs w:val="21"/>
                <w:highlight w:val="none"/>
              </w:rPr>
            </w:pPr>
            <w:r>
              <w:rPr>
                <w:rFonts w:hint="eastAsia" w:ascii="宋体" w:hAnsi="宋体"/>
                <w:color w:val="auto"/>
                <w:szCs w:val="21"/>
                <w:highlight w:val="none"/>
              </w:rPr>
              <w:t>工程性质</w:t>
            </w:r>
          </w:p>
        </w:tc>
        <w:tc>
          <w:tcPr>
            <w:tcW w:w="5070" w:type="dxa"/>
            <w:gridSpan w:val="2"/>
            <w:shd w:val="clear" w:color="auto" w:fill="auto"/>
            <w:vAlign w:val="center"/>
          </w:tcPr>
          <w:p w14:paraId="3AADA380">
            <w:pPr>
              <w:jc w:val="center"/>
              <w:rPr>
                <w:rFonts w:hint="eastAsia" w:ascii="宋体" w:hAnsi="宋体"/>
                <w:color w:val="auto"/>
                <w:szCs w:val="21"/>
                <w:highlight w:val="none"/>
              </w:rPr>
            </w:pPr>
          </w:p>
        </w:tc>
        <w:tc>
          <w:tcPr>
            <w:tcW w:w="2359" w:type="dxa"/>
            <w:gridSpan w:val="2"/>
            <w:shd w:val="clear" w:color="auto" w:fill="auto"/>
            <w:vAlign w:val="center"/>
          </w:tcPr>
          <w:p w14:paraId="4135E9C8">
            <w:pPr>
              <w:jc w:val="center"/>
              <w:rPr>
                <w:rFonts w:hint="eastAsia"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shd w:val="clear" w:color="auto" w:fill="auto"/>
            <w:vAlign w:val="center"/>
          </w:tcPr>
          <w:p w14:paraId="0759E152">
            <w:pPr>
              <w:jc w:val="center"/>
              <w:rPr>
                <w:rFonts w:hint="eastAsia" w:ascii="宋体" w:hAnsi="宋体"/>
                <w:color w:val="auto"/>
                <w:szCs w:val="21"/>
                <w:highlight w:val="none"/>
              </w:rPr>
            </w:pPr>
          </w:p>
        </w:tc>
      </w:tr>
      <w:tr w14:paraId="001E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AF35990">
            <w:pPr>
              <w:jc w:val="center"/>
              <w:rPr>
                <w:rFonts w:hint="eastAsia" w:ascii="宋体" w:hAnsi="宋体"/>
                <w:color w:val="auto"/>
                <w:szCs w:val="21"/>
                <w:highlight w:val="none"/>
              </w:rPr>
            </w:pPr>
            <w:r>
              <w:rPr>
                <w:rFonts w:hint="eastAsia" w:ascii="宋体" w:hAnsi="宋体"/>
                <w:color w:val="auto"/>
                <w:szCs w:val="21"/>
                <w:highlight w:val="none"/>
              </w:rPr>
              <w:t>建设地址</w:t>
            </w:r>
          </w:p>
        </w:tc>
        <w:tc>
          <w:tcPr>
            <w:tcW w:w="12191" w:type="dxa"/>
            <w:gridSpan w:val="6"/>
            <w:shd w:val="clear" w:color="auto" w:fill="auto"/>
            <w:vAlign w:val="center"/>
          </w:tcPr>
          <w:p w14:paraId="34E08346">
            <w:pPr>
              <w:jc w:val="center"/>
              <w:rPr>
                <w:rFonts w:hint="eastAsia" w:ascii="宋体" w:hAnsi="宋体"/>
                <w:color w:val="auto"/>
                <w:szCs w:val="21"/>
                <w:highlight w:val="none"/>
              </w:rPr>
            </w:pPr>
          </w:p>
        </w:tc>
      </w:tr>
      <w:tr w14:paraId="5A41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090D659">
            <w:pPr>
              <w:jc w:val="center"/>
              <w:rPr>
                <w:rFonts w:hint="eastAsia" w:ascii="宋体" w:hAnsi="宋体"/>
                <w:color w:val="auto"/>
                <w:szCs w:val="21"/>
                <w:highlight w:val="none"/>
              </w:rPr>
            </w:pPr>
            <w:r>
              <w:rPr>
                <w:rFonts w:hint="eastAsia" w:ascii="宋体" w:hAnsi="宋体"/>
                <w:color w:val="auto"/>
                <w:szCs w:val="21"/>
                <w:highlight w:val="none"/>
              </w:rPr>
              <w:t>中标内容</w:t>
            </w:r>
          </w:p>
        </w:tc>
        <w:tc>
          <w:tcPr>
            <w:tcW w:w="12191" w:type="dxa"/>
            <w:gridSpan w:val="6"/>
            <w:shd w:val="clear" w:color="auto" w:fill="auto"/>
            <w:vAlign w:val="center"/>
          </w:tcPr>
          <w:p w14:paraId="510407D8">
            <w:pPr>
              <w:jc w:val="center"/>
              <w:rPr>
                <w:rFonts w:hint="eastAsia" w:ascii="宋体" w:hAnsi="宋体"/>
                <w:color w:val="auto"/>
                <w:szCs w:val="21"/>
                <w:highlight w:val="none"/>
              </w:rPr>
            </w:pPr>
          </w:p>
        </w:tc>
      </w:tr>
      <w:tr w14:paraId="5CDC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5669D1F0">
            <w:pPr>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5120" w:type="dxa"/>
            <w:gridSpan w:val="3"/>
            <w:shd w:val="clear" w:color="auto" w:fill="auto"/>
            <w:vAlign w:val="center"/>
          </w:tcPr>
          <w:p w14:paraId="1903E94E">
            <w:pPr>
              <w:jc w:val="center"/>
              <w:rPr>
                <w:rFonts w:hint="eastAsia" w:ascii="宋体" w:hAnsi="宋体"/>
                <w:color w:val="auto"/>
                <w:szCs w:val="21"/>
                <w:highlight w:val="none"/>
              </w:rPr>
            </w:pPr>
          </w:p>
        </w:tc>
        <w:tc>
          <w:tcPr>
            <w:tcW w:w="2356" w:type="dxa"/>
            <w:gridSpan w:val="2"/>
            <w:shd w:val="clear" w:color="auto" w:fill="auto"/>
            <w:vAlign w:val="center"/>
          </w:tcPr>
          <w:p w14:paraId="4174DA25">
            <w:pPr>
              <w:jc w:val="center"/>
              <w:rPr>
                <w:rFonts w:hint="eastAsia" w:ascii="宋体" w:hAnsi="宋体"/>
                <w:color w:val="auto"/>
                <w:szCs w:val="21"/>
                <w:highlight w:val="none"/>
              </w:rPr>
            </w:pPr>
            <w:r>
              <w:rPr>
                <w:rFonts w:hint="eastAsia" w:ascii="宋体" w:hAnsi="宋体"/>
                <w:color w:val="auto"/>
                <w:szCs w:val="21"/>
                <w:highlight w:val="none"/>
              </w:rPr>
              <w:t>总工期（日历天）</w:t>
            </w:r>
          </w:p>
        </w:tc>
        <w:tc>
          <w:tcPr>
            <w:tcW w:w="4714" w:type="dxa"/>
            <w:shd w:val="clear" w:color="auto" w:fill="auto"/>
            <w:vAlign w:val="center"/>
          </w:tcPr>
          <w:p w14:paraId="596CCFDA">
            <w:pPr>
              <w:jc w:val="center"/>
              <w:rPr>
                <w:rFonts w:hint="eastAsia" w:ascii="宋体" w:hAnsi="宋体"/>
                <w:color w:val="auto"/>
                <w:szCs w:val="21"/>
                <w:highlight w:val="none"/>
              </w:rPr>
            </w:pPr>
          </w:p>
        </w:tc>
      </w:tr>
      <w:tr w14:paraId="321F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B646FBE">
            <w:pPr>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120" w:type="dxa"/>
            <w:gridSpan w:val="3"/>
            <w:shd w:val="clear" w:color="auto" w:fill="auto"/>
            <w:vAlign w:val="center"/>
          </w:tcPr>
          <w:p w14:paraId="0EC3BB54">
            <w:pPr>
              <w:jc w:val="center"/>
              <w:rPr>
                <w:rFonts w:hint="eastAsia" w:ascii="宋体" w:hAnsi="宋体"/>
                <w:color w:val="auto"/>
                <w:szCs w:val="21"/>
                <w:highlight w:val="none"/>
              </w:rPr>
            </w:pPr>
          </w:p>
        </w:tc>
        <w:tc>
          <w:tcPr>
            <w:tcW w:w="2356" w:type="dxa"/>
            <w:gridSpan w:val="2"/>
            <w:shd w:val="clear" w:color="auto" w:fill="auto"/>
            <w:vAlign w:val="center"/>
          </w:tcPr>
          <w:p w14:paraId="44455E09">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4714" w:type="dxa"/>
            <w:shd w:val="clear" w:color="auto" w:fill="auto"/>
            <w:vAlign w:val="center"/>
          </w:tcPr>
          <w:p w14:paraId="6E4C78D5">
            <w:pPr>
              <w:jc w:val="center"/>
              <w:rPr>
                <w:rFonts w:hint="eastAsia" w:ascii="宋体" w:hAnsi="宋体"/>
                <w:color w:val="auto"/>
                <w:szCs w:val="21"/>
                <w:highlight w:val="none"/>
              </w:rPr>
            </w:pPr>
          </w:p>
        </w:tc>
      </w:tr>
      <w:tr w14:paraId="7AB2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011737B">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765" w:type="dxa"/>
            <w:shd w:val="clear" w:color="auto" w:fill="auto"/>
            <w:vAlign w:val="center"/>
          </w:tcPr>
          <w:p w14:paraId="1AB90539">
            <w:pPr>
              <w:jc w:val="center"/>
              <w:rPr>
                <w:rFonts w:hint="eastAsia" w:ascii="宋体" w:hAnsi="宋体"/>
                <w:color w:val="auto"/>
                <w:szCs w:val="21"/>
                <w:highlight w:val="none"/>
              </w:rPr>
            </w:pPr>
          </w:p>
        </w:tc>
        <w:tc>
          <w:tcPr>
            <w:tcW w:w="2355" w:type="dxa"/>
            <w:gridSpan w:val="2"/>
            <w:shd w:val="clear" w:color="auto" w:fill="auto"/>
            <w:vAlign w:val="center"/>
          </w:tcPr>
          <w:p w14:paraId="1A39290C">
            <w:pPr>
              <w:jc w:val="center"/>
              <w:rPr>
                <w:rFonts w:hint="eastAsia"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shd w:val="clear" w:color="auto" w:fill="auto"/>
            <w:vAlign w:val="center"/>
          </w:tcPr>
          <w:p w14:paraId="28CB560F">
            <w:pPr>
              <w:jc w:val="center"/>
              <w:rPr>
                <w:rFonts w:hint="eastAsia" w:ascii="宋体" w:hAnsi="宋体"/>
                <w:color w:val="auto"/>
                <w:szCs w:val="21"/>
                <w:highlight w:val="none"/>
              </w:rPr>
            </w:pPr>
          </w:p>
        </w:tc>
      </w:tr>
      <w:tr w14:paraId="01F3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125BA791">
            <w:pPr>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12191" w:type="dxa"/>
            <w:gridSpan w:val="6"/>
            <w:shd w:val="clear" w:color="auto" w:fill="auto"/>
            <w:vAlign w:val="center"/>
          </w:tcPr>
          <w:p w14:paraId="5846F2A5">
            <w:pPr>
              <w:jc w:val="left"/>
              <w:rPr>
                <w:rFonts w:hint="eastAsia" w:ascii="宋体" w:hAnsi="宋体" w:cs="微软雅黑"/>
                <w:color w:val="auto"/>
                <w:szCs w:val="21"/>
                <w:highlight w:val="none"/>
              </w:rPr>
            </w:pPr>
            <w:r>
              <w:rPr>
                <w:rFonts w:hint="eastAsia" w:ascii="宋体" w:hAnsi="宋体" w:cs="微软雅黑"/>
                <w:color w:val="auto"/>
                <w:szCs w:val="21"/>
                <w:highlight w:val="none"/>
              </w:rPr>
              <w:t>大写：</w:t>
            </w:r>
          </w:p>
        </w:tc>
      </w:tr>
      <w:tr w14:paraId="1A8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64A3A37C">
            <w:pPr>
              <w:jc w:val="center"/>
              <w:rPr>
                <w:rFonts w:hint="eastAsia" w:ascii="宋体" w:hAnsi="宋体"/>
                <w:color w:val="auto"/>
                <w:szCs w:val="21"/>
                <w:highlight w:val="none"/>
              </w:rPr>
            </w:pPr>
          </w:p>
        </w:tc>
        <w:tc>
          <w:tcPr>
            <w:tcW w:w="12191" w:type="dxa"/>
            <w:gridSpan w:val="6"/>
            <w:shd w:val="clear" w:color="auto" w:fill="auto"/>
            <w:vAlign w:val="center"/>
          </w:tcPr>
          <w:p w14:paraId="3CD7DE72">
            <w:pPr>
              <w:jc w:val="left"/>
              <w:rPr>
                <w:rFonts w:hint="eastAsia" w:ascii="宋体" w:hAnsi="宋体" w:cs="微软雅黑"/>
                <w:color w:val="auto"/>
                <w:szCs w:val="21"/>
                <w:highlight w:val="none"/>
              </w:rPr>
            </w:pPr>
            <w:r>
              <w:rPr>
                <w:rFonts w:hint="eastAsia" w:ascii="宋体" w:hAnsi="宋体" w:cs="微软雅黑"/>
                <w:color w:val="auto"/>
                <w:szCs w:val="21"/>
                <w:highlight w:val="none"/>
              </w:rPr>
              <w:t>小写：</w:t>
            </w:r>
          </w:p>
        </w:tc>
      </w:tr>
      <w:tr w14:paraId="0097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B5EBCBB">
            <w:pPr>
              <w:jc w:val="center"/>
              <w:rPr>
                <w:rFonts w:hint="eastAsia"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shd w:val="clear" w:color="auto" w:fill="auto"/>
            <w:vAlign w:val="center"/>
          </w:tcPr>
          <w:p w14:paraId="5FD6CFA1">
            <w:pPr>
              <w:jc w:val="center"/>
              <w:rPr>
                <w:rFonts w:hint="eastAsia" w:ascii="宋体" w:hAnsi="宋体"/>
                <w:color w:val="auto"/>
                <w:szCs w:val="21"/>
                <w:highlight w:val="none"/>
              </w:rPr>
            </w:pPr>
          </w:p>
        </w:tc>
      </w:tr>
      <w:tr w14:paraId="4F2C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0C4C6D8A">
            <w:pPr>
              <w:spacing w:line="400" w:lineRule="exact"/>
              <w:ind w:firstLine="630" w:firstLineChars="300"/>
              <w:rPr>
                <w:rFonts w:hint="eastAsia" w:ascii="宋体" w:hAnsi="宋体"/>
                <w:color w:val="auto"/>
                <w:szCs w:val="21"/>
                <w:highlight w:val="none"/>
              </w:rPr>
            </w:pPr>
          </w:p>
          <w:p w14:paraId="05128EC2">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招标人（盖章）</w:t>
            </w:r>
          </w:p>
          <w:p w14:paraId="2FACA4A6">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2208C1E9">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shd w:val="clear" w:color="auto" w:fill="auto"/>
            <w:vAlign w:val="center"/>
          </w:tcPr>
          <w:p w14:paraId="25817FF7">
            <w:pPr>
              <w:spacing w:line="400" w:lineRule="exact"/>
              <w:ind w:firstLine="630" w:firstLineChars="300"/>
              <w:rPr>
                <w:rFonts w:hint="eastAsia" w:ascii="宋体" w:hAnsi="宋体"/>
                <w:color w:val="auto"/>
                <w:szCs w:val="21"/>
                <w:highlight w:val="none"/>
              </w:rPr>
            </w:pPr>
          </w:p>
          <w:p w14:paraId="7671871C">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招标代理（盖章）</w:t>
            </w:r>
          </w:p>
          <w:p w14:paraId="2BCCDAF1">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583F1B57">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4" w:type="dxa"/>
            <w:shd w:val="clear" w:color="auto" w:fill="auto"/>
            <w:vAlign w:val="center"/>
          </w:tcPr>
          <w:p w14:paraId="66D75F13">
            <w:pPr>
              <w:spacing w:line="400" w:lineRule="exact"/>
              <w:jc w:val="center"/>
              <w:rPr>
                <w:rFonts w:hint="eastAsia" w:ascii="宋体" w:hAnsi="宋体"/>
                <w:color w:val="auto"/>
                <w:szCs w:val="21"/>
                <w:highlight w:val="none"/>
              </w:rPr>
            </w:pPr>
          </w:p>
          <w:p w14:paraId="4B8CAE29">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监管部门（盖章）</w:t>
            </w:r>
          </w:p>
          <w:p w14:paraId="6F6ED47F">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经办人（签章）</w:t>
            </w:r>
          </w:p>
          <w:p w14:paraId="3DDA9D62">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2E8101D1">
      <w:pPr>
        <w:widowControl/>
        <w:jc w:val="left"/>
        <w:rPr>
          <w:color w:val="auto"/>
          <w:highlight w:val="none"/>
        </w:rPr>
        <w:sectPr>
          <w:pgSz w:w="16838" w:h="11906" w:orient="landscape"/>
          <w:pgMar w:top="1276" w:right="1440" w:bottom="1134" w:left="1440" w:header="851" w:footer="851" w:gutter="0"/>
          <w:pgBorders>
            <w:top w:val="none" w:sz="0" w:space="0"/>
            <w:left w:val="none" w:sz="0" w:space="0"/>
            <w:bottom w:val="none" w:sz="0" w:space="0"/>
            <w:right w:val="none" w:sz="0" w:space="0"/>
          </w:pgBorders>
          <w:cols w:space="720" w:num="1"/>
          <w:docGrid w:linePitch="312" w:charSpace="0"/>
        </w:sectPr>
      </w:pPr>
      <w:r>
        <w:rPr>
          <w:color w:val="auto"/>
          <w:highlight w:val="none"/>
        </w:rPr>
        <w:br w:type="page"/>
      </w:r>
    </w:p>
    <w:p w14:paraId="76D0DC97">
      <w:pPr>
        <w:widowControl/>
        <w:jc w:val="left"/>
        <w:rPr>
          <w:color w:val="auto"/>
          <w:highlight w:val="none"/>
        </w:rPr>
      </w:pPr>
    </w:p>
    <w:p w14:paraId="4CE725E7">
      <w:pPr>
        <w:pStyle w:val="3"/>
        <w:rPr>
          <w:rFonts w:ascii="黑体"/>
          <w:color w:val="auto"/>
          <w:sz w:val="24"/>
          <w:highlight w:val="none"/>
        </w:rPr>
      </w:pPr>
      <w:bookmarkStart w:id="561" w:name="_Toc256000078"/>
      <w:bookmarkStart w:id="562" w:name="_Toc165804348"/>
      <w:r>
        <w:rPr>
          <w:rFonts w:hint="eastAsia"/>
          <w:b w:val="0"/>
          <w:color w:val="auto"/>
          <w:sz w:val="24"/>
          <w:szCs w:val="24"/>
          <w:highlight w:val="none"/>
        </w:rPr>
        <w:t>附表九：中标结果通知书</w:t>
      </w:r>
      <w:bookmarkEnd w:id="561"/>
      <w:bookmarkEnd w:id="562"/>
    </w:p>
    <w:p w14:paraId="017E6B8E">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4FC18BD3">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277442AB">
      <w:pPr>
        <w:spacing w:line="480" w:lineRule="exact"/>
        <w:rPr>
          <w:color w:val="auto"/>
          <w:highlight w:val="none"/>
        </w:rPr>
      </w:pPr>
    </w:p>
    <w:p w14:paraId="7BA88A20">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5BF23378">
      <w:pPr>
        <w:spacing w:line="480" w:lineRule="exact"/>
        <w:ind w:firstLine="420" w:firstLineChars="200"/>
        <w:rPr>
          <w:color w:val="auto"/>
          <w:highlight w:val="none"/>
        </w:rPr>
      </w:pPr>
    </w:p>
    <w:p w14:paraId="45A3EDD7">
      <w:pPr>
        <w:spacing w:line="480" w:lineRule="exact"/>
        <w:ind w:firstLine="420" w:firstLineChars="200"/>
        <w:rPr>
          <w:color w:val="auto"/>
          <w:highlight w:val="none"/>
        </w:rPr>
      </w:pPr>
      <w:r>
        <w:rPr>
          <w:rFonts w:hint="eastAsia"/>
          <w:color w:val="auto"/>
          <w:highlight w:val="none"/>
        </w:rPr>
        <w:t>感谢你单位对我方工作的大力支持!</w:t>
      </w:r>
    </w:p>
    <w:p w14:paraId="359DDF42">
      <w:pPr>
        <w:spacing w:line="480" w:lineRule="exact"/>
        <w:ind w:firstLine="420" w:firstLineChars="200"/>
        <w:rPr>
          <w:color w:val="auto"/>
          <w:highlight w:val="none"/>
        </w:rPr>
      </w:pPr>
    </w:p>
    <w:p w14:paraId="58B790BA">
      <w:pPr>
        <w:spacing w:line="480" w:lineRule="exact"/>
        <w:ind w:firstLine="420" w:firstLineChars="200"/>
        <w:rPr>
          <w:color w:val="auto"/>
          <w:highlight w:val="none"/>
        </w:rPr>
      </w:pPr>
    </w:p>
    <w:p w14:paraId="67B63F59">
      <w:pPr>
        <w:spacing w:line="480" w:lineRule="exact"/>
        <w:ind w:firstLine="420" w:firstLineChars="200"/>
        <w:rPr>
          <w:color w:val="auto"/>
          <w:highlight w:val="none"/>
        </w:rPr>
      </w:pPr>
    </w:p>
    <w:p w14:paraId="0B64C60C">
      <w:pPr>
        <w:spacing w:line="480" w:lineRule="exact"/>
        <w:ind w:firstLine="420" w:firstLineChars="200"/>
        <w:rPr>
          <w:color w:val="auto"/>
          <w:highlight w:val="none"/>
        </w:rPr>
      </w:pPr>
    </w:p>
    <w:p w14:paraId="29B2B8DD">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1C25257F">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563" w:name="_Hlk152171080"/>
      <w:r>
        <w:rPr>
          <w:rFonts w:hint="eastAsia" w:ascii="宋体" w:hAnsi="宋体"/>
          <w:color w:val="auto"/>
          <w:highlight w:val="none"/>
        </w:rPr>
        <w:t>签章</w:t>
      </w:r>
      <w:bookmarkEnd w:id="563"/>
      <w:r>
        <w:rPr>
          <w:rFonts w:hint="eastAsia" w:ascii="宋体" w:hAnsi="宋体"/>
          <w:color w:val="auto"/>
          <w:highlight w:val="none"/>
        </w:rPr>
        <w:t xml:space="preserve">） </w:t>
      </w:r>
    </w:p>
    <w:p w14:paraId="6A3E9ED7">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2F6005FF">
      <w:pPr>
        <w:spacing w:line="480" w:lineRule="exact"/>
        <w:ind w:firstLine="4689" w:firstLineChars="2233"/>
        <w:jc w:val="right"/>
        <w:rPr>
          <w:color w:val="auto"/>
          <w:highlight w:val="none"/>
        </w:rPr>
      </w:pPr>
    </w:p>
    <w:p w14:paraId="5438CF3C">
      <w:pPr>
        <w:spacing w:line="480" w:lineRule="exact"/>
        <w:ind w:firstLine="4689" w:firstLineChars="2233"/>
        <w:jc w:val="right"/>
        <w:rPr>
          <w:color w:val="auto"/>
          <w:highlight w:val="none"/>
        </w:rPr>
      </w:pPr>
    </w:p>
    <w:p w14:paraId="1D32CCF3">
      <w:pPr>
        <w:spacing w:line="480" w:lineRule="exact"/>
        <w:ind w:firstLine="4689" w:firstLineChars="2233"/>
        <w:jc w:val="right"/>
        <w:rPr>
          <w:color w:val="auto"/>
          <w:highlight w:val="none"/>
        </w:rPr>
      </w:pPr>
    </w:p>
    <w:p w14:paraId="748AB07D">
      <w:pPr>
        <w:spacing w:line="480" w:lineRule="exact"/>
        <w:ind w:firstLine="4689" w:firstLineChars="2233"/>
        <w:jc w:val="right"/>
        <w:rPr>
          <w:color w:val="auto"/>
          <w:highlight w:val="none"/>
        </w:rPr>
      </w:pPr>
    </w:p>
    <w:p w14:paraId="2FCD135C">
      <w:pPr>
        <w:spacing w:line="480" w:lineRule="exact"/>
        <w:rPr>
          <w:color w:val="auto"/>
          <w:highlight w:val="none"/>
        </w:rPr>
      </w:pPr>
    </w:p>
    <w:p w14:paraId="6514706C">
      <w:pPr>
        <w:spacing w:line="480" w:lineRule="exact"/>
        <w:rPr>
          <w:color w:val="auto"/>
          <w:highlight w:val="none"/>
        </w:rPr>
      </w:pPr>
    </w:p>
    <w:p w14:paraId="49EE6792">
      <w:pPr>
        <w:spacing w:line="480" w:lineRule="exact"/>
        <w:rPr>
          <w:color w:val="auto"/>
          <w:highlight w:val="none"/>
        </w:rPr>
      </w:pPr>
      <w:r>
        <w:rPr>
          <w:color w:val="auto"/>
          <w:highlight w:val="none"/>
        </w:rPr>
        <w:br w:type="page"/>
      </w:r>
    </w:p>
    <w:p w14:paraId="430D7F9B">
      <w:pPr>
        <w:pStyle w:val="3"/>
        <w:rPr>
          <w:rFonts w:hint="eastAsia" w:ascii="仿宋_GB2312" w:hAnsi="黑体" w:eastAsia="仿宋_GB2312"/>
          <w:b w:val="0"/>
          <w:bCs w:val="0"/>
          <w:color w:val="auto"/>
          <w:spacing w:val="12"/>
          <w:sz w:val="24"/>
          <w:highlight w:val="none"/>
        </w:rPr>
      </w:pPr>
      <w:bookmarkStart w:id="564" w:name="_Toc256000079"/>
      <w:bookmarkStart w:id="565" w:name="_Toc165804349"/>
      <w:r>
        <w:rPr>
          <w:rFonts w:hint="eastAsia"/>
          <w:b w:val="0"/>
          <w:color w:val="auto"/>
          <w:sz w:val="24"/>
          <w:szCs w:val="24"/>
          <w:highlight w:val="none"/>
        </w:rPr>
        <w:t>附表十：异议书</w:t>
      </w:r>
      <w:bookmarkEnd w:id="564"/>
      <w:bookmarkEnd w:id="565"/>
    </w:p>
    <w:p w14:paraId="54EEBDA0">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1457DED6">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7AFDDB68">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F2D1346">
      <w:pPr>
        <w:adjustRightInd w:val="0"/>
        <w:snapToGrid w:val="0"/>
        <w:spacing w:line="500" w:lineRule="exact"/>
        <w:ind w:firstLine="420" w:firstLineChars="200"/>
        <w:rPr>
          <w:rFonts w:hint="eastAsia"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98B5C03">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A1FD309">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0FA876E0">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526B663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20D6954">
      <w:pPr>
        <w:adjustRightInd w:val="0"/>
        <w:snapToGrid w:val="0"/>
        <w:spacing w:line="500" w:lineRule="exact"/>
        <w:ind w:firstLine="420" w:firstLineChars="200"/>
        <w:rPr>
          <w:rFonts w:hint="eastAsia"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0240C6EE">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5305E84C">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465812CB">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2DF36820">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62927860">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6BE12D11">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18521C82">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F1B2E39">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36703B71">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291E1C3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764AB22F">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41997B0E">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04ED4B55">
      <w:pPr>
        <w:widowControl/>
        <w:adjustRightInd w:val="0"/>
        <w:snapToGrid w:val="0"/>
        <w:spacing w:line="500" w:lineRule="exact"/>
        <w:jc w:val="left"/>
        <w:rPr>
          <w:rFonts w:hint="eastAsia" w:ascii="宋体" w:hAnsi="宋体" w:cs="宋体"/>
          <w:color w:val="auto"/>
          <w:kern w:val="0"/>
          <w:szCs w:val="21"/>
          <w:highlight w:val="none"/>
        </w:rPr>
      </w:pPr>
    </w:p>
    <w:p w14:paraId="09AEF065">
      <w:pPr>
        <w:widowControl/>
        <w:spacing w:line="360" w:lineRule="auto"/>
        <w:ind w:left="99" w:leftChars="47"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314AA7E5">
      <w:pPr>
        <w:widowControl/>
        <w:spacing w:line="360" w:lineRule="auto"/>
        <w:ind w:left="99" w:leftChars="47" w:firstLine="2520" w:firstLineChars="1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0C4FCEF3">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347A445B">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16490E92">
      <w:pPr>
        <w:pStyle w:val="3"/>
        <w:rPr>
          <w:b w:val="0"/>
          <w:color w:val="auto"/>
          <w:sz w:val="24"/>
          <w:szCs w:val="24"/>
          <w:highlight w:val="none"/>
        </w:rPr>
      </w:pPr>
      <w:bookmarkStart w:id="566" w:name="_Toc165804350"/>
      <w:bookmarkStart w:id="567" w:name="_Toc256000080"/>
      <w:bookmarkStart w:id="568" w:name="_Toc353544011"/>
      <w:r>
        <w:rPr>
          <w:rFonts w:hint="eastAsia"/>
          <w:b w:val="0"/>
          <w:color w:val="auto"/>
          <w:sz w:val="24"/>
          <w:szCs w:val="24"/>
          <w:highlight w:val="none"/>
        </w:rPr>
        <w:t>附表十一：异议答复函</w:t>
      </w:r>
      <w:bookmarkEnd w:id="566"/>
      <w:bookmarkEnd w:id="567"/>
      <w:bookmarkEnd w:id="568"/>
    </w:p>
    <w:p w14:paraId="0510657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5F16688E">
      <w:pPr>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5F12A4B6">
      <w:pPr>
        <w:spacing w:line="360" w:lineRule="auto"/>
        <w:ind w:firstLine="420" w:firstLineChars="200"/>
        <w:rPr>
          <w:rFonts w:hint="eastAsia" w:ascii="宋体" w:hAnsi="宋体" w:cs="宋体"/>
          <w:color w:val="auto"/>
          <w:kern w:val="0"/>
          <w:szCs w:val="21"/>
          <w:highlight w:val="none"/>
        </w:rPr>
      </w:pPr>
    </w:p>
    <w:p w14:paraId="5218A4FE">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34A973CD">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7567AC9">
      <w:pPr>
        <w:spacing w:line="360" w:lineRule="auto"/>
        <w:ind w:firstLine="420" w:firstLineChars="200"/>
        <w:rPr>
          <w:rFonts w:hint="eastAsia" w:ascii="宋体" w:hAnsi="宋体" w:cs="仿宋_GB2312"/>
          <w:color w:val="auto"/>
          <w:kern w:val="0"/>
          <w:szCs w:val="21"/>
          <w:highlight w:val="none"/>
        </w:rPr>
      </w:pPr>
    </w:p>
    <w:p w14:paraId="1F439834">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07A43928">
      <w:pPr>
        <w:spacing w:line="360" w:lineRule="auto"/>
        <w:ind w:firstLine="420" w:firstLineChars="200"/>
        <w:rPr>
          <w:rFonts w:hint="eastAsia" w:ascii="宋体" w:hAnsi="宋体" w:cs="仿宋_GB2312"/>
          <w:color w:val="auto"/>
          <w:kern w:val="0"/>
          <w:szCs w:val="21"/>
          <w:highlight w:val="none"/>
        </w:rPr>
      </w:pPr>
    </w:p>
    <w:p w14:paraId="26FC8E07">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C179BAA">
      <w:pPr>
        <w:spacing w:line="360" w:lineRule="auto"/>
        <w:ind w:firstLine="420" w:firstLineChars="200"/>
        <w:rPr>
          <w:rFonts w:hint="eastAsia" w:ascii="宋体" w:hAnsi="宋体" w:cs="仿宋_GB2312"/>
          <w:bCs/>
          <w:color w:val="auto"/>
          <w:kern w:val="0"/>
          <w:szCs w:val="21"/>
          <w:highlight w:val="none"/>
          <w:u w:val="single"/>
        </w:rPr>
      </w:pPr>
    </w:p>
    <w:p w14:paraId="2CAC5A54">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608543D">
      <w:pPr>
        <w:spacing w:line="360" w:lineRule="auto"/>
        <w:ind w:firstLine="420" w:firstLineChars="200"/>
        <w:rPr>
          <w:rFonts w:hint="eastAsia" w:ascii="宋体" w:hAnsi="宋体" w:cs="仿宋_GB2312"/>
          <w:bCs/>
          <w:color w:val="auto"/>
          <w:kern w:val="0"/>
          <w:szCs w:val="21"/>
          <w:highlight w:val="none"/>
          <w:u w:val="single"/>
        </w:rPr>
      </w:pPr>
    </w:p>
    <w:p w14:paraId="0E56FC21">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2870BC50">
      <w:pPr>
        <w:spacing w:line="360" w:lineRule="auto"/>
        <w:ind w:firstLine="420" w:firstLineChars="200"/>
        <w:rPr>
          <w:rFonts w:hint="eastAsia" w:ascii="宋体" w:hAnsi="宋体" w:cs="仿宋_GB2312"/>
          <w:bCs/>
          <w:color w:val="auto"/>
          <w:kern w:val="0"/>
          <w:szCs w:val="21"/>
          <w:highlight w:val="none"/>
          <w:u w:val="single"/>
        </w:rPr>
      </w:pPr>
    </w:p>
    <w:p w14:paraId="7724F191">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AE174FA">
      <w:pPr>
        <w:adjustRightInd w:val="0"/>
        <w:snapToGrid w:val="0"/>
        <w:spacing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72B50084">
      <w:pPr>
        <w:adjustRightInd w:val="0"/>
        <w:snapToGrid w:val="0"/>
        <w:rPr>
          <w:rFonts w:hint="eastAsia" w:ascii="宋体" w:hAnsi="宋体" w:cs="黑体"/>
          <w:color w:val="auto"/>
          <w:kern w:val="0"/>
          <w:szCs w:val="21"/>
          <w:highlight w:val="none"/>
        </w:rPr>
      </w:pPr>
    </w:p>
    <w:p w14:paraId="6483B608">
      <w:pPr>
        <w:snapToGri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3E0C40E7">
      <w:pPr>
        <w:widowControl/>
        <w:spacing w:line="360" w:lineRule="auto"/>
        <w:ind w:firstLine="4200" w:firstLineChars="2000"/>
        <w:jc w:val="left"/>
        <w:rPr>
          <w:rFonts w:hint="eastAsia" w:ascii="宋体" w:hAnsi="宋体" w:cs="仿宋_GB2312"/>
          <w:color w:val="auto"/>
          <w:kern w:val="0"/>
          <w:szCs w:val="21"/>
          <w:highlight w:val="none"/>
        </w:rPr>
      </w:pPr>
    </w:p>
    <w:p w14:paraId="68E2FC83">
      <w:pPr>
        <w:widowControl/>
        <w:spacing w:line="360" w:lineRule="auto"/>
        <w:ind w:firstLine="4200" w:firstLineChars="2000"/>
        <w:jc w:val="left"/>
        <w:rPr>
          <w:rFonts w:hint="eastAsia" w:ascii="宋体" w:hAnsi="宋体" w:cs="仿宋_GB2312"/>
          <w:color w:val="auto"/>
          <w:kern w:val="0"/>
          <w:szCs w:val="21"/>
          <w:highlight w:val="none"/>
        </w:rPr>
      </w:pPr>
    </w:p>
    <w:p w14:paraId="4B656E2C">
      <w:pPr>
        <w:widowControl/>
        <w:spacing w:line="360" w:lineRule="auto"/>
        <w:ind w:firstLine="4200" w:firstLineChars="2000"/>
        <w:jc w:val="left"/>
        <w:rPr>
          <w:rFonts w:hint="eastAsia" w:ascii="宋体" w:hAnsi="宋体" w:cs="仿宋_GB2312"/>
          <w:color w:val="auto"/>
          <w:kern w:val="0"/>
          <w:szCs w:val="21"/>
          <w:highlight w:val="none"/>
        </w:rPr>
      </w:pPr>
    </w:p>
    <w:p w14:paraId="799B48EC">
      <w:pPr>
        <w:widowControl/>
        <w:spacing w:line="360" w:lineRule="auto"/>
        <w:ind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04CD0528">
      <w:pPr>
        <w:widowControl/>
        <w:spacing w:line="360" w:lineRule="auto"/>
        <w:ind w:left="99" w:leftChars="47" w:firstLine="3780" w:firstLineChars="18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19BBE1BF">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4B4DCD01">
      <w:pPr>
        <w:ind w:left="630" w:hanging="630" w:hangingChars="300"/>
        <w:rPr>
          <w:rFonts w:hint="eastAsia" w:ascii="宋体" w:hAnsi="宋体"/>
          <w:color w:val="auto"/>
          <w:szCs w:val="21"/>
          <w:highlight w:val="none"/>
        </w:rPr>
      </w:pPr>
      <w:r>
        <w:rPr>
          <w:rFonts w:hint="eastAsia" w:ascii="宋体" w:hAnsi="宋体"/>
          <w:color w:val="auto"/>
          <w:szCs w:val="21"/>
          <w:highlight w:val="none"/>
        </w:rPr>
        <w:t xml:space="preserve">                      </w:t>
      </w:r>
    </w:p>
    <w:p w14:paraId="7BF670E7">
      <w:pPr>
        <w:rPr>
          <w:color w:val="auto"/>
          <w:highlight w:val="none"/>
        </w:rPr>
        <w:sectPr>
          <w:headerReference r:id="rId9" w:type="default"/>
          <w:footerReference r:id="rId10"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2663E712">
      <w:pPr>
        <w:rPr>
          <w:rFonts w:hint="eastAsia"/>
          <w:color w:val="auto"/>
          <w:highlight w:val="none"/>
        </w:rPr>
      </w:pPr>
      <w:bookmarkStart w:id="569" w:name="_Toc152265814_0"/>
      <w:bookmarkStart w:id="570" w:name="_Toc256000081"/>
    </w:p>
    <w:p w14:paraId="43CE40EF">
      <w:pPr>
        <w:rPr>
          <w:rFonts w:hint="eastAsia"/>
          <w:color w:val="auto"/>
          <w:highlight w:val="none"/>
        </w:rPr>
      </w:pPr>
    </w:p>
    <w:p w14:paraId="5A47486F">
      <w:pPr>
        <w:rPr>
          <w:rFonts w:hint="eastAsia"/>
          <w:color w:val="auto"/>
          <w:highlight w:val="none"/>
        </w:rPr>
      </w:pPr>
    </w:p>
    <w:p w14:paraId="0D2CF478">
      <w:pPr>
        <w:rPr>
          <w:rFonts w:hint="eastAsia"/>
          <w:color w:val="auto"/>
          <w:highlight w:val="none"/>
        </w:rPr>
      </w:pPr>
    </w:p>
    <w:p w14:paraId="6295A1DA">
      <w:pPr>
        <w:rPr>
          <w:rFonts w:hint="eastAsia"/>
          <w:color w:val="auto"/>
          <w:highlight w:val="none"/>
        </w:rPr>
      </w:pPr>
    </w:p>
    <w:p w14:paraId="2F3E81C7">
      <w:pPr>
        <w:rPr>
          <w:rFonts w:hint="eastAsia"/>
          <w:color w:val="auto"/>
          <w:highlight w:val="none"/>
        </w:rPr>
      </w:pPr>
    </w:p>
    <w:p w14:paraId="1A135551">
      <w:pPr>
        <w:rPr>
          <w:rFonts w:hint="eastAsia"/>
          <w:color w:val="auto"/>
          <w:highlight w:val="none"/>
        </w:rPr>
      </w:pPr>
    </w:p>
    <w:p w14:paraId="5C8C368B">
      <w:pPr>
        <w:rPr>
          <w:rFonts w:hint="eastAsia"/>
          <w:color w:val="auto"/>
          <w:highlight w:val="none"/>
        </w:rPr>
      </w:pPr>
    </w:p>
    <w:p w14:paraId="2C8BF1CB">
      <w:pPr>
        <w:rPr>
          <w:rFonts w:hint="eastAsia"/>
          <w:color w:val="auto"/>
          <w:highlight w:val="none"/>
        </w:rPr>
      </w:pPr>
    </w:p>
    <w:p w14:paraId="782C4FEE">
      <w:pPr>
        <w:rPr>
          <w:rFonts w:hint="eastAsia"/>
          <w:color w:val="auto"/>
          <w:highlight w:val="none"/>
        </w:rPr>
      </w:pPr>
    </w:p>
    <w:p w14:paraId="1291B9AB">
      <w:pPr>
        <w:rPr>
          <w:rFonts w:hint="eastAsia"/>
          <w:color w:val="auto"/>
          <w:highlight w:val="none"/>
        </w:rPr>
      </w:pPr>
    </w:p>
    <w:p w14:paraId="6A072DE1">
      <w:pPr>
        <w:rPr>
          <w:rFonts w:hint="eastAsia"/>
          <w:color w:val="auto"/>
          <w:highlight w:val="none"/>
        </w:rPr>
      </w:pPr>
    </w:p>
    <w:p w14:paraId="70CB1B84">
      <w:pPr>
        <w:rPr>
          <w:rFonts w:hint="eastAsia"/>
          <w:color w:val="auto"/>
          <w:highlight w:val="none"/>
        </w:rPr>
      </w:pPr>
    </w:p>
    <w:p w14:paraId="3E18F55B">
      <w:pPr>
        <w:rPr>
          <w:rFonts w:hint="eastAsia"/>
          <w:color w:val="auto"/>
          <w:highlight w:val="none"/>
        </w:rPr>
      </w:pPr>
    </w:p>
    <w:p w14:paraId="56CBB6EC">
      <w:pPr>
        <w:rPr>
          <w:rFonts w:hint="eastAsia"/>
          <w:color w:val="auto"/>
          <w:highlight w:val="none"/>
        </w:rPr>
      </w:pPr>
    </w:p>
    <w:p w14:paraId="1E7E7F38">
      <w:pPr>
        <w:pStyle w:val="2"/>
        <w:spacing w:before="120" w:after="120" w:line="400" w:lineRule="exact"/>
        <w:jc w:val="center"/>
        <w:rPr>
          <w:color w:val="auto"/>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hint="eastAsia" w:ascii="黑体" w:hAnsi="黑体" w:eastAsia="黑体"/>
          <w:b w:val="0"/>
          <w:bCs w:val="0"/>
          <w:color w:val="auto"/>
          <w:sz w:val="32"/>
          <w:highlight w:val="none"/>
          <w:lang w:val="en-US" w:eastAsia="zh-CN"/>
        </w:rPr>
        <w:t xml:space="preserve"> </w:t>
      </w:r>
      <w:r>
        <w:rPr>
          <w:rFonts w:ascii="黑体" w:hAnsi="黑体" w:eastAsia="黑体"/>
          <w:b w:val="0"/>
          <w:bCs w:val="0"/>
          <w:color w:val="auto"/>
          <w:sz w:val="32"/>
          <w:highlight w:val="none"/>
        </w:rPr>
        <w:t>评标办法</w:t>
      </w:r>
      <w:bookmarkEnd w:id="569"/>
      <w:bookmarkEnd w:id="570"/>
    </w:p>
    <w:p w14:paraId="5F5918F7">
      <w:pPr>
        <w:pStyle w:val="30"/>
        <w:jc w:val="center"/>
        <w:rPr>
          <w:color w:val="auto"/>
          <w:highlight w:val="none"/>
        </w:rPr>
      </w:pPr>
      <w:bookmarkStart w:id="571" w:name="_Toc155889699"/>
      <w:bookmarkStart w:id="572" w:name="_Toc256000082"/>
      <w:bookmarkStart w:id="573" w:name="OLE_LINK34"/>
      <w:r>
        <w:rPr>
          <w:rFonts w:hint="eastAsia"/>
          <w:color w:val="auto"/>
          <w:highlight w:val="none"/>
        </w:rPr>
        <w:t>评标办法前附表</w:t>
      </w:r>
      <w:bookmarkEnd w:id="571"/>
      <w:r>
        <w:rPr>
          <w:rFonts w:hint="eastAsia"/>
          <w:color w:val="auto"/>
          <w:highlight w:val="none"/>
        </w:rPr>
        <w:t>（综合评估法）</w:t>
      </w:r>
      <w:bookmarkEnd w:id="572"/>
    </w:p>
    <w:p w14:paraId="4D3ECC60">
      <w:pPr>
        <w:rPr>
          <w:rFonts w:ascii="黑体" w:hAnsi="宋体" w:eastAsia="黑体"/>
          <w:color w:val="auto"/>
          <w:sz w:val="28"/>
          <w:szCs w:val="28"/>
          <w:highlight w:val="none"/>
        </w:rPr>
      </w:pPr>
    </w:p>
    <w:tbl>
      <w:tblPr>
        <w:tblStyle w:val="23"/>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196"/>
        <w:gridCol w:w="144"/>
        <w:gridCol w:w="666"/>
        <w:gridCol w:w="5270"/>
      </w:tblGrid>
      <w:tr w14:paraId="3111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7C031F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bookmarkStart w:id="574" w:name="_Hlk121668541"/>
            <w:bookmarkStart w:id="575" w:name="_Hlk154665296"/>
            <w:r>
              <w:rPr>
                <w:rFonts w:hint="eastAsia" w:ascii="宋体" w:hAnsi="宋体"/>
                <w:b/>
                <w:color w:val="auto"/>
                <w:szCs w:val="21"/>
                <w:highlight w:val="none"/>
              </w:rPr>
              <w:t>条款号</w:t>
            </w:r>
          </w:p>
        </w:tc>
        <w:tc>
          <w:tcPr>
            <w:tcW w:w="2340" w:type="dxa"/>
            <w:gridSpan w:val="2"/>
            <w:vAlign w:val="center"/>
          </w:tcPr>
          <w:p w14:paraId="7B8036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评审因素</w:t>
            </w:r>
          </w:p>
        </w:tc>
        <w:tc>
          <w:tcPr>
            <w:tcW w:w="5936" w:type="dxa"/>
            <w:gridSpan w:val="2"/>
            <w:vAlign w:val="center"/>
          </w:tcPr>
          <w:p w14:paraId="4ECB87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评审标准</w:t>
            </w:r>
          </w:p>
        </w:tc>
      </w:tr>
      <w:tr w14:paraId="229C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788E5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restart"/>
            <w:vAlign w:val="center"/>
          </w:tcPr>
          <w:p w14:paraId="043D85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C876C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投标人名称</w:t>
            </w:r>
          </w:p>
        </w:tc>
        <w:tc>
          <w:tcPr>
            <w:tcW w:w="5936" w:type="dxa"/>
            <w:gridSpan w:val="2"/>
            <w:vAlign w:val="center"/>
          </w:tcPr>
          <w:p w14:paraId="0036CF1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与营业执照、资质证书、安全生产许可证（如有）一致</w:t>
            </w:r>
          </w:p>
        </w:tc>
      </w:tr>
      <w:tr w14:paraId="3AB0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F0EE9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5B8A4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33530D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投标文件签字盖章</w:t>
            </w:r>
          </w:p>
        </w:tc>
        <w:tc>
          <w:tcPr>
            <w:tcW w:w="5936" w:type="dxa"/>
            <w:gridSpan w:val="2"/>
            <w:vAlign w:val="center"/>
          </w:tcPr>
          <w:p w14:paraId="7CF91B5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符合第二章“投标人须知”第3.7.3（4）目规定</w:t>
            </w:r>
          </w:p>
        </w:tc>
      </w:tr>
      <w:tr w14:paraId="50D6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69458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AE335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7D2727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投标文件格式、内容</w:t>
            </w:r>
          </w:p>
        </w:tc>
        <w:tc>
          <w:tcPr>
            <w:tcW w:w="5936" w:type="dxa"/>
            <w:gridSpan w:val="2"/>
            <w:vAlign w:val="center"/>
          </w:tcPr>
          <w:p w14:paraId="4ABD0BC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符合第七章“投标文件格式”的要求且实质性内容齐全</w:t>
            </w:r>
          </w:p>
        </w:tc>
      </w:tr>
      <w:tr w14:paraId="78B2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BF46B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0883B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2F15C8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联合体投标人（如有）</w:t>
            </w:r>
          </w:p>
        </w:tc>
        <w:tc>
          <w:tcPr>
            <w:tcW w:w="5936" w:type="dxa"/>
            <w:gridSpan w:val="2"/>
            <w:vAlign w:val="center"/>
          </w:tcPr>
          <w:p w14:paraId="62436D0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提交联合体协议书，并明确联合体牵头人和各方的权利义务</w:t>
            </w:r>
          </w:p>
        </w:tc>
      </w:tr>
      <w:tr w14:paraId="0B44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AB160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24EE7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4A6A7B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报价唯一</w:t>
            </w:r>
          </w:p>
        </w:tc>
        <w:tc>
          <w:tcPr>
            <w:tcW w:w="5936" w:type="dxa"/>
            <w:gridSpan w:val="2"/>
            <w:vAlign w:val="center"/>
          </w:tcPr>
          <w:p w14:paraId="0FC41F2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投标报价文件（包括投标函）中的任何单价、合价或总价只能有一个有效报价</w:t>
            </w:r>
          </w:p>
        </w:tc>
      </w:tr>
      <w:tr w14:paraId="3C22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986D7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03973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477F2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项目经理实名认证</w:t>
            </w:r>
          </w:p>
        </w:tc>
        <w:tc>
          <w:tcPr>
            <w:tcW w:w="5936" w:type="dxa"/>
            <w:gridSpan w:val="2"/>
            <w:vAlign w:val="center"/>
          </w:tcPr>
          <w:p w14:paraId="263A062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项目经理二次刷卡完成实名认证（无在建工程和不良行为）</w:t>
            </w:r>
          </w:p>
        </w:tc>
      </w:tr>
      <w:tr w14:paraId="2B0F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B0A73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B934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23C230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法定代表人或授权委托人实名认证</w:t>
            </w:r>
          </w:p>
        </w:tc>
        <w:tc>
          <w:tcPr>
            <w:tcW w:w="5936" w:type="dxa"/>
            <w:gridSpan w:val="2"/>
            <w:vAlign w:val="center"/>
          </w:tcPr>
          <w:p w14:paraId="79D3CDB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法定代表人或授权委托人完成实名认证</w:t>
            </w:r>
          </w:p>
        </w:tc>
      </w:tr>
      <w:tr w14:paraId="3007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ADCFA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E9936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5D138C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模块化暗标</w:t>
            </w:r>
          </w:p>
        </w:tc>
        <w:tc>
          <w:tcPr>
            <w:tcW w:w="5936" w:type="dxa"/>
            <w:gridSpan w:val="2"/>
            <w:vAlign w:val="center"/>
          </w:tcPr>
          <w:p w14:paraId="6183E2B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符合第二章“投标人须知”第3.7.4项规定</w:t>
            </w:r>
          </w:p>
        </w:tc>
      </w:tr>
      <w:tr w14:paraId="480B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F3AE6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6364D6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468F3F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行为雷同分析</w:t>
            </w:r>
          </w:p>
        </w:tc>
        <w:tc>
          <w:tcPr>
            <w:tcW w:w="5936" w:type="dxa"/>
            <w:gridSpan w:val="2"/>
            <w:vAlign w:val="center"/>
          </w:tcPr>
          <w:p w14:paraId="69D731F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不存在投标行为雷同情形</w:t>
            </w:r>
          </w:p>
        </w:tc>
      </w:tr>
      <w:tr w14:paraId="1A6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7463D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restart"/>
            <w:vAlign w:val="center"/>
          </w:tcPr>
          <w:p w14:paraId="53FA04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59B919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营业执照</w:t>
            </w:r>
          </w:p>
        </w:tc>
        <w:tc>
          <w:tcPr>
            <w:tcW w:w="5936" w:type="dxa"/>
            <w:gridSpan w:val="2"/>
            <w:vAlign w:val="center"/>
          </w:tcPr>
          <w:p w14:paraId="5024DF9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具备有效的营业执照</w:t>
            </w:r>
          </w:p>
        </w:tc>
      </w:tr>
      <w:tr w14:paraId="2C6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5B2C5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68E29A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F24E2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安全生产许可证</w:t>
            </w:r>
          </w:p>
        </w:tc>
        <w:tc>
          <w:tcPr>
            <w:tcW w:w="5936" w:type="dxa"/>
            <w:gridSpan w:val="2"/>
            <w:vAlign w:val="center"/>
          </w:tcPr>
          <w:p w14:paraId="684A0E0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具备有效的安全生产许可证</w:t>
            </w:r>
          </w:p>
        </w:tc>
      </w:tr>
      <w:tr w14:paraId="073C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F923E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6C56C8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5EE467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资质等级</w:t>
            </w:r>
          </w:p>
        </w:tc>
        <w:tc>
          <w:tcPr>
            <w:tcW w:w="5936" w:type="dxa"/>
            <w:gridSpan w:val="2"/>
            <w:vAlign w:val="center"/>
          </w:tcPr>
          <w:p w14:paraId="609E057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59F7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6E70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2DEDFA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F50B3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信誉</w:t>
            </w:r>
          </w:p>
        </w:tc>
        <w:tc>
          <w:tcPr>
            <w:tcW w:w="5936" w:type="dxa"/>
            <w:gridSpan w:val="2"/>
            <w:vAlign w:val="center"/>
          </w:tcPr>
          <w:p w14:paraId="5B32F38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56F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BFA27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5DF4D5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B85D6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项目经理资格</w:t>
            </w:r>
          </w:p>
        </w:tc>
        <w:tc>
          <w:tcPr>
            <w:tcW w:w="5936" w:type="dxa"/>
            <w:gridSpan w:val="2"/>
            <w:vAlign w:val="center"/>
          </w:tcPr>
          <w:p w14:paraId="5A9BEC7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8E2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C593C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61FB89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4833C5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其他要求</w:t>
            </w:r>
          </w:p>
        </w:tc>
        <w:tc>
          <w:tcPr>
            <w:tcW w:w="5936" w:type="dxa"/>
            <w:gridSpan w:val="2"/>
            <w:vAlign w:val="center"/>
          </w:tcPr>
          <w:p w14:paraId="007DCC9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7979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CAA49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0F89A0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257E0A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设计负责人</w:t>
            </w:r>
          </w:p>
        </w:tc>
        <w:tc>
          <w:tcPr>
            <w:tcW w:w="5936" w:type="dxa"/>
            <w:gridSpan w:val="2"/>
            <w:vAlign w:val="center"/>
          </w:tcPr>
          <w:p w14:paraId="19B165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226D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3DD17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3FBFDC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6A3955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施工负责人</w:t>
            </w:r>
          </w:p>
        </w:tc>
        <w:tc>
          <w:tcPr>
            <w:tcW w:w="5936" w:type="dxa"/>
            <w:gridSpan w:val="2"/>
            <w:vAlign w:val="center"/>
          </w:tcPr>
          <w:p w14:paraId="7224806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28B6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C822B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4A0998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7450BB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联合体投标人（如有）</w:t>
            </w:r>
          </w:p>
        </w:tc>
        <w:tc>
          <w:tcPr>
            <w:tcW w:w="5936" w:type="dxa"/>
            <w:gridSpan w:val="2"/>
            <w:vAlign w:val="center"/>
          </w:tcPr>
          <w:p w14:paraId="552911B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符合第二章“投标人须知”第1.4.2项规定</w:t>
            </w:r>
          </w:p>
        </w:tc>
      </w:tr>
      <w:tr w14:paraId="5581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7C88EB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restart"/>
            <w:vAlign w:val="center"/>
          </w:tcPr>
          <w:p w14:paraId="659CB2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750516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投标内容</w:t>
            </w:r>
          </w:p>
        </w:tc>
        <w:tc>
          <w:tcPr>
            <w:tcW w:w="5936" w:type="dxa"/>
            <w:gridSpan w:val="2"/>
            <w:vAlign w:val="center"/>
          </w:tcPr>
          <w:p w14:paraId="3614B7E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符合第二章“投标人须知”第1.3.1项规定</w:t>
            </w:r>
          </w:p>
        </w:tc>
      </w:tr>
      <w:tr w14:paraId="004A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229CC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6F0E1F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349695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计划工期</w:t>
            </w:r>
          </w:p>
        </w:tc>
        <w:tc>
          <w:tcPr>
            <w:tcW w:w="5936" w:type="dxa"/>
            <w:gridSpan w:val="2"/>
            <w:vAlign w:val="center"/>
          </w:tcPr>
          <w:p w14:paraId="660D753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符合第二章“投标人须知”第1.3.2项规定</w:t>
            </w:r>
          </w:p>
        </w:tc>
      </w:tr>
      <w:tr w14:paraId="7175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1A38D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52A2B8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5D573B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工程质量</w:t>
            </w:r>
          </w:p>
        </w:tc>
        <w:tc>
          <w:tcPr>
            <w:tcW w:w="5936" w:type="dxa"/>
            <w:gridSpan w:val="2"/>
            <w:vAlign w:val="center"/>
          </w:tcPr>
          <w:p w14:paraId="798EE43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符合第二章“投标人须知”第1.3.3项规定</w:t>
            </w:r>
          </w:p>
        </w:tc>
      </w:tr>
      <w:tr w14:paraId="7790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CC676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A9811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64C87A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投标有效期</w:t>
            </w:r>
          </w:p>
        </w:tc>
        <w:tc>
          <w:tcPr>
            <w:tcW w:w="5936" w:type="dxa"/>
            <w:gridSpan w:val="2"/>
            <w:vAlign w:val="center"/>
          </w:tcPr>
          <w:p w14:paraId="3A38F5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符合第二章“投标人须知”第3.3.1项规定</w:t>
            </w:r>
          </w:p>
        </w:tc>
      </w:tr>
      <w:tr w14:paraId="7377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6585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0C34FC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21C7D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投标保证金</w:t>
            </w:r>
          </w:p>
        </w:tc>
        <w:tc>
          <w:tcPr>
            <w:tcW w:w="5936" w:type="dxa"/>
            <w:gridSpan w:val="2"/>
            <w:vAlign w:val="center"/>
          </w:tcPr>
          <w:p w14:paraId="69B3E90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符合第二章“投标人须知”第3.4.1项规定</w:t>
            </w:r>
          </w:p>
        </w:tc>
      </w:tr>
      <w:tr w14:paraId="776C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DFECD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1059" w:type="dxa"/>
            <w:vMerge w:val="continue"/>
            <w:vAlign w:val="center"/>
          </w:tcPr>
          <w:p w14:paraId="1CA1E6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340" w:type="dxa"/>
            <w:gridSpan w:val="2"/>
            <w:vAlign w:val="center"/>
          </w:tcPr>
          <w:p w14:paraId="6E39AF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r>
              <w:rPr>
                <w:rFonts w:hint="eastAsia" w:ascii="宋体" w:hAnsi="宋体" w:eastAsia="宋体" w:cs="宋体"/>
                <w:b w:val="0"/>
                <w:i w:val="0"/>
                <w:color w:val="auto"/>
                <w:szCs w:val="21"/>
                <w:highlight w:val="none"/>
                <w:u w:val="none" w:color="auto"/>
              </w:rPr>
              <w:t>投标价格</w:t>
            </w:r>
          </w:p>
        </w:tc>
        <w:tc>
          <w:tcPr>
            <w:tcW w:w="5936" w:type="dxa"/>
            <w:gridSpan w:val="2"/>
            <w:vAlign w:val="center"/>
          </w:tcPr>
          <w:p w14:paraId="30AB79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i w:val="0"/>
                <w:color w:val="auto"/>
                <w:szCs w:val="21"/>
                <w:highlight w:val="none"/>
                <w:u w:val="none" w:color="auto"/>
              </w:rPr>
            </w:pPr>
            <w:r>
              <w:rPr>
                <w:rFonts w:hint="eastAsia" w:ascii="宋体" w:hAnsi="宋体" w:eastAsia="宋体" w:cs="宋体"/>
                <w:b w:val="0"/>
                <w:i w:val="0"/>
                <w:color w:val="auto"/>
                <w:szCs w:val="21"/>
                <w:highlight w:val="none"/>
                <w:u w:val="none" w:color="auto"/>
              </w:rPr>
              <w:t>投标报价（含修正后）不大于本标段最高投标限价</w:t>
            </w:r>
          </w:p>
        </w:tc>
      </w:tr>
      <w:tr w14:paraId="7ADE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A16BE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FC496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744121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21"/>
                <w:highlight w:val="none"/>
                <w:lang w:val="en-US" w:eastAsia="zh-CN"/>
              </w:rPr>
            </w:pPr>
            <w:r>
              <w:rPr>
                <w:rFonts w:hint="eastAsia" w:ascii="宋体" w:hAnsi="宋体" w:cs="宋体"/>
                <w:b w:val="0"/>
                <w:i w:val="0"/>
                <w:color w:val="auto"/>
                <w:szCs w:val="21"/>
                <w:highlight w:val="none"/>
                <w:u w:val="none" w:color="auto"/>
                <w:lang w:val="en-US" w:eastAsia="zh-CN"/>
              </w:rPr>
              <w:t>投标人告知承诺</w:t>
            </w:r>
          </w:p>
        </w:tc>
        <w:tc>
          <w:tcPr>
            <w:tcW w:w="5936" w:type="dxa"/>
            <w:gridSpan w:val="2"/>
            <w:vAlign w:val="center"/>
          </w:tcPr>
          <w:p w14:paraId="31F4B24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olor w:val="auto"/>
                <w:szCs w:val="21"/>
                <w:highlight w:val="none"/>
                <w:lang w:val="en-US" w:eastAsia="zh-CN"/>
              </w:rPr>
            </w:pPr>
            <w:r>
              <w:rPr>
                <w:rFonts w:hint="eastAsia" w:ascii="宋体" w:hAnsi="宋体" w:cs="宋体"/>
                <w:b w:val="0"/>
                <w:i w:val="0"/>
                <w:color w:val="auto"/>
                <w:szCs w:val="21"/>
                <w:highlight w:val="none"/>
                <w:u w:val="none" w:color="auto"/>
                <w:lang w:val="en-US" w:eastAsia="zh-CN"/>
              </w:rPr>
              <w:t>提供有效的投标人告知承诺</w:t>
            </w:r>
          </w:p>
        </w:tc>
      </w:tr>
      <w:tr w14:paraId="0D57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29614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8276" w:type="dxa"/>
            <w:gridSpan w:val="4"/>
            <w:vAlign w:val="center"/>
          </w:tcPr>
          <w:p w14:paraId="028FF74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投标人不得存在的其他情形：</w:t>
            </w:r>
          </w:p>
          <w:p w14:paraId="0373FB7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（1）不按评标委员会要求澄清、说明或补正；</w:t>
            </w:r>
          </w:p>
          <w:p w14:paraId="36673E3E">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color w:val="auto"/>
                <w:szCs w:val="21"/>
                <w:highlight w:val="none"/>
              </w:rPr>
              <w:t>（2）有串通投标、弄虚作假、行贿或有其他违法行为。</w:t>
            </w:r>
          </w:p>
        </w:tc>
      </w:tr>
      <w:tr w14:paraId="57EB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7D0279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color w:val="auto"/>
                <w:szCs w:val="21"/>
                <w:highlight w:val="none"/>
              </w:rPr>
              <w:t>3</w:t>
            </w:r>
            <w:r>
              <w:rPr>
                <w:color w:val="auto"/>
                <w:szCs w:val="21"/>
                <w:highlight w:val="none"/>
              </w:rPr>
              <w:t>.1.4</w:t>
            </w:r>
          </w:p>
        </w:tc>
        <w:tc>
          <w:tcPr>
            <w:tcW w:w="8276" w:type="dxa"/>
            <w:gridSpan w:val="4"/>
            <w:vAlign w:val="center"/>
          </w:tcPr>
          <w:p w14:paraId="32E1E5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低于成本评审：</w:t>
            </w:r>
          </w:p>
          <w:p w14:paraId="23657321">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宋体" w:hAnsi="宋体"/>
                <w:color w:val="auto"/>
                <w:szCs w:val="21"/>
                <w:highlight w:val="none"/>
              </w:rPr>
            </w:pPr>
            <w:r>
              <w:rPr>
                <w:rFonts w:hint="eastAsia"/>
                <w:color w:val="auto"/>
                <w:highlight w:val="none"/>
              </w:rPr>
              <w:t>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tc>
      </w:tr>
      <w:tr w14:paraId="64EF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2C8664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color w:val="auto"/>
                <w:szCs w:val="21"/>
                <w:highlight w:val="none"/>
              </w:rPr>
              <w:t>3</w:t>
            </w:r>
            <w:r>
              <w:rPr>
                <w:color w:val="auto"/>
                <w:szCs w:val="21"/>
                <w:highlight w:val="none"/>
              </w:rPr>
              <w:t>.2.1</w:t>
            </w:r>
          </w:p>
        </w:tc>
        <w:tc>
          <w:tcPr>
            <w:tcW w:w="8276" w:type="dxa"/>
            <w:gridSpan w:val="4"/>
            <w:vAlign w:val="center"/>
          </w:tcPr>
          <w:p w14:paraId="6402F5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（1）是否采用入围：</w:t>
            </w:r>
            <w:r>
              <w:rPr>
                <w:rFonts w:hint="eastAsia" w:ascii="宋体" w:hAnsi="宋体"/>
                <w:color w:val="auto"/>
                <w:szCs w:val="21"/>
                <w:highlight w:val="none"/>
              </w:rPr>
              <w:t>否</w:t>
            </w:r>
          </w:p>
        </w:tc>
      </w:tr>
      <w:tr w14:paraId="520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00" w:type="dxa"/>
            <w:gridSpan w:val="2"/>
            <w:vAlign w:val="center"/>
          </w:tcPr>
          <w:p w14:paraId="22FE8B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Cs w:val="21"/>
                <w:highlight w:val="none"/>
              </w:rPr>
            </w:pPr>
            <w:r>
              <w:rPr>
                <w:rFonts w:hint="eastAsia"/>
                <w:color w:val="auto"/>
                <w:szCs w:val="21"/>
                <w:highlight w:val="none"/>
                <w:lang w:val="en-US" w:eastAsia="zh-CN"/>
              </w:rPr>
              <w:t>3.3</w:t>
            </w:r>
          </w:p>
        </w:tc>
        <w:tc>
          <w:tcPr>
            <w:tcW w:w="8276" w:type="dxa"/>
            <w:gridSpan w:val="4"/>
            <w:vAlign w:val="center"/>
          </w:tcPr>
          <w:p w14:paraId="4C541BEA">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239B3CC4">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2826240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6BEE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69183B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196" w:type="dxa"/>
            <w:vAlign w:val="center"/>
          </w:tcPr>
          <w:p w14:paraId="5726F6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条款内容</w:t>
            </w:r>
          </w:p>
        </w:tc>
        <w:tc>
          <w:tcPr>
            <w:tcW w:w="6080" w:type="dxa"/>
            <w:gridSpan w:val="3"/>
            <w:vAlign w:val="center"/>
          </w:tcPr>
          <w:p w14:paraId="33CA5D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编列内容</w:t>
            </w:r>
          </w:p>
        </w:tc>
      </w:tr>
      <w:tr w14:paraId="609B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68D702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color w:val="auto"/>
                <w:szCs w:val="21"/>
                <w:highlight w:val="none"/>
              </w:rPr>
              <w:t>2.2.1</w:t>
            </w:r>
          </w:p>
        </w:tc>
        <w:tc>
          <w:tcPr>
            <w:tcW w:w="2196" w:type="dxa"/>
            <w:vAlign w:val="center"/>
          </w:tcPr>
          <w:p w14:paraId="49C9B0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分值构成</w:t>
            </w:r>
          </w:p>
          <w:p w14:paraId="6B8C91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6080" w:type="dxa"/>
            <w:gridSpan w:val="3"/>
            <w:vAlign w:val="center"/>
          </w:tcPr>
          <w:p w14:paraId="3EB7971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4</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7D74586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lang w:val="en-US" w:eastAsia="zh-CN"/>
              </w:rPr>
              <w:t>承包人建议书</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3322E4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lang w:val="en-US" w:eastAsia="zh-CN"/>
              </w:rPr>
              <w:t>承包人实施方案（</w:t>
            </w:r>
            <w:r>
              <w:rPr>
                <w:rFonts w:hint="eastAsia" w:ascii="宋体" w:hAnsi="宋体"/>
                <w:color w:val="auto"/>
                <w:szCs w:val="21"/>
                <w:highlight w:val="none"/>
              </w:rPr>
              <w:t>技术标</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1812CE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lang w:val="en-US" w:eastAsia="zh-CN"/>
              </w:rPr>
              <w:t>资信标</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57BB86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32C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00FDC4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2.2.2</w:t>
            </w:r>
          </w:p>
          <w:p w14:paraId="5F619F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（1）</w:t>
            </w:r>
          </w:p>
        </w:tc>
        <w:tc>
          <w:tcPr>
            <w:tcW w:w="2196" w:type="dxa"/>
            <w:vAlign w:val="center"/>
          </w:tcPr>
          <w:p w14:paraId="0A1B90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评标价确定方法</w:t>
            </w:r>
          </w:p>
        </w:tc>
        <w:tc>
          <w:tcPr>
            <w:tcW w:w="6080" w:type="dxa"/>
            <w:gridSpan w:val="3"/>
            <w:vAlign w:val="center"/>
          </w:tcPr>
          <w:p w14:paraId="6A752FEC">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ascii="宋体" w:hAnsi="宋体"/>
                <w:color w:val="auto"/>
                <w:szCs w:val="21"/>
                <w:highlight w:val="none"/>
              </w:rPr>
            </w:pPr>
            <w:r>
              <w:rPr>
                <w:rFonts w:hint="eastAsia" w:ascii="宋体" w:hAnsi="宋体"/>
                <w:color w:val="auto"/>
                <w:szCs w:val="21"/>
                <w:highlight w:val="none"/>
              </w:rPr>
              <w:t>评标价＝</w:t>
            </w:r>
            <w:r>
              <w:rPr>
                <w:rFonts w:hint="eastAsia" w:ascii="宋体" w:hAnsi="宋体"/>
                <w:color w:val="auto"/>
                <w:szCs w:val="21"/>
                <w:highlight w:val="none"/>
              </w:rPr>
              <w:t>投标函大写</w:t>
            </w:r>
            <w:r>
              <w:rPr>
                <w:rFonts w:hint="eastAsia"/>
                <w:color w:val="auto"/>
                <w:highlight w:val="none"/>
              </w:rPr>
              <w:t>投标报价（或经投标人书面确认的算术错误修正后的投标总报价）</w:t>
            </w:r>
            <w:r>
              <w:rPr>
                <w:rFonts w:hint="eastAsia"/>
                <w:color w:val="auto"/>
                <w:highlight w:val="none"/>
              </w:rPr>
              <w:t>。</w:t>
            </w:r>
          </w:p>
        </w:tc>
      </w:tr>
      <w:tr w14:paraId="051A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3F0A79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2.2.2</w:t>
            </w:r>
          </w:p>
          <w:p w14:paraId="7DBF96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w:t>
            </w:r>
          </w:p>
        </w:tc>
        <w:tc>
          <w:tcPr>
            <w:tcW w:w="2196" w:type="dxa"/>
            <w:vAlign w:val="center"/>
          </w:tcPr>
          <w:p w14:paraId="4B9243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评标基准价计算</w:t>
            </w:r>
          </w:p>
          <w:p w14:paraId="1B2DD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方法</w:t>
            </w:r>
          </w:p>
        </w:tc>
        <w:tc>
          <w:tcPr>
            <w:tcW w:w="6080" w:type="dxa"/>
            <w:gridSpan w:val="3"/>
            <w:vAlign w:val="center"/>
          </w:tcPr>
          <w:p w14:paraId="54FB3BED">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基准价计算方法（设计费）：</w:t>
            </w:r>
          </w:p>
          <w:p w14:paraId="34FB2709">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（1）最高投标限价是否参与基准价计算：</w:t>
            </w:r>
            <w:r>
              <w:rPr>
                <w:rFonts w:hint="default" w:ascii="宋体" w:hAnsi="宋体"/>
                <w:color w:val="auto"/>
                <w:szCs w:val="21"/>
                <w:highlight w:val="none"/>
                <w:lang w:val="en-US" w:eastAsia="zh-CN"/>
              </w:rPr>
              <w:t>否</w:t>
            </w:r>
          </w:p>
          <w:p w14:paraId="4E6BDB9C">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（2）参与基准价计算范围：</w:t>
            </w:r>
          </w:p>
          <w:p w14:paraId="23E73393">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通过初步评审的投标人投标报价参与基准价得分计算。</w:t>
            </w:r>
          </w:p>
          <w:p w14:paraId="6CDDA268">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（3）基准价计算规则：</w:t>
            </w:r>
          </w:p>
          <w:p w14:paraId="67125724">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通过初步评审的投标人超过</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家（包含</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家），去掉1个最高投标报价，1个最低投标报价；若小于</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家，则不去；将其投标报价取算术平均值下浮0%。</w:t>
            </w:r>
          </w:p>
          <w:p w14:paraId="74911F1B">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基准价计算方法（建筑安装工程费）：</w:t>
            </w:r>
          </w:p>
          <w:p w14:paraId="55E35D3C">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（1）最高投标限价是否参与基准价计算：</w:t>
            </w:r>
            <w:r>
              <w:rPr>
                <w:rFonts w:hint="default" w:ascii="宋体" w:hAnsi="宋体"/>
                <w:color w:val="auto"/>
                <w:szCs w:val="21"/>
                <w:highlight w:val="none"/>
                <w:lang w:val="en-US" w:eastAsia="zh-CN"/>
              </w:rPr>
              <w:t>否</w:t>
            </w:r>
          </w:p>
          <w:p w14:paraId="7152BB78">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（2）参与基准价计算范围：</w:t>
            </w:r>
          </w:p>
          <w:p w14:paraId="351D3855">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通过初步评审的投标人投标报价参与基准价得分计算。</w:t>
            </w:r>
          </w:p>
          <w:p w14:paraId="7738D23B">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（3）基准价计算规则：</w:t>
            </w:r>
          </w:p>
          <w:p w14:paraId="6561E29F">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rPr>
            </w:pPr>
            <w:r>
              <w:rPr>
                <w:rFonts w:hint="default" w:ascii="宋体" w:hAnsi="宋体"/>
                <w:color w:val="auto"/>
                <w:szCs w:val="21"/>
                <w:highlight w:val="none"/>
                <w:lang w:val="en-US" w:eastAsia="zh-CN"/>
              </w:rPr>
              <w:t xml:space="preserve">    通过初步评审的投标人超过</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家（包含</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家），去掉1个最高投标报价，1个最低投标报价；若小于</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家，则不去；将其投标报价取算术平均值下浮0%。</w:t>
            </w:r>
          </w:p>
        </w:tc>
      </w:tr>
      <w:tr w14:paraId="570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800" w:type="dxa"/>
            <w:gridSpan w:val="2"/>
            <w:vAlign w:val="center"/>
          </w:tcPr>
          <w:p w14:paraId="0E3E97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color w:val="auto"/>
                <w:szCs w:val="21"/>
                <w:highlight w:val="none"/>
              </w:rPr>
              <w:t>2.2.3</w:t>
            </w:r>
          </w:p>
        </w:tc>
        <w:tc>
          <w:tcPr>
            <w:tcW w:w="2196" w:type="dxa"/>
            <w:vAlign w:val="center"/>
          </w:tcPr>
          <w:p w14:paraId="3F63966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投标报价的偏差率</w:t>
            </w:r>
          </w:p>
          <w:p w14:paraId="0AB770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计算公式</w:t>
            </w:r>
          </w:p>
        </w:tc>
        <w:tc>
          <w:tcPr>
            <w:tcW w:w="6080" w:type="dxa"/>
            <w:gridSpan w:val="3"/>
            <w:vAlign w:val="center"/>
          </w:tcPr>
          <w:p w14:paraId="7A02E0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rPr>
              <w:t>偏差绝对值=|投标人评标价-评标基准价|</w:t>
            </w:r>
          </w:p>
          <w:p w14:paraId="17719A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偏差率=100%×（</w:t>
            </w:r>
            <w:r>
              <w:rPr>
                <w:rFonts w:ascii="宋体" w:hAnsi="宋体"/>
                <w:color w:val="auto"/>
                <w:szCs w:val="21"/>
                <w:highlight w:val="none"/>
              </w:rPr>
              <w:t>|</w:t>
            </w:r>
            <w:r>
              <w:rPr>
                <w:rFonts w:hint="eastAsia" w:ascii="宋体" w:hAnsi="宋体"/>
                <w:color w:val="auto"/>
                <w:szCs w:val="21"/>
                <w:highlight w:val="none"/>
              </w:rPr>
              <w:t>投标人评标价－评标基准价</w:t>
            </w:r>
            <w:r>
              <w:rPr>
                <w:rFonts w:ascii="宋体" w:hAnsi="宋体"/>
                <w:color w:val="auto"/>
                <w:szCs w:val="21"/>
                <w:highlight w:val="none"/>
              </w:rPr>
              <w:t>|</w:t>
            </w:r>
            <w:r>
              <w:rPr>
                <w:rFonts w:hint="eastAsia" w:ascii="宋体" w:hAnsi="宋体"/>
                <w:color w:val="auto"/>
                <w:szCs w:val="21"/>
                <w:highlight w:val="none"/>
              </w:rPr>
              <w:t>）÷评标基准价</w:t>
            </w:r>
          </w:p>
          <w:p w14:paraId="1EE1AE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扣分标准：设计费：每</w:t>
            </w:r>
            <w:r>
              <w:rPr>
                <w:rFonts w:hint="eastAsia" w:ascii="宋体" w:hAnsi="宋体"/>
                <w:color w:val="auto"/>
                <w:szCs w:val="21"/>
                <w:highlight w:val="none"/>
              </w:rPr>
              <w:t>低1%扣0.</w:t>
            </w:r>
            <w:r>
              <w:rPr>
                <w:rFonts w:hint="eastAsia" w:ascii="宋体" w:hAnsi="宋体"/>
                <w:color w:val="auto"/>
                <w:szCs w:val="21"/>
                <w:highlight w:val="none"/>
                <w:lang w:val="en-US" w:eastAsia="zh-CN"/>
              </w:rPr>
              <w:t>05</w:t>
            </w:r>
            <w:r>
              <w:rPr>
                <w:rFonts w:hint="eastAsia" w:ascii="宋体" w:hAnsi="宋体"/>
                <w:color w:val="auto"/>
                <w:szCs w:val="21"/>
                <w:highlight w:val="none"/>
              </w:rPr>
              <w:t>分；每高1%扣0.1分</w:t>
            </w:r>
            <w:r>
              <w:rPr>
                <w:rFonts w:hint="eastAsia" w:ascii="宋体" w:hAnsi="宋体"/>
                <w:color w:val="auto"/>
                <w:szCs w:val="21"/>
                <w:highlight w:val="none"/>
              </w:rPr>
              <w:t>。</w:t>
            </w:r>
          </w:p>
          <w:p w14:paraId="4406D8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建筑安装工程费：</w:t>
            </w:r>
            <w:r>
              <w:rPr>
                <w:rFonts w:hint="eastAsia" w:ascii="宋体" w:hAnsi="宋体"/>
                <w:color w:val="auto"/>
                <w:szCs w:val="21"/>
                <w:highlight w:val="none"/>
              </w:rPr>
              <w:t>每低1%扣0.</w:t>
            </w:r>
            <w:r>
              <w:rPr>
                <w:rFonts w:hint="eastAsia" w:ascii="宋体" w:hAnsi="宋体"/>
                <w:color w:val="auto"/>
                <w:szCs w:val="21"/>
                <w:highlight w:val="none"/>
                <w:lang w:val="en-US" w:eastAsia="zh-CN"/>
              </w:rPr>
              <w:t>05</w:t>
            </w:r>
            <w:r>
              <w:rPr>
                <w:rFonts w:hint="eastAsia" w:ascii="宋体" w:hAnsi="宋体"/>
                <w:color w:val="auto"/>
                <w:szCs w:val="21"/>
                <w:highlight w:val="none"/>
              </w:rPr>
              <w:t>分；每高1%扣0.1分</w:t>
            </w:r>
            <w:r>
              <w:rPr>
                <w:rFonts w:hint="eastAsia" w:ascii="宋体" w:hAnsi="宋体"/>
                <w:color w:val="auto"/>
                <w:szCs w:val="21"/>
                <w:highlight w:val="none"/>
              </w:rPr>
              <w:t>。</w:t>
            </w:r>
          </w:p>
          <w:p w14:paraId="47AF0BA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olor w:val="auto"/>
                <w:szCs w:val="21"/>
                <w:highlight w:val="none"/>
              </w:rPr>
            </w:pPr>
            <w:r>
              <w:rPr>
                <w:rFonts w:hint="eastAsia" w:ascii="宋体" w:hAnsi="宋体"/>
                <w:color w:val="auto"/>
                <w:szCs w:val="21"/>
                <w:highlight w:val="none"/>
              </w:rPr>
              <w:t>注：中间值采用插入法计算，小数点后保留两位。</w:t>
            </w:r>
          </w:p>
        </w:tc>
      </w:tr>
      <w:tr w14:paraId="3259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6ACAEA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196" w:type="dxa"/>
            <w:vAlign w:val="center"/>
          </w:tcPr>
          <w:p w14:paraId="01D8BA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评分因素</w:t>
            </w:r>
          </w:p>
        </w:tc>
        <w:tc>
          <w:tcPr>
            <w:tcW w:w="810" w:type="dxa"/>
            <w:gridSpan w:val="2"/>
            <w:vAlign w:val="center"/>
          </w:tcPr>
          <w:p w14:paraId="55FCA6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标准分</w:t>
            </w:r>
          </w:p>
        </w:tc>
        <w:tc>
          <w:tcPr>
            <w:tcW w:w="5270" w:type="dxa"/>
            <w:vAlign w:val="center"/>
          </w:tcPr>
          <w:p w14:paraId="30009D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评分标准</w:t>
            </w:r>
          </w:p>
        </w:tc>
      </w:tr>
      <w:bookmarkEnd w:id="574"/>
      <w:bookmarkEnd w:id="575"/>
      <w:tr w14:paraId="3927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41" w:type="dxa"/>
            <w:vMerge w:val="restart"/>
            <w:vAlign w:val="center"/>
          </w:tcPr>
          <w:p w14:paraId="380ECD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restart"/>
            <w:vAlign w:val="center"/>
          </w:tcPr>
          <w:p w14:paraId="0449A2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196" w:type="dxa"/>
            <w:vAlign w:val="center"/>
          </w:tcPr>
          <w:p w14:paraId="16CE15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投标报价（设计费）</w:t>
            </w:r>
          </w:p>
        </w:tc>
        <w:tc>
          <w:tcPr>
            <w:tcW w:w="810" w:type="dxa"/>
            <w:gridSpan w:val="2"/>
            <w:vAlign w:val="center"/>
          </w:tcPr>
          <w:p w14:paraId="5719FA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10</w:t>
            </w:r>
          </w:p>
        </w:tc>
        <w:tc>
          <w:tcPr>
            <w:tcW w:w="5270" w:type="dxa"/>
            <w:vAlign w:val="center"/>
          </w:tcPr>
          <w:p w14:paraId="697F6DE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F＝10-（投标人评标价-评标基准价）÷评标基准价×100×0.1（评标价＞基准价时）</w:t>
            </w:r>
          </w:p>
          <w:p w14:paraId="636D1B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F＝10-（评标基准价-投标人评标价）÷评标基准价×100×</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05</w:t>
            </w:r>
            <w:r>
              <w:rPr>
                <w:rFonts w:hint="eastAsia" w:ascii="宋体" w:hAnsi="宋体" w:eastAsia="宋体" w:cs="宋体"/>
                <w:b w:val="0"/>
                <w:bCs/>
                <w:i w:val="0"/>
                <w:color w:val="auto"/>
                <w:szCs w:val="21"/>
                <w:highlight w:val="none"/>
                <w:u w:val="none" w:color="auto"/>
              </w:rPr>
              <w:t>（评标价≤基准价时）</w:t>
            </w:r>
          </w:p>
        </w:tc>
      </w:tr>
      <w:tr w14:paraId="7B93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41" w:type="dxa"/>
            <w:vMerge w:val="continue"/>
            <w:vAlign w:val="center"/>
          </w:tcPr>
          <w:p w14:paraId="010E4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continue"/>
            <w:vAlign w:val="center"/>
          </w:tcPr>
          <w:p w14:paraId="695FEA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196" w:type="dxa"/>
            <w:vAlign w:val="center"/>
          </w:tcPr>
          <w:p w14:paraId="4D7DDA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投标报价（建筑安装工程费）</w:t>
            </w:r>
          </w:p>
        </w:tc>
        <w:tc>
          <w:tcPr>
            <w:tcW w:w="810" w:type="dxa"/>
            <w:gridSpan w:val="2"/>
            <w:vAlign w:val="center"/>
          </w:tcPr>
          <w:p w14:paraId="2A54A3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eastAsia="宋体" w:cs="宋体"/>
                <w:b w:val="0"/>
                <w:bCs/>
                <w:i w:val="0"/>
                <w:color w:val="auto"/>
                <w:szCs w:val="21"/>
                <w:highlight w:val="none"/>
                <w:u w:val="none" w:color="auto"/>
              </w:rPr>
              <w:t>3</w:t>
            </w:r>
            <w:r>
              <w:rPr>
                <w:rFonts w:hint="eastAsia" w:ascii="宋体" w:hAnsi="宋体" w:cs="宋体"/>
                <w:b w:val="0"/>
                <w:bCs/>
                <w:i w:val="0"/>
                <w:color w:val="auto"/>
                <w:szCs w:val="21"/>
                <w:highlight w:val="none"/>
                <w:u w:val="none" w:color="auto"/>
                <w:lang w:val="en-US" w:eastAsia="zh-CN"/>
              </w:rPr>
              <w:t>5</w:t>
            </w:r>
          </w:p>
        </w:tc>
        <w:tc>
          <w:tcPr>
            <w:tcW w:w="5270" w:type="dxa"/>
            <w:vAlign w:val="center"/>
          </w:tcPr>
          <w:p w14:paraId="58ADE2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F＝3</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-（投标人评标价-评标基准价）÷评标基准价×100×0.1（评标价＞基准价时）</w:t>
            </w:r>
          </w:p>
          <w:p w14:paraId="31E89D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F＝3</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-（评标基准价-投标人评标价）÷评标基准价×100×</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05</w:t>
            </w:r>
            <w:r>
              <w:rPr>
                <w:rFonts w:hint="eastAsia" w:ascii="宋体" w:hAnsi="宋体" w:eastAsia="宋体" w:cs="宋体"/>
                <w:b w:val="0"/>
                <w:bCs/>
                <w:i w:val="0"/>
                <w:color w:val="auto"/>
                <w:szCs w:val="21"/>
                <w:highlight w:val="none"/>
                <w:u w:val="none" w:color="auto"/>
              </w:rPr>
              <w:t>（评标价≤基准价时）</w:t>
            </w:r>
          </w:p>
        </w:tc>
      </w:tr>
      <w:tr w14:paraId="7E5D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741" w:type="dxa"/>
            <w:vMerge w:val="restart"/>
            <w:vAlign w:val="center"/>
          </w:tcPr>
          <w:p w14:paraId="3C7264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restart"/>
            <w:vAlign w:val="center"/>
          </w:tcPr>
          <w:p w14:paraId="45282E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7CD506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图纸</w:t>
            </w:r>
          </w:p>
        </w:tc>
        <w:tc>
          <w:tcPr>
            <w:tcW w:w="810" w:type="dxa"/>
            <w:gridSpan w:val="2"/>
            <w:vAlign w:val="center"/>
          </w:tcPr>
          <w:p w14:paraId="34BAE1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19</w:t>
            </w:r>
          </w:p>
        </w:tc>
        <w:tc>
          <w:tcPr>
            <w:tcW w:w="5270" w:type="dxa"/>
            <w:vAlign w:val="center"/>
          </w:tcPr>
          <w:p w14:paraId="494D6D0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评审维度：1.对图纸的详细程度；2.图纸的先进性；3.图纸的可行性</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4.提供效果图</w:t>
            </w:r>
            <w:r>
              <w:rPr>
                <w:rFonts w:hint="eastAsia" w:ascii="宋体" w:hAnsi="宋体" w:cs="宋体"/>
                <w:b w:val="0"/>
                <w:bCs/>
                <w:i w:val="0"/>
                <w:color w:val="auto"/>
                <w:szCs w:val="21"/>
                <w:highlight w:val="none"/>
                <w:u w:val="none" w:color="auto"/>
                <w:lang w:val="en-US" w:eastAsia="zh-CN"/>
              </w:rPr>
              <w:t>。</w:t>
            </w:r>
          </w:p>
          <w:p w14:paraId="757332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评审标准：对各投标人的图纸及设计说明进行综合评审；</w:t>
            </w:r>
            <w:bookmarkStart w:id="576" w:name="OLE_LINK4"/>
            <w:r>
              <w:rPr>
                <w:rFonts w:hint="eastAsia" w:ascii="宋体" w:hAnsi="宋体" w:eastAsia="宋体" w:cs="宋体"/>
                <w:b w:val="0"/>
                <w:bCs/>
                <w:i w:val="0"/>
                <w:color w:val="auto"/>
                <w:szCs w:val="21"/>
                <w:highlight w:val="none"/>
                <w:u w:val="none" w:color="auto"/>
              </w:rPr>
              <w:t>优秀得</w:t>
            </w:r>
            <w:r>
              <w:rPr>
                <w:rFonts w:hint="eastAsia" w:ascii="宋体" w:hAnsi="宋体" w:eastAsia="宋体" w:cs="宋体"/>
                <w:b w:val="0"/>
                <w:bCs/>
                <w:i w:val="0"/>
                <w:color w:val="auto"/>
                <w:szCs w:val="21"/>
                <w:highlight w:val="none"/>
                <w:u w:val="none" w:color="auto"/>
                <w:lang w:val="en-US" w:eastAsia="zh-CN"/>
              </w:rPr>
              <w:t>19.0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14.0</w:t>
            </w:r>
            <w:r>
              <w:rPr>
                <w:rFonts w:hint="eastAsia" w:ascii="宋体" w:hAnsi="宋体" w:eastAsia="宋体" w:cs="宋体"/>
                <w:b w:val="0"/>
                <w:bCs/>
                <w:i w:val="0"/>
                <w:color w:val="auto"/>
                <w:szCs w:val="21"/>
                <w:highlight w:val="none"/>
                <w:u w:val="none" w:color="auto"/>
              </w:rPr>
              <w:t>分，良好得</w:t>
            </w:r>
            <w:r>
              <w:rPr>
                <w:rFonts w:hint="eastAsia" w:ascii="宋体" w:hAnsi="宋体" w:eastAsia="宋体" w:cs="宋体"/>
                <w:b w:val="0"/>
                <w:bCs/>
                <w:i w:val="0"/>
                <w:color w:val="auto"/>
                <w:szCs w:val="21"/>
                <w:highlight w:val="none"/>
                <w:u w:val="none" w:color="auto"/>
                <w:lang w:val="en-US" w:eastAsia="zh-CN"/>
              </w:rPr>
              <w:t>13</w:t>
            </w:r>
            <w:r>
              <w:rPr>
                <w:rFonts w:hint="eastAsia" w:ascii="宋体" w:hAnsi="宋体" w:eastAsia="宋体" w:cs="宋体"/>
                <w:b w:val="0"/>
                <w:bCs/>
                <w:i w:val="0"/>
                <w:color w:val="auto"/>
                <w:szCs w:val="21"/>
                <w:highlight w:val="none"/>
                <w:u w:val="none" w:color="auto"/>
              </w:rPr>
              <w:t>.9-</w:t>
            </w:r>
            <w:r>
              <w:rPr>
                <w:rFonts w:hint="eastAsia" w:ascii="宋体" w:hAnsi="宋体" w:eastAsia="宋体" w:cs="宋体"/>
                <w:b w:val="0"/>
                <w:bCs/>
                <w:i w:val="0"/>
                <w:color w:val="auto"/>
                <w:szCs w:val="21"/>
                <w:highlight w:val="none"/>
                <w:u w:val="none" w:color="auto"/>
                <w:lang w:val="en-US" w:eastAsia="zh-CN"/>
              </w:rPr>
              <w:t>9.0</w:t>
            </w:r>
            <w:r>
              <w:rPr>
                <w:rFonts w:hint="eastAsia" w:ascii="宋体" w:hAnsi="宋体" w:eastAsia="宋体" w:cs="宋体"/>
                <w:b w:val="0"/>
                <w:bCs/>
                <w:i w:val="0"/>
                <w:color w:val="auto"/>
                <w:szCs w:val="21"/>
                <w:highlight w:val="none"/>
                <w:u w:val="none" w:color="auto"/>
              </w:rPr>
              <w:t>分，一般得</w:t>
            </w:r>
            <w:r>
              <w:rPr>
                <w:rFonts w:hint="eastAsia" w:ascii="宋体" w:hAnsi="宋体" w:eastAsia="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rPr>
              <w:t>.9-</w:t>
            </w:r>
            <w:r>
              <w:rPr>
                <w:rFonts w:hint="eastAsia" w:ascii="宋体" w:hAnsi="宋体" w:eastAsia="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较差</w:t>
            </w:r>
            <w:r>
              <w:rPr>
                <w:rFonts w:hint="eastAsia" w:ascii="宋体" w:hAnsi="宋体" w:eastAsia="宋体" w:cs="宋体"/>
                <w:b w:val="0"/>
                <w:bCs/>
                <w:i w:val="0"/>
                <w:color w:val="auto"/>
                <w:szCs w:val="21"/>
                <w:highlight w:val="none"/>
                <w:u w:val="none" w:color="auto"/>
              </w:rPr>
              <w:t>得</w:t>
            </w:r>
            <w:r>
              <w:rPr>
                <w:rFonts w:hint="eastAsia" w:ascii="宋体" w:hAnsi="宋体" w:eastAsia="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.9-</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lang w:val="en-US" w:eastAsia="zh-CN"/>
              </w:rPr>
              <w:t>，如投标人未提供本项内容，则本项评标得分为</w:t>
            </w:r>
            <w:r>
              <w:rPr>
                <w:rFonts w:hint="eastAsia" w:ascii="宋体" w:hAnsi="宋体" w:cs="宋体"/>
                <w:b w:val="0"/>
                <w:bCs/>
                <w:i w:val="0"/>
                <w:color w:val="auto"/>
                <w:szCs w:val="21"/>
                <w:highlight w:val="none"/>
                <w:u w:val="none" w:color="auto"/>
                <w:lang w:val="en-US" w:eastAsia="zh-CN"/>
              </w:rPr>
              <w:t>0分，</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19.0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bookmarkEnd w:id="576"/>
          </w:p>
        </w:tc>
      </w:tr>
      <w:tr w14:paraId="0ACC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1" w:type="dxa"/>
            <w:vMerge w:val="continue"/>
            <w:vAlign w:val="center"/>
          </w:tcPr>
          <w:p w14:paraId="6A685D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27AEBD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196189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工程全面详细说明</w:t>
            </w:r>
          </w:p>
        </w:tc>
        <w:tc>
          <w:tcPr>
            <w:tcW w:w="810" w:type="dxa"/>
            <w:gridSpan w:val="2"/>
            <w:vAlign w:val="center"/>
          </w:tcPr>
          <w:p w14:paraId="5E7113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8</w:t>
            </w:r>
          </w:p>
        </w:tc>
        <w:tc>
          <w:tcPr>
            <w:tcW w:w="5270" w:type="dxa"/>
            <w:vAlign w:val="center"/>
          </w:tcPr>
          <w:p w14:paraId="792F40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评审维度：1.总体安排与资源配置完善；2.工程施工进度控制和管理方案；3.质量监督与控制方案科学合理</w:t>
            </w:r>
          </w:p>
          <w:p w14:paraId="2D478DA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w:t>
            </w:r>
            <w:bookmarkStart w:id="577" w:name="OLE_LINK5"/>
            <w:r>
              <w:rPr>
                <w:rFonts w:hint="eastAsia" w:ascii="宋体" w:hAnsi="宋体" w:eastAsia="宋体" w:cs="宋体"/>
                <w:b w:val="0"/>
                <w:bCs/>
                <w:i w:val="0"/>
                <w:color w:val="auto"/>
                <w:szCs w:val="21"/>
                <w:highlight w:val="none"/>
                <w:u w:val="none" w:color="auto"/>
              </w:rPr>
              <w:t>优秀得</w:t>
            </w:r>
            <w:r>
              <w:rPr>
                <w:rFonts w:hint="eastAsia" w:ascii="宋体" w:hAnsi="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6</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.9-</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.9-</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较差</w:t>
            </w:r>
            <w:r>
              <w:rPr>
                <w:rFonts w:hint="eastAsia" w:ascii="宋体" w:hAnsi="宋体" w:eastAsia="宋体" w:cs="宋体"/>
                <w:b w:val="0"/>
                <w:bCs/>
                <w:i w:val="0"/>
                <w:color w:val="auto"/>
                <w:szCs w:val="21"/>
                <w:highlight w:val="none"/>
                <w:u w:val="none" w:color="auto"/>
              </w:rPr>
              <w:t>得</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.9-</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lang w:val="en-US" w:eastAsia="zh-CN"/>
              </w:rPr>
              <w:t>，如投标人未提供本项内容，则本项评标得分为</w:t>
            </w:r>
            <w:r>
              <w:rPr>
                <w:rFonts w:hint="eastAsia" w:ascii="宋体" w:hAnsi="宋体" w:cs="宋体"/>
                <w:b w:val="0"/>
                <w:bCs/>
                <w:i w:val="0"/>
                <w:color w:val="auto"/>
                <w:szCs w:val="21"/>
                <w:highlight w:val="none"/>
                <w:u w:val="none" w:color="auto"/>
                <w:lang w:val="en-US" w:eastAsia="zh-CN"/>
              </w:rPr>
              <w:t>0分，</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bookmarkEnd w:id="577"/>
          </w:p>
        </w:tc>
      </w:tr>
      <w:tr w14:paraId="1DB4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741" w:type="dxa"/>
            <w:vMerge w:val="continue"/>
            <w:vAlign w:val="center"/>
          </w:tcPr>
          <w:p w14:paraId="3CD505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22077B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2CDAD7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对本工程</w:t>
            </w:r>
            <w:r>
              <w:rPr>
                <w:rFonts w:hint="eastAsia" w:ascii="宋体" w:hAnsi="宋体" w:cs="宋体"/>
                <w:b w:val="0"/>
                <w:i w:val="0"/>
                <w:color w:val="auto"/>
                <w:highlight w:val="none"/>
                <w:u w:val="none" w:color="auto"/>
                <w:lang w:val="en-US" w:eastAsia="zh-CN"/>
              </w:rPr>
              <w:t>的</w:t>
            </w:r>
            <w:r>
              <w:rPr>
                <w:rFonts w:hint="eastAsia" w:ascii="宋体" w:hAnsi="宋体" w:eastAsia="宋体" w:cs="宋体"/>
                <w:b w:val="0"/>
                <w:i w:val="0"/>
                <w:color w:val="auto"/>
                <w:highlight w:val="none"/>
                <w:u w:val="none" w:color="auto"/>
              </w:rPr>
              <w:t>建议</w:t>
            </w:r>
          </w:p>
        </w:tc>
        <w:tc>
          <w:tcPr>
            <w:tcW w:w="810" w:type="dxa"/>
            <w:gridSpan w:val="2"/>
            <w:vAlign w:val="center"/>
          </w:tcPr>
          <w:p w14:paraId="7F5722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3</w:t>
            </w:r>
          </w:p>
        </w:tc>
        <w:tc>
          <w:tcPr>
            <w:tcW w:w="5270" w:type="dxa"/>
            <w:vAlign w:val="center"/>
          </w:tcPr>
          <w:p w14:paraId="6C1202F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w:t>
            </w:r>
            <w:r>
              <w:rPr>
                <w:rFonts w:hint="eastAsia" w:ascii="宋体" w:hAnsi="宋体" w:cs="宋体"/>
                <w:b w:val="0"/>
                <w:bCs/>
                <w:i w:val="0"/>
                <w:color w:val="auto"/>
                <w:szCs w:val="21"/>
                <w:highlight w:val="none"/>
                <w:u w:val="none" w:color="auto"/>
                <w:lang w:val="en-US" w:eastAsia="zh-CN"/>
              </w:rPr>
              <w:t>1.建议书内容详细；2.有针对性；3.可行。</w:t>
            </w:r>
          </w:p>
          <w:p w14:paraId="7DE744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.9-</w:t>
            </w:r>
            <w:r>
              <w:rPr>
                <w:rFonts w:hint="eastAsia" w:ascii="宋体" w:hAnsi="宋体" w:cs="宋体"/>
                <w:b w:val="0"/>
                <w:bCs/>
                <w:i w:val="0"/>
                <w:color w:val="auto"/>
                <w:szCs w:val="21"/>
                <w:highlight w:val="none"/>
                <w:u w:val="none" w:color="auto"/>
                <w:lang w:val="en-US" w:eastAsia="zh-CN"/>
              </w:rPr>
              <w:t>1.5</w:t>
            </w:r>
            <w:r>
              <w:rPr>
                <w:rFonts w:hint="eastAsia" w:ascii="宋体" w:hAnsi="宋体" w:eastAsia="宋体" w:cs="宋体"/>
                <w:b w:val="0"/>
                <w:bCs/>
                <w:i w:val="0"/>
                <w:color w:val="auto"/>
                <w:szCs w:val="21"/>
                <w:highlight w:val="none"/>
                <w:u w:val="none" w:color="auto"/>
              </w:rPr>
              <w:t>分，一般得</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较差</w:t>
            </w:r>
            <w:r>
              <w:rPr>
                <w:rFonts w:hint="eastAsia" w:ascii="宋体" w:hAnsi="宋体" w:eastAsia="宋体" w:cs="宋体"/>
                <w:b w:val="0"/>
                <w:bCs/>
                <w:i w:val="0"/>
                <w:color w:val="auto"/>
                <w:szCs w:val="21"/>
                <w:highlight w:val="none"/>
                <w:u w:val="none" w:color="auto"/>
              </w:rPr>
              <w:t>得</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7</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lang w:val="en-US" w:eastAsia="zh-CN"/>
              </w:rPr>
              <w:t>，如投标人未提供本项内容，则本项评标得分为</w:t>
            </w:r>
            <w:r>
              <w:rPr>
                <w:rFonts w:hint="eastAsia" w:ascii="宋体" w:hAnsi="宋体" w:cs="宋体"/>
                <w:b w:val="0"/>
                <w:bCs/>
                <w:i w:val="0"/>
                <w:color w:val="auto"/>
                <w:szCs w:val="21"/>
                <w:highlight w:val="none"/>
                <w:u w:val="none" w:color="auto"/>
                <w:lang w:val="en-US" w:eastAsia="zh-CN"/>
              </w:rPr>
              <w:t>0分，</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7962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741" w:type="dxa"/>
            <w:vMerge w:val="restart"/>
            <w:vAlign w:val="center"/>
          </w:tcPr>
          <w:p w14:paraId="51F1F5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restart"/>
            <w:vAlign w:val="center"/>
          </w:tcPr>
          <w:p w14:paraId="099515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75F57F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21"/>
                <w:highlight w:val="none"/>
                <w:lang w:val="en-US" w:eastAsia="zh-CN"/>
              </w:rPr>
            </w:pPr>
            <w:r>
              <w:rPr>
                <w:rFonts w:hint="eastAsia" w:ascii="宋体" w:hAnsi="宋体" w:eastAsia="宋体" w:cs="宋体"/>
                <w:b w:val="0"/>
                <w:i w:val="0"/>
                <w:color w:val="auto"/>
                <w:highlight w:val="none"/>
                <w:u w:val="none" w:color="auto"/>
              </w:rPr>
              <w:t>总体概述-总平面设</w:t>
            </w:r>
            <w:r>
              <w:rPr>
                <w:rFonts w:hint="eastAsia" w:ascii="宋体" w:hAnsi="宋体" w:cs="宋体"/>
                <w:b w:val="0"/>
                <w:i w:val="0"/>
                <w:color w:val="auto"/>
                <w:highlight w:val="none"/>
                <w:u w:val="none" w:color="auto"/>
                <w:lang w:val="en-US" w:eastAsia="zh-CN"/>
              </w:rPr>
              <w:t>计</w:t>
            </w:r>
          </w:p>
        </w:tc>
        <w:tc>
          <w:tcPr>
            <w:tcW w:w="810" w:type="dxa"/>
            <w:gridSpan w:val="2"/>
            <w:vAlign w:val="center"/>
          </w:tcPr>
          <w:p w14:paraId="56D470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1</w:t>
            </w:r>
          </w:p>
        </w:tc>
        <w:tc>
          <w:tcPr>
            <w:tcW w:w="5270" w:type="dxa"/>
            <w:vAlign w:val="center"/>
          </w:tcPr>
          <w:p w14:paraId="594EEA1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评审维度：1.总体概述描述符合规范，合理、可行；</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有</w:t>
            </w:r>
            <w:r>
              <w:rPr>
                <w:rFonts w:hint="eastAsia" w:ascii="宋体" w:hAnsi="宋体" w:eastAsia="宋体" w:cs="宋体"/>
                <w:b w:val="0"/>
                <w:bCs/>
                <w:i w:val="0"/>
                <w:color w:val="auto"/>
                <w:szCs w:val="21"/>
                <w:highlight w:val="none"/>
                <w:u w:val="none" w:color="auto"/>
              </w:rPr>
              <w:t>总平面设计</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.总平面设计对现状、交通、绿化、竖向、海绵、消防、人防等进行分析。</w:t>
            </w:r>
          </w:p>
          <w:p w14:paraId="456725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w:t>
            </w:r>
            <w:r>
              <w:rPr>
                <w:rFonts w:hint="eastAsia" w:ascii="宋体" w:hAnsi="宋体" w:eastAsia="宋体" w:cs="宋体"/>
                <w:b w:val="0"/>
                <w:bCs/>
                <w:i w:val="0"/>
                <w:color w:val="auto"/>
                <w:szCs w:val="21"/>
                <w:highlight w:val="none"/>
                <w:u w:val="none" w:color="auto"/>
                <w:lang w:eastAsia="zh-CN"/>
              </w:rPr>
              <w:t>1</w:t>
            </w:r>
            <w:r>
              <w:rPr>
                <w:rFonts w:hint="eastAsia" w:ascii="宋体" w:hAnsi="宋体" w:eastAsia="宋体" w:cs="宋体"/>
                <w:b w:val="0"/>
                <w:bCs/>
                <w:i w:val="0"/>
                <w:color w:val="auto"/>
                <w:szCs w:val="21"/>
                <w:highlight w:val="none"/>
                <w:u w:val="none" w:color="auto"/>
              </w:rPr>
              <w:t>.0-</w:t>
            </w:r>
            <w:r>
              <w:rPr>
                <w:rFonts w:hint="eastAsia" w:ascii="宋体" w:hAnsi="宋体" w:eastAsia="宋体" w:cs="宋体"/>
                <w:b w:val="0"/>
                <w:bCs/>
                <w:i w:val="0"/>
                <w:color w:val="auto"/>
                <w:szCs w:val="21"/>
                <w:highlight w:val="none"/>
                <w:u w:val="none" w:color="auto"/>
                <w:lang w:eastAsia="zh-CN"/>
              </w:rPr>
              <w:t>0</w:t>
            </w:r>
            <w:r>
              <w:rPr>
                <w:rFonts w:hint="eastAsia" w:ascii="宋体" w:hAnsi="宋体" w:eastAsia="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rPr>
              <w:t>分，良好得</w:t>
            </w:r>
            <w:r>
              <w:rPr>
                <w:rFonts w:hint="eastAsia" w:ascii="宋体" w:hAnsi="宋体" w:eastAsia="宋体" w:cs="宋体"/>
                <w:b w:val="0"/>
                <w:bCs/>
                <w:i w:val="0"/>
                <w:color w:val="auto"/>
                <w:szCs w:val="21"/>
                <w:highlight w:val="none"/>
                <w:u w:val="none" w:color="auto"/>
                <w:lang w:eastAsia="zh-CN"/>
              </w:rPr>
              <w:t>0</w:t>
            </w:r>
            <w:r>
              <w:rPr>
                <w:rFonts w:hint="eastAsia" w:ascii="宋体" w:hAnsi="宋体" w:eastAsia="宋体" w:cs="宋体"/>
                <w:b w:val="0"/>
                <w:bCs/>
                <w:i w:val="0"/>
                <w:color w:val="auto"/>
                <w:szCs w:val="21"/>
                <w:highlight w:val="none"/>
                <w:u w:val="none" w:color="auto"/>
                <w:lang w:val="en-US" w:eastAsia="zh-CN"/>
              </w:rPr>
              <w:t>.7</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eastAsia="zh-CN"/>
              </w:rPr>
              <w:t>0</w:t>
            </w:r>
            <w:r>
              <w:rPr>
                <w:rFonts w:hint="eastAsia" w:ascii="宋体" w:hAnsi="宋体" w:eastAsia="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分，一般得</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-0.</w:t>
            </w:r>
            <w:r>
              <w:rPr>
                <w:rFonts w:hint="eastAsia" w:ascii="宋体" w:hAnsi="宋体" w:eastAsia="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748E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41" w:type="dxa"/>
            <w:vMerge w:val="continue"/>
            <w:vAlign w:val="center"/>
          </w:tcPr>
          <w:p w14:paraId="34FDE5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i w:val="0"/>
                <w:color w:val="auto"/>
                <w:szCs w:val="21"/>
                <w:highlight w:val="none"/>
                <w:u w:val="none" w:color="auto"/>
              </w:rPr>
            </w:pPr>
          </w:p>
        </w:tc>
        <w:tc>
          <w:tcPr>
            <w:tcW w:w="1059" w:type="dxa"/>
            <w:vMerge w:val="continue"/>
            <w:vAlign w:val="center"/>
          </w:tcPr>
          <w:p w14:paraId="7E0A90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196" w:type="dxa"/>
            <w:vAlign w:val="center"/>
          </w:tcPr>
          <w:p w14:paraId="766A96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i w:val="0"/>
                <w:color w:val="auto"/>
                <w:highlight w:val="none"/>
                <w:u w:val="none" w:color="auto"/>
                <w:lang w:val="en-US" w:eastAsia="zh-CN"/>
              </w:rPr>
            </w:pPr>
            <w:r>
              <w:rPr>
                <w:rFonts w:hint="eastAsia" w:ascii="宋体" w:hAnsi="宋体" w:eastAsia="宋体" w:cs="宋体"/>
                <w:b w:val="0"/>
                <w:i w:val="0"/>
                <w:color w:val="auto"/>
                <w:highlight w:val="none"/>
                <w:u w:val="none" w:color="auto"/>
              </w:rPr>
              <w:t>设计重难点分析</w:t>
            </w:r>
            <w:r>
              <w:rPr>
                <w:rFonts w:hint="eastAsia" w:ascii="宋体" w:hAnsi="宋体" w:cs="宋体"/>
                <w:b w:val="0"/>
                <w:i w:val="0"/>
                <w:color w:val="auto"/>
                <w:highlight w:val="none"/>
                <w:u w:val="none" w:color="auto"/>
                <w:lang w:val="en-US" w:eastAsia="zh-CN"/>
              </w:rPr>
              <w:t>及深化设计</w:t>
            </w:r>
          </w:p>
        </w:tc>
        <w:tc>
          <w:tcPr>
            <w:tcW w:w="810" w:type="dxa"/>
            <w:gridSpan w:val="2"/>
            <w:vAlign w:val="center"/>
          </w:tcPr>
          <w:p w14:paraId="258A17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cs="宋体"/>
                <w:b w:val="0"/>
                <w:bCs/>
                <w:i w:val="0"/>
                <w:color w:val="auto"/>
                <w:szCs w:val="21"/>
                <w:highlight w:val="none"/>
                <w:u w:val="none" w:color="auto"/>
                <w:lang w:val="en-US" w:eastAsia="zh-CN"/>
              </w:rPr>
              <w:t>4</w:t>
            </w:r>
          </w:p>
        </w:tc>
        <w:tc>
          <w:tcPr>
            <w:tcW w:w="5270" w:type="dxa"/>
            <w:vAlign w:val="center"/>
          </w:tcPr>
          <w:tbl>
            <w:tblPr>
              <w:tblStyle w:val="23"/>
              <w:tblW w:w="10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6"/>
            </w:tblGrid>
            <w:tr w14:paraId="0AD1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9" w:hRule="atLeast"/>
                <w:jc w:val="center"/>
              </w:trPr>
              <w:tc>
                <w:tcPr>
                  <w:tcW w:w="5186" w:type="dxa"/>
                  <w:vAlign w:val="center"/>
                </w:tcPr>
                <w:p w14:paraId="25A85E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评审维度：1.结合项目实际情况及使用功能，对项目设计的重点、难点作出准确分析，针对性强，表述全面准确；</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解决方案科学、安全、经济、可操作性强</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结合本项目特点，对基坑工程</w:t>
                  </w:r>
                  <w:r>
                    <w:rPr>
                      <w:rFonts w:hint="eastAsia" w:ascii="宋体" w:hAnsi="宋体" w:cs="宋体"/>
                      <w:b w:val="0"/>
                      <w:bCs/>
                      <w:i w:val="0"/>
                      <w:color w:val="auto"/>
                      <w:szCs w:val="21"/>
                      <w:highlight w:val="none"/>
                      <w:u w:val="none" w:color="auto"/>
                      <w:lang w:val="en-US" w:eastAsia="zh-CN"/>
                    </w:rPr>
                    <w:t>及</w:t>
                  </w:r>
                  <w:r>
                    <w:rPr>
                      <w:rFonts w:hint="eastAsia" w:ascii="宋体" w:hAnsi="宋体" w:eastAsia="宋体" w:cs="宋体"/>
                      <w:b w:val="0"/>
                      <w:bCs/>
                      <w:i w:val="0"/>
                      <w:color w:val="auto"/>
                      <w:szCs w:val="21"/>
                      <w:highlight w:val="none"/>
                      <w:u w:val="none" w:color="auto"/>
                    </w:rPr>
                    <w:t>结构基础工程进行合理的分析和比选</w:t>
                  </w:r>
                  <w:r>
                    <w:rPr>
                      <w:rFonts w:hint="eastAsia" w:ascii="宋体" w:hAnsi="宋体" w:cs="宋体"/>
                      <w:b w:val="0"/>
                      <w:bCs/>
                      <w:i w:val="0"/>
                      <w:color w:val="auto"/>
                      <w:szCs w:val="21"/>
                      <w:highlight w:val="none"/>
                      <w:u w:val="none" w:color="auto"/>
                      <w:lang w:eastAsia="zh-CN"/>
                    </w:rPr>
                    <w:t>。</w:t>
                  </w:r>
                </w:p>
                <w:p w14:paraId="20D513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2.6</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bl>
          <w:p w14:paraId="355084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p>
        </w:tc>
      </w:tr>
      <w:tr w14:paraId="4B7B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41" w:type="dxa"/>
            <w:vMerge w:val="continue"/>
            <w:vAlign w:val="center"/>
          </w:tcPr>
          <w:p w14:paraId="4D1DA6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i w:val="0"/>
                <w:color w:val="auto"/>
                <w:szCs w:val="21"/>
                <w:highlight w:val="none"/>
                <w:u w:val="none" w:color="auto"/>
              </w:rPr>
            </w:pPr>
          </w:p>
        </w:tc>
        <w:tc>
          <w:tcPr>
            <w:tcW w:w="1059" w:type="dxa"/>
            <w:vMerge w:val="continue"/>
            <w:vAlign w:val="center"/>
          </w:tcPr>
          <w:p w14:paraId="13D6A7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196" w:type="dxa"/>
            <w:shd w:val="clear" w:color="auto" w:fill="auto"/>
            <w:vAlign w:val="center"/>
          </w:tcPr>
          <w:p w14:paraId="356F6C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kern w:val="2"/>
                <w:sz w:val="21"/>
                <w:szCs w:val="24"/>
                <w:highlight w:val="none"/>
                <w:u w:val="none" w:color="auto"/>
                <w:lang w:val="en-US" w:eastAsia="zh-CN" w:bidi="ar-SA"/>
              </w:rPr>
            </w:pPr>
            <w:r>
              <w:rPr>
                <w:rFonts w:hint="eastAsia" w:ascii="宋体" w:hAnsi="宋体" w:eastAsia="宋体" w:cs="宋体"/>
                <w:b w:val="0"/>
                <w:i w:val="0"/>
                <w:color w:val="auto"/>
                <w:highlight w:val="none"/>
                <w:u w:val="none" w:color="auto"/>
              </w:rPr>
              <w:t>设计方案</w:t>
            </w:r>
            <w:r>
              <w:rPr>
                <w:rFonts w:hint="eastAsia" w:ascii="宋体" w:hAnsi="宋体" w:cs="宋体"/>
                <w:b w:val="0"/>
                <w:i w:val="0"/>
                <w:color w:val="auto"/>
                <w:highlight w:val="none"/>
                <w:u w:val="none" w:color="auto"/>
                <w:lang w:eastAsia="zh-CN"/>
              </w:rPr>
              <w:t>、</w:t>
            </w:r>
            <w:r>
              <w:rPr>
                <w:rFonts w:hint="eastAsia" w:ascii="宋体" w:hAnsi="宋体" w:eastAsia="宋体" w:cs="宋体"/>
                <w:b w:val="0"/>
                <w:i w:val="0"/>
                <w:color w:val="auto"/>
                <w:highlight w:val="none"/>
                <w:u w:val="none" w:color="auto"/>
              </w:rPr>
              <w:t>专项设计方案</w:t>
            </w:r>
            <w:r>
              <w:rPr>
                <w:rFonts w:hint="eastAsia" w:ascii="宋体" w:hAnsi="宋体" w:cs="宋体"/>
                <w:b w:val="0"/>
                <w:i w:val="0"/>
                <w:color w:val="auto"/>
                <w:highlight w:val="none"/>
                <w:u w:val="none" w:color="auto"/>
                <w:lang w:val="en-US" w:eastAsia="zh-CN"/>
              </w:rPr>
              <w:t>及</w:t>
            </w:r>
            <w:r>
              <w:rPr>
                <w:rFonts w:hint="eastAsia" w:ascii="宋体" w:hAnsi="宋体" w:eastAsia="宋体" w:cs="宋体"/>
                <w:b w:val="0"/>
                <w:i w:val="0"/>
                <w:color w:val="auto"/>
                <w:highlight w:val="none"/>
                <w:u w:val="none" w:color="auto"/>
              </w:rPr>
              <w:t>设计服务大纲</w:t>
            </w:r>
          </w:p>
        </w:tc>
        <w:tc>
          <w:tcPr>
            <w:tcW w:w="810" w:type="dxa"/>
            <w:gridSpan w:val="2"/>
            <w:shd w:val="clear" w:color="auto" w:fill="auto"/>
            <w:vAlign w:val="center"/>
          </w:tcPr>
          <w:p w14:paraId="372387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cs="宋体"/>
                <w:b w:val="0"/>
                <w:bCs/>
                <w:i w:val="0"/>
                <w:color w:val="auto"/>
                <w:szCs w:val="21"/>
                <w:highlight w:val="none"/>
                <w:u w:val="none" w:color="auto"/>
                <w:lang w:val="en-US" w:eastAsia="zh-CN"/>
              </w:rPr>
              <w:t>3</w:t>
            </w:r>
          </w:p>
        </w:tc>
        <w:tc>
          <w:tcPr>
            <w:tcW w:w="5270" w:type="dxa"/>
            <w:shd w:val="clear" w:color="auto" w:fill="auto"/>
            <w:vAlign w:val="center"/>
          </w:tcPr>
          <w:p w14:paraId="6832BD2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评审维度：1</w:t>
            </w:r>
            <w:r>
              <w:rPr>
                <w:rFonts w:hint="eastAsia" w:ascii="宋体" w:hAnsi="宋体" w:cs="宋体"/>
                <w:b w:val="0"/>
                <w:bCs/>
                <w:i w:val="0"/>
                <w:color w:val="auto"/>
                <w:szCs w:val="21"/>
                <w:highlight w:val="none"/>
                <w:u w:val="none" w:color="auto"/>
                <w:lang w:val="en-US" w:eastAsia="zh-CN"/>
              </w:rPr>
              <w:t>.设计方案包含总体布局、建筑造型、空间效果的设计成果及必要的设计方案说明</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2.专项设计方案应包含景观方案、装修方案、智能化方案等相关设计内容；3.</w:t>
            </w:r>
            <w:r>
              <w:rPr>
                <w:rFonts w:hint="eastAsia" w:ascii="宋体" w:hAnsi="宋体" w:eastAsia="宋体" w:cs="宋体"/>
                <w:b w:val="0"/>
                <w:bCs/>
                <w:i w:val="0"/>
                <w:color w:val="auto"/>
                <w:szCs w:val="21"/>
                <w:highlight w:val="none"/>
                <w:u w:val="none" w:color="auto"/>
              </w:rPr>
              <w:t>设计进度、质量、服务保证措施具体，贴合实际，充分全面</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针对性强</w:t>
            </w:r>
            <w:r>
              <w:rPr>
                <w:rFonts w:hint="eastAsia" w:ascii="宋体" w:hAnsi="宋体" w:cs="宋体"/>
                <w:b w:val="0"/>
                <w:bCs/>
                <w:i w:val="0"/>
                <w:color w:val="auto"/>
                <w:szCs w:val="21"/>
                <w:highlight w:val="none"/>
                <w:u w:val="none" w:color="auto"/>
                <w:lang w:eastAsia="zh-CN"/>
              </w:rPr>
              <w:t>。</w:t>
            </w:r>
          </w:p>
          <w:p w14:paraId="5F01E2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3.0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2.1</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2D1F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41" w:type="dxa"/>
            <w:vMerge w:val="continue"/>
            <w:vAlign w:val="center"/>
          </w:tcPr>
          <w:p w14:paraId="363E99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i w:val="0"/>
                <w:color w:val="auto"/>
                <w:szCs w:val="21"/>
                <w:highlight w:val="none"/>
                <w:u w:val="none" w:color="auto"/>
              </w:rPr>
            </w:pPr>
          </w:p>
        </w:tc>
        <w:tc>
          <w:tcPr>
            <w:tcW w:w="1059" w:type="dxa"/>
            <w:vMerge w:val="continue"/>
            <w:vAlign w:val="center"/>
          </w:tcPr>
          <w:p w14:paraId="51E057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196" w:type="dxa"/>
            <w:shd w:val="clear" w:color="auto" w:fill="auto"/>
            <w:vAlign w:val="center"/>
          </w:tcPr>
          <w:p w14:paraId="7A3BAF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highlight w:val="none"/>
                <w:u w:val="none" w:color="auto"/>
              </w:rPr>
            </w:pPr>
          </w:p>
          <w:p w14:paraId="701A6249">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i w:val="0"/>
                <w:color w:val="auto"/>
                <w:kern w:val="2"/>
                <w:sz w:val="21"/>
                <w:szCs w:val="24"/>
                <w:highlight w:val="none"/>
                <w:u w:val="none" w:color="auto"/>
                <w:lang w:val="en-US" w:eastAsia="zh-CN" w:bidi="ar-SA"/>
              </w:rPr>
              <w:t>关键施工技术、工艺及施工重点、难点分析及解决方案</w:t>
            </w:r>
          </w:p>
        </w:tc>
        <w:tc>
          <w:tcPr>
            <w:tcW w:w="810" w:type="dxa"/>
            <w:gridSpan w:val="2"/>
            <w:shd w:val="clear" w:color="auto" w:fill="auto"/>
            <w:vAlign w:val="center"/>
          </w:tcPr>
          <w:p w14:paraId="04EA05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cs="宋体"/>
                <w:b w:val="0"/>
                <w:bCs/>
                <w:i w:val="0"/>
                <w:color w:val="auto"/>
                <w:szCs w:val="21"/>
                <w:highlight w:val="none"/>
                <w:u w:val="none" w:color="auto"/>
                <w:lang w:val="en-US" w:eastAsia="zh-CN"/>
              </w:rPr>
              <w:t>2</w:t>
            </w:r>
          </w:p>
        </w:tc>
        <w:tc>
          <w:tcPr>
            <w:tcW w:w="5270" w:type="dxa"/>
            <w:shd w:val="clear" w:color="auto" w:fill="auto"/>
            <w:vAlign w:val="center"/>
          </w:tcPr>
          <w:p w14:paraId="7083EBF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对工程重点、难点认识深刻、表述全面准确</w:t>
            </w: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解决方案科学、系统、安全、经济，可操作性强，保障措施得力</w:t>
            </w: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对施工关键技术、工艺把握准确，应用到位，阐释清晰</w:t>
            </w:r>
          </w:p>
          <w:p w14:paraId="412B53B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2.0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1.6</w:t>
            </w:r>
            <w:r>
              <w:rPr>
                <w:rFonts w:hint="eastAsia" w:ascii="宋体" w:hAnsi="宋体" w:eastAsia="宋体" w:cs="宋体"/>
                <w:b w:val="0"/>
                <w:bCs/>
                <w:i w:val="0"/>
                <w:color w:val="auto"/>
                <w:szCs w:val="21"/>
                <w:highlight w:val="none"/>
                <w:u w:val="none" w:color="auto"/>
              </w:rPr>
              <w:t>分，良好得1.</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417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41" w:type="dxa"/>
            <w:vMerge w:val="continue"/>
            <w:vAlign w:val="center"/>
          </w:tcPr>
          <w:p w14:paraId="47C321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i w:val="0"/>
                <w:color w:val="auto"/>
                <w:szCs w:val="21"/>
                <w:highlight w:val="none"/>
                <w:u w:val="none" w:color="auto"/>
              </w:rPr>
            </w:pPr>
          </w:p>
        </w:tc>
        <w:tc>
          <w:tcPr>
            <w:tcW w:w="1059" w:type="dxa"/>
            <w:vMerge w:val="continue"/>
            <w:vAlign w:val="center"/>
          </w:tcPr>
          <w:p w14:paraId="756402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196" w:type="dxa"/>
            <w:vAlign w:val="center"/>
          </w:tcPr>
          <w:p w14:paraId="56ED8015">
            <w:pPr>
              <w:pStyle w:val="49"/>
              <w:snapToGrid w:val="0"/>
              <w:spacing w:line="240" w:lineRule="atLeast"/>
              <w:jc w:val="center"/>
              <w:rPr>
                <w:rFonts w:hint="eastAsia" w:ascii="宋体" w:hAnsi="宋体" w:eastAsia="宋体" w:cs="宋体"/>
                <w:b w:val="0"/>
                <w:i w:val="0"/>
                <w:color w:val="auto"/>
                <w:highlight w:val="none"/>
                <w:u w:val="none" w:color="auto"/>
              </w:rPr>
            </w:pPr>
            <w:r>
              <w:rPr>
                <w:rFonts w:hint="eastAsia" w:ascii="宋体" w:hAnsi="宋体" w:eastAsia="宋体" w:cs="宋体"/>
                <w:b w:val="0"/>
                <w:i w:val="0"/>
                <w:color w:val="auto"/>
                <w:kern w:val="2"/>
                <w:sz w:val="21"/>
                <w:szCs w:val="24"/>
                <w:highlight w:val="none"/>
                <w:u w:val="none" w:color="auto"/>
                <w:lang w:val="en-US" w:eastAsia="zh-CN" w:bidi="ar-SA"/>
              </w:rPr>
              <w:t>施工进度计划和各阶段进度保证措施</w:t>
            </w:r>
            <w:r>
              <w:rPr>
                <w:rFonts w:hint="eastAsia" w:cs="宋体"/>
                <w:b w:val="0"/>
                <w:i w:val="0"/>
                <w:color w:val="auto"/>
                <w:kern w:val="2"/>
                <w:sz w:val="21"/>
                <w:szCs w:val="24"/>
                <w:highlight w:val="none"/>
                <w:u w:val="none" w:color="auto"/>
                <w:lang w:val="en-US" w:eastAsia="zh-CN" w:bidi="ar-SA"/>
              </w:rPr>
              <w:t>、</w:t>
            </w:r>
            <w:r>
              <w:rPr>
                <w:rFonts w:hint="eastAsia" w:ascii="宋体" w:hAnsi="宋体" w:eastAsia="宋体" w:cs="宋体"/>
                <w:b w:val="0"/>
                <w:i w:val="0"/>
                <w:color w:val="auto"/>
                <w:kern w:val="2"/>
                <w:sz w:val="21"/>
                <w:szCs w:val="24"/>
                <w:highlight w:val="none"/>
                <w:u w:val="none" w:color="auto"/>
                <w:lang w:val="en-US" w:eastAsia="zh-CN" w:bidi="ar-SA"/>
              </w:rPr>
              <w:t>工程质量保证措施</w:t>
            </w:r>
            <w:r>
              <w:rPr>
                <w:rFonts w:hint="eastAsia" w:cs="宋体"/>
                <w:b w:val="0"/>
                <w:i w:val="0"/>
                <w:color w:val="auto"/>
                <w:kern w:val="2"/>
                <w:sz w:val="21"/>
                <w:szCs w:val="24"/>
                <w:highlight w:val="none"/>
                <w:u w:val="none" w:color="auto"/>
                <w:lang w:val="en-US" w:eastAsia="zh-CN" w:bidi="ar-SA"/>
              </w:rPr>
              <w:t>及</w:t>
            </w:r>
            <w:r>
              <w:rPr>
                <w:rFonts w:hint="eastAsia" w:ascii="宋体" w:hAnsi="宋体" w:eastAsia="宋体" w:cs="宋体"/>
                <w:b w:val="0"/>
                <w:i w:val="0"/>
                <w:color w:val="auto"/>
                <w:kern w:val="2"/>
                <w:sz w:val="21"/>
                <w:szCs w:val="24"/>
                <w:highlight w:val="none"/>
                <w:u w:val="none" w:color="auto"/>
                <w:lang w:val="en-US" w:eastAsia="zh-CN" w:bidi="ar-SA"/>
              </w:rPr>
              <w:t>安全文明施工保证措施</w:t>
            </w:r>
          </w:p>
        </w:tc>
        <w:tc>
          <w:tcPr>
            <w:tcW w:w="810" w:type="dxa"/>
            <w:gridSpan w:val="2"/>
            <w:vAlign w:val="center"/>
          </w:tcPr>
          <w:p w14:paraId="04BA6D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cs="宋体"/>
                <w:b w:val="0"/>
                <w:bCs/>
                <w:i w:val="0"/>
                <w:color w:val="auto"/>
                <w:szCs w:val="21"/>
                <w:highlight w:val="none"/>
                <w:u w:val="none" w:color="auto"/>
                <w:lang w:val="en-US" w:eastAsia="zh-CN"/>
              </w:rPr>
              <w:t>5</w:t>
            </w:r>
          </w:p>
        </w:tc>
        <w:tc>
          <w:tcPr>
            <w:tcW w:w="5270" w:type="dxa"/>
            <w:vAlign w:val="center"/>
          </w:tcPr>
          <w:p w14:paraId="4C6FA8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施工进度计划编制合理、可行，关键线路清晰、准确、完整</w:t>
            </w: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关键节点控制措施得力、可操作性强，保证措施可靠</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工程质量保证计划全面细致、结合实际、措施具体，可行性高，满足招标文件要求</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安全文明施工保证</w:t>
            </w:r>
            <w:r>
              <w:rPr>
                <w:rFonts w:hint="eastAsia" w:ascii="宋体" w:hAnsi="宋体" w:cs="宋体"/>
                <w:b w:val="0"/>
                <w:bCs/>
                <w:i w:val="0"/>
                <w:color w:val="auto"/>
                <w:szCs w:val="21"/>
                <w:highlight w:val="none"/>
                <w:u w:val="none" w:color="auto"/>
                <w:lang w:val="en-US" w:eastAsia="zh-CN"/>
              </w:rPr>
              <w:t>计划</w:t>
            </w:r>
            <w:r>
              <w:rPr>
                <w:rFonts w:hint="eastAsia" w:ascii="宋体" w:hAnsi="宋体" w:eastAsia="宋体" w:cs="宋体"/>
                <w:b w:val="0"/>
                <w:bCs/>
                <w:i w:val="0"/>
                <w:color w:val="auto"/>
                <w:szCs w:val="21"/>
                <w:highlight w:val="none"/>
                <w:u w:val="none" w:color="auto"/>
              </w:rPr>
              <w:t>全面</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周到、完整，关键地点、工序、环节控制保障措施得力</w:t>
            </w:r>
            <w:r>
              <w:rPr>
                <w:rFonts w:hint="eastAsia" w:ascii="宋体" w:hAnsi="宋体" w:cs="宋体"/>
                <w:b w:val="0"/>
                <w:bCs/>
                <w:i w:val="0"/>
                <w:color w:val="auto"/>
                <w:szCs w:val="21"/>
                <w:highlight w:val="none"/>
                <w:u w:val="none" w:color="auto"/>
                <w:lang w:eastAsia="zh-CN"/>
              </w:rPr>
              <w:t>。</w:t>
            </w:r>
          </w:p>
          <w:p w14:paraId="6A9392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5.0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3.6</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2.0</w:t>
            </w:r>
            <w:r>
              <w:rPr>
                <w:rFonts w:hint="eastAsia" w:ascii="宋体" w:hAnsi="宋体" w:eastAsia="宋体" w:cs="宋体"/>
                <w:b w:val="0"/>
                <w:bCs/>
                <w:i w:val="0"/>
                <w:color w:val="auto"/>
                <w:szCs w:val="21"/>
                <w:highlight w:val="none"/>
                <w:u w:val="none" w:color="auto"/>
              </w:rPr>
              <w:t>分，一般得</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.9-0.5分，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1B9D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41" w:type="dxa"/>
            <w:vMerge w:val="continue"/>
            <w:vAlign w:val="center"/>
          </w:tcPr>
          <w:p w14:paraId="3CE1B2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i w:val="0"/>
                <w:color w:val="auto"/>
                <w:szCs w:val="21"/>
                <w:highlight w:val="none"/>
                <w:u w:val="none" w:color="auto"/>
              </w:rPr>
            </w:pPr>
          </w:p>
        </w:tc>
        <w:tc>
          <w:tcPr>
            <w:tcW w:w="1059" w:type="dxa"/>
            <w:vMerge w:val="continue"/>
            <w:vAlign w:val="center"/>
          </w:tcPr>
          <w:p w14:paraId="5AA003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196" w:type="dxa"/>
            <w:shd w:val="clear" w:color="auto" w:fill="auto"/>
            <w:vAlign w:val="center"/>
          </w:tcPr>
          <w:p w14:paraId="314B40AD">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i w:val="0"/>
                <w:color w:val="auto"/>
                <w:kern w:val="2"/>
                <w:sz w:val="21"/>
                <w:szCs w:val="24"/>
                <w:highlight w:val="none"/>
                <w:u w:val="none" w:color="auto"/>
                <w:lang w:val="en-US" w:eastAsia="zh-CN" w:bidi="ar-SA"/>
              </w:rPr>
              <w:t>劳动力投入计划、机械、办公、检测设备投入及保证措施</w:t>
            </w:r>
            <w:r>
              <w:rPr>
                <w:rFonts w:hint="eastAsia" w:ascii="宋体" w:hAnsi="宋体" w:cs="宋体"/>
                <w:b w:val="0"/>
                <w:i w:val="0"/>
                <w:color w:val="auto"/>
                <w:kern w:val="2"/>
                <w:sz w:val="21"/>
                <w:szCs w:val="24"/>
                <w:highlight w:val="none"/>
                <w:u w:val="none" w:color="auto"/>
                <w:lang w:val="en-US" w:eastAsia="zh-CN" w:bidi="ar-SA"/>
              </w:rPr>
              <w:t>、</w:t>
            </w:r>
            <w:r>
              <w:rPr>
                <w:rFonts w:hint="eastAsia" w:ascii="宋体" w:hAnsi="宋体" w:eastAsia="宋体" w:cs="宋体"/>
                <w:b w:val="0"/>
                <w:i w:val="0"/>
                <w:color w:val="auto"/>
                <w:kern w:val="2"/>
                <w:sz w:val="21"/>
                <w:szCs w:val="24"/>
                <w:highlight w:val="none"/>
                <w:u w:val="none" w:color="auto"/>
                <w:lang w:val="en-US" w:eastAsia="zh-CN" w:bidi="ar-SA"/>
              </w:rPr>
              <w:t>技术创新、绿色节能</w:t>
            </w:r>
          </w:p>
        </w:tc>
        <w:tc>
          <w:tcPr>
            <w:tcW w:w="810" w:type="dxa"/>
            <w:gridSpan w:val="2"/>
            <w:shd w:val="clear" w:color="auto" w:fill="auto"/>
            <w:vAlign w:val="center"/>
          </w:tcPr>
          <w:p w14:paraId="22E5E7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i w:val="0"/>
                <w:color w:val="auto"/>
                <w:kern w:val="2"/>
                <w:sz w:val="21"/>
                <w:szCs w:val="21"/>
                <w:highlight w:val="none"/>
                <w:u w:val="none" w:color="auto"/>
                <w:lang w:val="en-US" w:eastAsia="zh-CN" w:bidi="ar-SA"/>
              </w:rPr>
            </w:pPr>
            <w:r>
              <w:rPr>
                <w:rFonts w:hint="eastAsia" w:ascii="宋体" w:hAnsi="宋体" w:cs="宋体"/>
                <w:b w:val="0"/>
                <w:bCs/>
                <w:i w:val="0"/>
                <w:color w:val="auto"/>
                <w:szCs w:val="21"/>
                <w:highlight w:val="none"/>
                <w:u w:val="none" w:color="auto"/>
                <w:lang w:val="en-US" w:eastAsia="zh-CN"/>
              </w:rPr>
              <w:t>3</w:t>
            </w:r>
          </w:p>
        </w:tc>
        <w:tc>
          <w:tcPr>
            <w:tcW w:w="5270" w:type="dxa"/>
            <w:shd w:val="clear" w:color="auto" w:fill="auto"/>
            <w:vAlign w:val="center"/>
          </w:tcPr>
          <w:p w14:paraId="793BE3F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劳动力投入计划、机械、办公、检测设备投入及保证措施</w:t>
            </w: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投入计划与进度计划协调，调配计划合理，保证措施具体</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在本项目施工中运用新技术较多，并且绿色节能的保证措施科学、合理，可操作性高。</w:t>
            </w:r>
          </w:p>
          <w:p w14:paraId="576C8FA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3.0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2.1</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2.0</w:t>
            </w:r>
            <w:r>
              <w:rPr>
                <w:rFonts w:hint="eastAsia" w:ascii="宋体" w:hAnsi="宋体" w:eastAsia="宋体" w:cs="宋体"/>
                <w:b w:val="0"/>
                <w:bCs/>
                <w:i w:val="0"/>
                <w:color w:val="auto"/>
                <w:szCs w:val="21"/>
                <w:highlight w:val="none"/>
                <w:u w:val="none" w:color="auto"/>
              </w:rPr>
              <w:t>-1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w:t>
            </w:r>
            <w:r>
              <w:rPr>
                <w:rFonts w:hint="eastAsia" w:ascii="宋体" w:hAnsi="宋体" w:cs="宋体"/>
                <w:b w:val="0"/>
                <w:bCs/>
                <w:i w:val="0"/>
                <w:color w:val="auto"/>
                <w:szCs w:val="21"/>
                <w:highlight w:val="none"/>
                <w:u w:val="none" w:color="auto"/>
                <w:lang w:val="en-US" w:eastAsia="zh-CN"/>
              </w:rPr>
              <w:t>较差得</w:t>
            </w:r>
            <w:r>
              <w:rPr>
                <w:rFonts w:hint="eastAsia" w:ascii="宋体" w:hAnsi="宋体" w:eastAsia="宋体" w:cs="宋体"/>
                <w:b w:val="0"/>
                <w:bCs/>
                <w:i w:val="0"/>
                <w:color w:val="auto"/>
                <w:szCs w:val="21"/>
                <w:highlight w:val="none"/>
                <w:u w:val="none" w:color="auto"/>
              </w:rPr>
              <w:t>0.</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lang w:val="en-US" w:eastAsia="zh-CN"/>
              </w:rPr>
              <w:t>0.1</w:t>
            </w:r>
            <w:r>
              <w:rPr>
                <w:rFonts w:hint="eastAsia" w:ascii="宋体" w:hAnsi="宋体" w:eastAsia="宋体" w:cs="宋体"/>
                <w:b w:val="0"/>
                <w:bCs/>
                <w:i w:val="0"/>
                <w:color w:val="auto"/>
                <w:szCs w:val="21"/>
                <w:highlight w:val="none"/>
                <w:u w:val="none" w:color="auto"/>
              </w:rPr>
              <w:t>分。如投标人未提供本项内容，则本项评标得分为0分</w:t>
            </w:r>
            <w:r>
              <w:rPr>
                <w:rFonts w:hint="eastAsia" w:ascii="宋体" w:hAnsi="宋体" w:cs="宋体"/>
                <w:b w:val="0"/>
                <w:bCs/>
                <w:i w:val="0"/>
                <w:color w:val="auto"/>
                <w:szCs w:val="21"/>
                <w:highlight w:val="none"/>
                <w:u w:val="none" w:color="auto"/>
                <w:lang w:val="en-US" w:eastAsia="zh-CN"/>
              </w:rPr>
              <w:t>，</w:t>
            </w:r>
            <w:r>
              <w:rPr>
                <w:rFonts w:hint="eastAsia" w:ascii="宋体" w:hAnsi="宋体" w:eastAsia="宋体" w:cs="宋体"/>
                <w:b w:val="0"/>
                <w:bCs/>
                <w:i w:val="0"/>
                <w:color w:val="auto"/>
                <w:szCs w:val="21"/>
                <w:highlight w:val="none"/>
                <w:u w:val="none" w:color="auto"/>
              </w:rPr>
              <w:t>得分范围</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t>。</w:t>
            </w:r>
          </w:p>
        </w:tc>
      </w:tr>
      <w:tr w14:paraId="6558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741" w:type="dxa"/>
            <w:vMerge w:val="restart"/>
            <w:vAlign w:val="center"/>
          </w:tcPr>
          <w:p w14:paraId="57D6B0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restart"/>
            <w:vAlign w:val="center"/>
          </w:tcPr>
          <w:p w14:paraId="2C59D6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63C732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highlight w:val="none"/>
                <w:u w:val="none" w:color="auto"/>
                <w:lang w:val="en-US" w:eastAsia="zh-CN"/>
              </w:rPr>
            </w:pPr>
            <w:r>
              <w:rPr>
                <w:rFonts w:hint="eastAsia" w:ascii="宋体" w:hAnsi="宋体" w:eastAsia="宋体" w:cs="宋体"/>
                <w:b w:val="0"/>
                <w:i w:val="0"/>
                <w:color w:val="auto"/>
                <w:highlight w:val="none"/>
                <w:u w:val="none" w:color="auto"/>
                <w:lang w:val="en-US" w:eastAsia="zh-CN"/>
              </w:rPr>
              <w:t>企业业绩（设计）</w:t>
            </w:r>
          </w:p>
        </w:tc>
        <w:tc>
          <w:tcPr>
            <w:tcW w:w="810" w:type="dxa"/>
            <w:gridSpan w:val="2"/>
            <w:vAlign w:val="center"/>
          </w:tcPr>
          <w:p w14:paraId="652D49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44"/>
                <w:highlight w:val="none"/>
                <w:lang w:val="en-US"/>
              </w:rPr>
            </w:pPr>
            <w:r>
              <w:rPr>
                <w:rFonts w:hint="eastAsia" w:ascii="宋体" w:hAnsi="宋体" w:cs="宋体"/>
                <w:b w:val="0"/>
                <w:bCs/>
                <w:i w:val="0"/>
                <w:color w:val="auto"/>
                <w:szCs w:val="21"/>
                <w:highlight w:val="none"/>
                <w:u w:val="none" w:color="auto"/>
                <w:lang w:val="en-US" w:eastAsia="zh-CN"/>
              </w:rPr>
              <w:t>0.25</w:t>
            </w:r>
          </w:p>
        </w:tc>
        <w:tc>
          <w:tcPr>
            <w:tcW w:w="5270" w:type="dxa"/>
            <w:vAlign w:val="center"/>
          </w:tcPr>
          <w:p w14:paraId="04B97D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业绩类别及专业：【</w:t>
            </w:r>
            <w:r>
              <w:rPr>
                <w:rFonts w:hint="eastAsia" w:ascii="宋体" w:hAnsi="宋体" w:eastAsia="宋体" w:cs="宋体"/>
                <w:b w:val="0"/>
                <w:bCs/>
                <w:i w:val="0"/>
                <w:color w:val="auto"/>
                <w:szCs w:val="21"/>
                <w:highlight w:val="none"/>
                <w:u w:val="none" w:color="auto"/>
                <w:lang w:val="en-US" w:eastAsia="zh-CN"/>
              </w:rPr>
              <w:t>设计</w:t>
            </w:r>
            <w:r>
              <w:rPr>
                <w:rFonts w:hint="eastAsia" w:ascii="宋体" w:hAnsi="宋体" w:eastAsia="宋体" w:cs="宋体"/>
                <w:b w:val="0"/>
                <w:bCs/>
                <w:i w:val="0"/>
                <w:color w:val="auto"/>
                <w:szCs w:val="21"/>
                <w:highlight w:val="none"/>
                <w:u w:val="none" w:color="auto"/>
              </w:rPr>
              <w:t>类-</w:t>
            </w:r>
            <w:r>
              <w:rPr>
                <w:rFonts w:hint="eastAsia" w:ascii="宋体" w:hAnsi="宋体" w:cs="宋体"/>
                <w:b w:val="0"/>
                <w:bCs/>
                <w:i w:val="0"/>
                <w:color w:val="auto"/>
                <w:szCs w:val="21"/>
                <w:highlight w:val="none"/>
                <w:u w:val="none" w:color="auto"/>
                <w:lang w:val="en-US" w:eastAsia="zh-CN"/>
              </w:rPr>
              <w:t>建筑</w:t>
            </w:r>
            <w:r>
              <w:rPr>
                <w:rFonts w:hint="eastAsia" w:ascii="宋体" w:hAnsi="宋体" w:eastAsia="宋体" w:cs="宋体"/>
                <w:b w:val="0"/>
                <w:bCs/>
                <w:i w:val="0"/>
                <w:color w:val="auto"/>
                <w:szCs w:val="21"/>
                <w:highlight w:val="none"/>
                <w:u w:val="none" w:color="auto"/>
              </w:rPr>
              <w:t>工程】或【EPC工程总承包类-</w:t>
            </w:r>
            <w:r>
              <w:rPr>
                <w:rFonts w:hint="eastAsia" w:ascii="宋体" w:hAnsi="宋体" w:cs="宋体"/>
                <w:b w:val="0"/>
                <w:bCs/>
                <w:i w:val="0"/>
                <w:color w:val="auto"/>
                <w:szCs w:val="21"/>
                <w:highlight w:val="none"/>
                <w:u w:val="none" w:color="auto"/>
                <w:lang w:val="en-US" w:eastAsia="zh-CN"/>
              </w:rPr>
              <w:t>建筑</w:t>
            </w:r>
            <w:r>
              <w:rPr>
                <w:rFonts w:hint="eastAsia" w:ascii="宋体" w:hAnsi="宋体" w:eastAsia="宋体" w:cs="宋体"/>
                <w:b w:val="0"/>
                <w:bCs/>
                <w:i w:val="0"/>
                <w:color w:val="auto"/>
                <w:szCs w:val="21"/>
                <w:highlight w:val="none"/>
                <w:u w:val="none" w:color="auto"/>
              </w:rPr>
              <w:t>工程】（新建工程）</w:t>
            </w:r>
          </w:p>
          <w:p w14:paraId="7534E4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年份：202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年1月1日至投标截止</w:t>
            </w:r>
            <w:r>
              <w:rPr>
                <w:rFonts w:hint="eastAsia" w:ascii="宋体" w:hAnsi="宋体" w:cs="宋体"/>
                <w:b w:val="0"/>
                <w:bCs/>
                <w:i w:val="0"/>
                <w:color w:val="auto"/>
                <w:szCs w:val="21"/>
                <w:highlight w:val="none"/>
                <w:u w:val="none" w:color="auto"/>
                <w:lang w:eastAsia="zh-CN"/>
              </w:rPr>
              <w:t>日</w:t>
            </w:r>
          </w:p>
          <w:p w14:paraId="479CD7D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金额：</w:t>
            </w:r>
            <w:r>
              <w:rPr>
                <w:rFonts w:hint="eastAsia" w:ascii="宋体" w:hAnsi="宋体" w:cs="宋体"/>
                <w:b w:val="0"/>
                <w:bCs/>
                <w:i w:val="0"/>
                <w:color w:val="auto"/>
                <w:szCs w:val="21"/>
                <w:highlight w:val="none"/>
                <w:u w:val="none" w:color="auto"/>
                <w:lang w:val="en-US" w:eastAsia="zh-CN"/>
              </w:rPr>
              <w:t>10</w:t>
            </w:r>
            <w:r>
              <w:rPr>
                <w:rFonts w:hint="eastAsia" w:ascii="宋体" w:hAnsi="宋体" w:eastAsia="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万元（含）以上</w:t>
            </w:r>
          </w:p>
          <w:p w14:paraId="32ED40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0.25</w:t>
            </w:r>
            <w:r>
              <w:rPr>
                <w:rFonts w:hint="eastAsia" w:ascii="宋体" w:hAnsi="宋体" w:eastAsia="宋体" w:cs="宋体"/>
                <w:b w:val="0"/>
                <w:bCs/>
                <w:i w:val="0"/>
                <w:color w:val="auto"/>
                <w:szCs w:val="21"/>
                <w:highlight w:val="none"/>
                <w:u w:val="none" w:color="auto"/>
              </w:rPr>
              <w:t>分/个，满分：</w:t>
            </w:r>
            <w:r>
              <w:rPr>
                <w:rFonts w:hint="eastAsia" w:ascii="宋体" w:hAnsi="宋体" w:cs="宋体"/>
                <w:b w:val="0"/>
                <w:bCs/>
                <w:i w:val="0"/>
                <w:color w:val="auto"/>
                <w:szCs w:val="21"/>
                <w:highlight w:val="none"/>
                <w:u w:val="none" w:color="auto"/>
                <w:lang w:val="en-US" w:eastAsia="zh-CN"/>
              </w:rPr>
              <w:t>0.25</w:t>
            </w:r>
            <w:r>
              <w:rPr>
                <w:rFonts w:hint="eastAsia" w:ascii="宋体" w:hAnsi="宋体" w:eastAsia="宋体" w:cs="宋体"/>
                <w:b w:val="0"/>
                <w:bCs/>
                <w:i w:val="0"/>
                <w:color w:val="auto"/>
                <w:szCs w:val="21"/>
                <w:highlight w:val="none"/>
                <w:u w:val="none" w:color="auto"/>
              </w:rPr>
              <w:t>分。</w:t>
            </w:r>
          </w:p>
          <w:p w14:paraId="0E9A37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注：业绩以住建领域主体信息库</w:t>
            </w:r>
            <w:r>
              <w:rPr>
                <w:rFonts w:hint="eastAsia" w:ascii="宋体" w:hAnsi="宋体" w:eastAsia="宋体" w:cs="宋体"/>
                <w:b w:val="0"/>
                <w:bCs/>
                <w:i w:val="0"/>
                <w:color w:val="auto"/>
                <w:szCs w:val="21"/>
                <w:highlight w:val="none"/>
                <w:u w:val="none" w:color="auto"/>
              </w:rPr>
              <w:t>A类+B类入库信息为准</w:t>
            </w:r>
            <w:r>
              <w:rPr>
                <w:rFonts w:hint="eastAsia" w:ascii="宋体" w:hAnsi="宋体" w:eastAsia="宋体" w:cs="宋体"/>
                <w:b w:val="0"/>
                <w:bCs/>
                <w:i w:val="0"/>
                <w:color w:val="auto"/>
                <w:szCs w:val="21"/>
                <w:highlight w:val="none"/>
                <w:u w:val="none" w:color="auto"/>
              </w:rPr>
              <w:t>，</w:t>
            </w:r>
            <w:bookmarkStart w:id="578" w:name="OLE_LINK36"/>
            <w:r>
              <w:rPr>
                <w:rFonts w:hint="eastAsia" w:ascii="宋体" w:hAnsi="宋体" w:eastAsia="宋体" w:cs="宋体"/>
                <w:b w:val="0"/>
                <w:bCs/>
                <w:i w:val="0"/>
                <w:color w:val="auto"/>
                <w:szCs w:val="21"/>
                <w:highlight w:val="none"/>
                <w:u w:val="none" w:color="auto"/>
              </w:rPr>
              <w:t>时间以</w:t>
            </w:r>
            <w:r>
              <w:rPr>
                <w:rFonts w:hint="eastAsia" w:ascii="宋体" w:hAnsi="宋体" w:cs="宋体"/>
                <w:b w:val="0"/>
                <w:bCs/>
                <w:i w:val="0"/>
                <w:color w:val="auto"/>
                <w:szCs w:val="21"/>
                <w:highlight w:val="none"/>
                <w:u w:val="none" w:color="auto"/>
                <w:lang w:val="en-US" w:eastAsia="zh-CN"/>
              </w:rPr>
              <w:t>竣工验收</w:t>
            </w:r>
            <w:r>
              <w:rPr>
                <w:rFonts w:hint="eastAsia" w:ascii="宋体" w:hAnsi="宋体" w:eastAsia="宋体" w:cs="宋体"/>
                <w:b w:val="0"/>
                <w:bCs/>
                <w:i w:val="0"/>
                <w:color w:val="auto"/>
                <w:szCs w:val="21"/>
                <w:highlight w:val="none"/>
                <w:u w:val="none" w:color="auto"/>
              </w:rPr>
              <w:t>时间为准</w:t>
            </w:r>
            <w:bookmarkEnd w:id="578"/>
            <w:r>
              <w:rPr>
                <w:rFonts w:hint="eastAsia" w:ascii="宋体" w:hAnsi="宋体" w:eastAsia="宋体" w:cs="宋体"/>
                <w:b w:val="0"/>
                <w:bCs/>
                <w:i w:val="0"/>
                <w:color w:val="auto"/>
                <w:szCs w:val="21"/>
                <w:highlight w:val="none"/>
                <w:u w:val="none" w:color="auto"/>
              </w:rPr>
              <w:t>。如组成联合体投标，联合体成员任意一方满足评分标准予以得分。</w:t>
            </w:r>
          </w:p>
        </w:tc>
      </w:tr>
      <w:tr w14:paraId="5BBA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741" w:type="dxa"/>
            <w:vMerge w:val="continue"/>
            <w:vAlign w:val="center"/>
          </w:tcPr>
          <w:p w14:paraId="26251C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0BC88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22B143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highlight w:val="none"/>
                <w:u w:val="none" w:color="auto"/>
                <w:lang w:val="en-US" w:eastAsia="zh-CN"/>
              </w:rPr>
            </w:pPr>
            <w:r>
              <w:rPr>
                <w:rFonts w:hint="eastAsia" w:ascii="宋体" w:hAnsi="宋体" w:eastAsia="宋体" w:cs="宋体"/>
                <w:b w:val="0"/>
                <w:i w:val="0"/>
                <w:color w:val="auto"/>
                <w:highlight w:val="none"/>
                <w:u w:val="none" w:color="auto"/>
                <w:lang w:val="en-US" w:eastAsia="zh-CN"/>
              </w:rPr>
              <w:t>企业业绩（施工）</w:t>
            </w:r>
          </w:p>
        </w:tc>
        <w:tc>
          <w:tcPr>
            <w:tcW w:w="810" w:type="dxa"/>
            <w:gridSpan w:val="2"/>
            <w:vAlign w:val="center"/>
          </w:tcPr>
          <w:p w14:paraId="4D0D89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0.25</w:t>
            </w:r>
          </w:p>
        </w:tc>
        <w:tc>
          <w:tcPr>
            <w:tcW w:w="5270" w:type="dxa"/>
            <w:vAlign w:val="center"/>
          </w:tcPr>
          <w:p w14:paraId="18FF0E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业绩类别及专业：【施工类-</w:t>
            </w:r>
            <w:bookmarkStart w:id="579" w:name="OLE_LINK12"/>
            <w:bookmarkStart w:id="580" w:name="OLE_LINK14"/>
            <w:r>
              <w:rPr>
                <w:rFonts w:hint="eastAsia" w:ascii="宋体" w:hAnsi="宋体" w:cs="宋体"/>
                <w:b w:val="0"/>
                <w:bCs/>
                <w:i w:val="0"/>
                <w:color w:val="auto"/>
                <w:szCs w:val="21"/>
                <w:highlight w:val="none"/>
                <w:u w:val="none" w:color="auto"/>
                <w:lang w:val="en-US" w:eastAsia="zh-CN"/>
              </w:rPr>
              <w:t>建筑</w:t>
            </w:r>
            <w:r>
              <w:rPr>
                <w:rFonts w:hint="eastAsia" w:ascii="宋体" w:hAnsi="宋体" w:eastAsia="宋体" w:cs="宋体"/>
                <w:b w:val="0"/>
                <w:bCs/>
                <w:i w:val="0"/>
                <w:color w:val="auto"/>
                <w:szCs w:val="21"/>
                <w:highlight w:val="none"/>
                <w:u w:val="none" w:color="auto"/>
              </w:rPr>
              <w:t>工程</w:t>
            </w:r>
            <w:bookmarkEnd w:id="579"/>
            <w:bookmarkEnd w:id="580"/>
            <w:r>
              <w:rPr>
                <w:rFonts w:hint="eastAsia" w:ascii="宋体" w:hAnsi="宋体" w:eastAsia="宋体" w:cs="宋体"/>
                <w:b w:val="0"/>
                <w:bCs/>
                <w:i w:val="0"/>
                <w:color w:val="auto"/>
                <w:szCs w:val="21"/>
                <w:highlight w:val="none"/>
                <w:u w:val="none" w:color="auto"/>
              </w:rPr>
              <w:t>】或【EPC工程总承包类-</w:t>
            </w:r>
            <w:r>
              <w:rPr>
                <w:rFonts w:hint="eastAsia" w:ascii="宋体" w:hAnsi="宋体" w:cs="宋体"/>
                <w:b w:val="0"/>
                <w:bCs/>
                <w:i w:val="0"/>
                <w:color w:val="auto"/>
                <w:szCs w:val="21"/>
                <w:highlight w:val="none"/>
                <w:u w:val="none" w:color="auto"/>
                <w:lang w:val="en-US" w:eastAsia="zh-CN"/>
              </w:rPr>
              <w:t>建筑</w:t>
            </w:r>
            <w:r>
              <w:rPr>
                <w:rFonts w:hint="eastAsia" w:ascii="宋体" w:hAnsi="宋体" w:eastAsia="宋体" w:cs="宋体"/>
                <w:b w:val="0"/>
                <w:bCs/>
                <w:i w:val="0"/>
                <w:color w:val="auto"/>
                <w:szCs w:val="21"/>
                <w:highlight w:val="none"/>
                <w:u w:val="none" w:color="auto"/>
              </w:rPr>
              <w:t>工程】（新建工程）</w:t>
            </w:r>
          </w:p>
          <w:p w14:paraId="1F3291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年份：202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年1月1日至投标截止</w:t>
            </w:r>
            <w:r>
              <w:rPr>
                <w:rFonts w:hint="eastAsia" w:ascii="宋体" w:hAnsi="宋体" w:cs="宋体"/>
                <w:b w:val="0"/>
                <w:bCs/>
                <w:i w:val="0"/>
                <w:color w:val="auto"/>
                <w:szCs w:val="21"/>
                <w:highlight w:val="none"/>
                <w:u w:val="none" w:color="auto"/>
                <w:lang w:eastAsia="zh-CN"/>
              </w:rPr>
              <w:t>日</w:t>
            </w:r>
          </w:p>
          <w:p w14:paraId="42FCD5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金额：</w:t>
            </w:r>
            <w:r>
              <w:rPr>
                <w:rFonts w:hint="eastAsia" w:ascii="宋体" w:hAnsi="宋体" w:cs="宋体"/>
                <w:b w:val="0"/>
                <w:bCs/>
                <w:i w:val="0"/>
                <w:color w:val="auto"/>
                <w:szCs w:val="21"/>
                <w:highlight w:val="none"/>
                <w:u w:val="none" w:color="auto"/>
                <w:lang w:val="en-US" w:eastAsia="zh-CN"/>
              </w:rPr>
              <w:t>80</w:t>
            </w:r>
            <w:r>
              <w:rPr>
                <w:rFonts w:hint="eastAsia" w:ascii="宋体" w:hAnsi="宋体" w:eastAsia="宋体" w:cs="宋体"/>
                <w:b w:val="0"/>
                <w:bCs/>
                <w:i w:val="0"/>
                <w:color w:val="auto"/>
                <w:szCs w:val="21"/>
                <w:highlight w:val="none"/>
                <w:u w:val="none" w:color="auto"/>
              </w:rPr>
              <w:t>00万元（含）以上</w:t>
            </w:r>
          </w:p>
          <w:p w14:paraId="6DECD0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0.25</w:t>
            </w:r>
            <w:r>
              <w:rPr>
                <w:rFonts w:hint="eastAsia" w:ascii="宋体" w:hAnsi="宋体" w:eastAsia="宋体" w:cs="宋体"/>
                <w:b w:val="0"/>
                <w:bCs/>
                <w:i w:val="0"/>
                <w:color w:val="auto"/>
                <w:szCs w:val="21"/>
                <w:highlight w:val="none"/>
                <w:u w:val="none" w:color="auto"/>
              </w:rPr>
              <w:t>分/个，满分：</w:t>
            </w:r>
            <w:r>
              <w:rPr>
                <w:rFonts w:hint="eastAsia" w:ascii="宋体" w:hAnsi="宋体" w:cs="宋体"/>
                <w:b w:val="0"/>
                <w:bCs/>
                <w:i w:val="0"/>
                <w:color w:val="auto"/>
                <w:szCs w:val="21"/>
                <w:highlight w:val="none"/>
                <w:u w:val="none" w:color="auto"/>
                <w:lang w:val="en-US" w:eastAsia="zh-CN"/>
              </w:rPr>
              <w:t>0.25</w:t>
            </w:r>
            <w:r>
              <w:rPr>
                <w:rFonts w:hint="eastAsia" w:ascii="宋体" w:hAnsi="宋体" w:eastAsia="宋体" w:cs="宋体"/>
                <w:b w:val="0"/>
                <w:bCs/>
                <w:i w:val="0"/>
                <w:color w:val="auto"/>
                <w:szCs w:val="21"/>
                <w:highlight w:val="none"/>
                <w:u w:val="none" w:color="auto"/>
              </w:rPr>
              <w:t>分。</w:t>
            </w:r>
          </w:p>
          <w:p w14:paraId="27175B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注：业绩以住建领域主体信息库</w:t>
            </w:r>
            <w:r>
              <w:rPr>
                <w:rFonts w:hint="eastAsia" w:ascii="宋体" w:hAnsi="宋体" w:eastAsia="宋体" w:cs="宋体"/>
                <w:b w:val="0"/>
                <w:bCs/>
                <w:i w:val="0"/>
                <w:color w:val="auto"/>
                <w:szCs w:val="21"/>
                <w:highlight w:val="none"/>
                <w:u w:val="none" w:color="auto"/>
              </w:rPr>
              <w:t>A类+B类入库信息为准</w:t>
            </w:r>
            <w:r>
              <w:rPr>
                <w:rFonts w:hint="eastAsia" w:ascii="宋体" w:hAnsi="宋体" w:eastAsia="宋体" w:cs="宋体"/>
                <w:b w:val="0"/>
                <w:bCs/>
                <w:i w:val="0"/>
                <w:color w:val="auto"/>
                <w:szCs w:val="21"/>
                <w:highlight w:val="none"/>
                <w:u w:val="none" w:color="auto"/>
              </w:rPr>
              <w:t>，</w:t>
            </w:r>
            <w:bookmarkStart w:id="581" w:name="OLE_LINK37"/>
            <w:r>
              <w:rPr>
                <w:rFonts w:hint="eastAsia" w:ascii="宋体" w:hAnsi="宋体" w:eastAsia="宋体" w:cs="宋体"/>
                <w:b w:val="0"/>
                <w:bCs/>
                <w:i w:val="0"/>
                <w:color w:val="auto"/>
                <w:szCs w:val="21"/>
                <w:highlight w:val="none"/>
                <w:u w:val="none" w:color="auto"/>
              </w:rPr>
              <w:t>时间以</w:t>
            </w:r>
            <w:r>
              <w:rPr>
                <w:rFonts w:hint="eastAsia" w:ascii="宋体" w:hAnsi="宋体" w:eastAsia="宋体" w:cs="宋体"/>
                <w:b w:val="0"/>
                <w:bCs/>
                <w:i w:val="0"/>
                <w:color w:val="auto"/>
                <w:szCs w:val="21"/>
                <w:highlight w:val="none"/>
                <w:u w:val="none" w:color="auto"/>
              </w:rPr>
              <w:t>竣工验收</w:t>
            </w:r>
            <w:r>
              <w:rPr>
                <w:rFonts w:hint="eastAsia" w:ascii="宋体" w:hAnsi="宋体" w:eastAsia="宋体" w:cs="宋体"/>
                <w:b w:val="0"/>
                <w:bCs/>
                <w:i w:val="0"/>
                <w:color w:val="auto"/>
                <w:szCs w:val="21"/>
                <w:highlight w:val="none"/>
                <w:u w:val="none" w:color="auto"/>
              </w:rPr>
              <w:t>时间为准。</w:t>
            </w:r>
            <w:bookmarkEnd w:id="581"/>
            <w:bookmarkStart w:id="582" w:name="OLE_LINK13"/>
            <w:r>
              <w:rPr>
                <w:rFonts w:hint="eastAsia" w:ascii="宋体" w:hAnsi="宋体" w:eastAsia="宋体" w:cs="宋体"/>
                <w:b w:val="0"/>
                <w:bCs/>
                <w:i w:val="0"/>
                <w:color w:val="auto"/>
                <w:szCs w:val="21"/>
                <w:highlight w:val="none"/>
                <w:u w:val="none" w:color="auto"/>
              </w:rPr>
              <w:t>如组成联合体投标，联合体成员任意一方满足评分标准予以得分。</w:t>
            </w:r>
            <w:bookmarkEnd w:id="582"/>
          </w:p>
        </w:tc>
      </w:tr>
      <w:tr w14:paraId="3EFE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41" w:type="dxa"/>
            <w:vMerge w:val="continue"/>
            <w:vAlign w:val="center"/>
          </w:tcPr>
          <w:p w14:paraId="5882CB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28B801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18D75A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s="宋体"/>
                <w:b w:val="0"/>
                <w:i w:val="0"/>
                <w:color w:val="auto"/>
                <w:highlight w:val="none"/>
                <w:u w:val="none" w:color="auto"/>
                <w:lang w:val="en-US" w:eastAsia="zh-CN"/>
              </w:rPr>
              <w:t>财务状况</w:t>
            </w:r>
          </w:p>
        </w:tc>
        <w:tc>
          <w:tcPr>
            <w:tcW w:w="810" w:type="dxa"/>
            <w:gridSpan w:val="2"/>
            <w:vAlign w:val="center"/>
          </w:tcPr>
          <w:p w14:paraId="168E6D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0.5</w:t>
            </w:r>
          </w:p>
        </w:tc>
        <w:tc>
          <w:tcPr>
            <w:tcW w:w="5270" w:type="dxa"/>
            <w:vAlign w:val="center"/>
          </w:tcPr>
          <w:p w14:paraId="41AD5F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评审内容：</w:t>
            </w:r>
          </w:p>
          <w:p w14:paraId="5E8C8B41">
            <w:pPr>
              <w:pStyle w:val="22"/>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投标人近三年（2021、2022、2023 年度）经第三方审计机构审计的财务报告，连续三年盈利且净利润逐年提升的得0.5分，连续三年盈利但净利润未逐年提升的得0.25分，其他情况不得分。</w:t>
            </w:r>
          </w:p>
          <w:p w14:paraId="53D840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kern w:val="2"/>
                <w:sz w:val="21"/>
                <w:szCs w:val="21"/>
                <w:highlight w:val="none"/>
                <w:u w:val="none" w:color="auto"/>
                <w:lang w:val="en-US" w:eastAsia="zh-CN" w:bidi="ar-SA"/>
              </w:rPr>
              <w:t>注：</w:t>
            </w:r>
            <w:r>
              <w:rPr>
                <w:rFonts w:hint="eastAsia" w:ascii="宋体" w:hAnsi="宋体" w:cs="宋体"/>
                <w:b w:val="0"/>
                <w:bCs/>
                <w:i w:val="0"/>
                <w:color w:val="auto"/>
                <w:szCs w:val="21"/>
                <w:highlight w:val="none"/>
                <w:u w:val="none" w:color="auto"/>
                <w:lang w:eastAsia="zh-CN"/>
              </w:rPr>
              <w:t>本项</w:t>
            </w: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0.5</w:t>
            </w:r>
            <w:r>
              <w:rPr>
                <w:rFonts w:hint="eastAsia" w:ascii="宋体" w:hAnsi="宋体" w:eastAsia="宋体" w:cs="宋体"/>
                <w:b w:val="0"/>
                <w:bCs/>
                <w:i w:val="0"/>
                <w:color w:val="auto"/>
                <w:szCs w:val="21"/>
                <w:highlight w:val="none"/>
                <w:u w:val="none" w:color="auto"/>
              </w:rPr>
              <w:t>分</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kern w:val="2"/>
                <w:sz w:val="21"/>
                <w:szCs w:val="21"/>
                <w:highlight w:val="none"/>
                <w:u w:val="none" w:color="auto"/>
                <w:lang w:val="en-US" w:eastAsia="zh-CN" w:bidi="ar-SA"/>
              </w:rPr>
              <w:t>以住建领域主体信息库入库的为准， 如组成联合体投标，联合体成员任意一方满足评分标准予以得分。</w:t>
            </w:r>
          </w:p>
        </w:tc>
      </w:tr>
      <w:tr w14:paraId="2CD5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41" w:type="dxa"/>
            <w:vMerge w:val="continue"/>
            <w:vAlign w:val="center"/>
          </w:tcPr>
          <w:p w14:paraId="363FC5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710A67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066F4767">
            <w:pPr>
              <w:pStyle w:val="22"/>
              <w:widowControl/>
              <w:jc w:val="center"/>
              <w:rPr>
                <w:rFonts w:hint="eastAsia" w:ascii="宋体" w:hAnsi="宋体" w:eastAsia="宋体" w:cs="宋体"/>
                <w:b w:val="0"/>
                <w:i w:val="0"/>
                <w:color w:val="auto"/>
                <w:kern w:val="2"/>
                <w:sz w:val="21"/>
                <w:szCs w:val="24"/>
                <w:highlight w:val="none"/>
                <w:u w:val="none" w:color="auto"/>
                <w:lang w:val="en-US" w:eastAsia="zh-CN" w:bidi="ar-SA"/>
              </w:rPr>
            </w:pPr>
            <w:r>
              <w:rPr>
                <w:rFonts w:hint="eastAsia" w:ascii="宋体" w:hAnsi="宋体" w:eastAsia="宋体" w:cs="宋体"/>
                <w:b w:val="0"/>
                <w:i w:val="0"/>
                <w:color w:val="auto"/>
                <w:kern w:val="2"/>
                <w:sz w:val="21"/>
                <w:szCs w:val="24"/>
                <w:highlight w:val="none"/>
                <w:u w:val="none" w:color="auto"/>
                <w:lang w:val="en-US" w:eastAsia="zh-CN" w:bidi="ar-SA"/>
              </w:rPr>
              <w:t>设计项目管理团队人员构成</w:t>
            </w:r>
          </w:p>
          <w:p w14:paraId="3CD4E2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kern w:val="2"/>
                <w:sz w:val="21"/>
                <w:szCs w:val="24"/>
                <w:highlight w:val="none"/>
                <w:u w:val="none" w:color="auto"/>
                <w:lang w:val="en-US" w:eastAsia="zh-CN" w:bidi="ar-SA"/>
              </w:rPr>
            </w:pPr>
          </w:p>
        </w:tc>
        <w:tc>
          <w:tcPr>
            <w:tcW w:w="810" w:type="dxa"/>
            <w:gridSpan w:val="2"/>
            <w:vAlign w:val="center"/>
          </w:tcPr>
          <w:p w14:paraId="0C6895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4</w:t>
            </w:r>
          </w:p>
        </w:tc>
        <w:tc>
          <w:tcPr>
            <w:tcW w:w="5270" w:type="dxa"/>
            <w:vAlign w:val="center"/>
          </w:tcPr>
          <w:p w14:paraId="320894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w:t>
            </w:r>
          </w:p>
          <w:p w14:paraId="0C1703DB">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1、设计负责人具有相关专业正高职称得1分。</w:t>
            </w:r>
          </w:p>
          <w:p w14:paraId="00A68E54">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2、根据招标文件《管理团队人员要求》中的“设计团队”要求，在此基础上，设计团队人员中：</w:t>
            </w:r>
          </w:p>
          <w:p w14:paraId="377093D5">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1）增加1名一级注册建筑师且具有高级职称的，加 1分，至多得1分；</w:t>
            </w:r>
          </w:p>
          <w:p w14:paraId="0E7E53DD">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2）增加1名一级注册结构师且具有高级职称的，加 0.5分，至多得0.5分；</w:t>
            </w:r>
          </w:p>
          <w:p w14:paraId="634AC961">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3）增加1名注册公用设备工程师（给水排水）且具有高级职称的，加 0.5分，至多得0.5分；</w:t>
            </w:r>
          </w:p>
          <w:p w14:paraId="5185D953">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4）增加1名注册公用设备工程师（暖通空调）且具有高级职称的，加 0.5分，至多得0.5分；</w:t>
            </w:r>
          </w:p>
          <w:p w14:paraId="06D92092">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5）增加1名注册电气工程师（供配电）且具有高级职称的，加 0.5分，至多得0.5分；</w:t>
            </w:r>
          </w:p>
          <w:p w14:paraId="6030F527">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 xml:space="preserve">若同一人员具有上述两类或两类以上注册证书，则只按一类计取，提供5名不同设计人员，且分别满足上述要求，得满分3分。 </w:t>
            </w:r>
          </w:p>
          <w:p w14:paraId="1097F3CA">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注：</w:t>
            </w:r>
          </w:p>
          <w:p w14:paraId="4233E95D">
            <w:pPr>
              <w:pStyle w:val="47"/>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（1）设计团队人员与施工团队人员不重复累计。</w:t>
            </w:r>
          </w:p>
          <w:p w14:paraId="36F2C0FA">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提供近期连续6个月的社保证明、相应专业的注册证书、职称证书。</w:t>
            </w:r>
          </w:p>
          <w:p w14:paraId="1F2E0E8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3</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以住建领域主体信息库入库信息为准。</w:t>
            </w:r>
          </w:p>
        </w:tc>
      </w:tr>
      <w:tr w14:paraId="682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741" w:type="dxa"/>
            <w:vMerge w:val="continue"/>
            <w:vAlign w:val="center"/>
          </w:tcPr>
          <w:p w14:paraId="6E4516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051874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218EB0BB">
            <w:pPr>
              <w:pStyle w:val="22"/>
              <w:widowControl/>
              <w:jc w:val="center"/>
              <w:rPr>
                <w:rFonts w:hint="eastAsia" w:ascii="宋体" w:hAnsi="宋体" w:eastAsia="宋体" w:cs="宋体"/>
                <w:b w:val="0"/>
                <w:i w:val="0"/>
                <w:color w:val="auto"/>
                <w:kern w:val="2"/>
                <w:sz w:val="21"/>
                <w:szCs w:val="24"/>
                <w:highlight w:val="none"/>
                <w:u w:val="none" w:color="auto"/>
                <w:lang w:val="en-US" w:eastAsia="zh-CN" w:bidi="ar-SA"/>
              </w:rPr>
            </w:pPr>
            <w:r>
              <w:rPr>
                <w:rFonts w:hint="eastAsia" w:ascii="宋体" w:hAnsi="宋体" w:eastAsia="宋体" w:cs="宋体"/>
                <w:b w:val="0"/>
                <w:i w:val="0"/>
                <w:color w:val="auto"/>
                <w:kern w:val="2"/>
                <w:sz w:val="21"/>
                <w:szCs w:val="24"/>
                <w:highlight w:val="none"/>
                <w:u w:val="none" w:color="auto"/>
                <w:lang w:val="en-US" w:eastAsia="zh-CN" w:bidi="ar-SA"/>
              </w:rPr>
              <w:t>施工项目管理团队人员构成</w:t>
            </w:r>
          </w:p>
          <w:p w14:paraId="5CEEA2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kern w:val="2"/>
                <w:sz w:val="21"/>
                <w:szCs w:val="24"/>
                <w:highlight w:val="none"/>
                <w:u w:val="none" w:color="auto"/>
                <w:lang w:val="en-US" w:eastAsia="zh-CN" w:bidi="ar-SA"/>
              </w:rPr>
            </w:pPr>
          </w:p>
        </w:tc>
        <w:tc>
          <w:tcPr>
            <w:tcW w:w="810" w:type="dxa"/>
            <w:gridSpan w:val="2"/>
            <w:vAlign w:val="center"/>
          </w:tcPr>
          <w:p w14:paraId="013AD5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2</w:t>
            </w:r>
          </w:p>
        </w:tc>
        <w:tc>
          <w:tcPr>
            <w:tcW w:w="5270" w:type="dxa"/>
            <w:vAlign w:val="center"/>
          </w:tcPr>
          <w:p w14:paraId="6D17A5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w:t>
            </w:r>
          </w:p>
          <w:p w14:paraId="3856D26E">
            <w:pPr>
              <w:pStyle w:val="22"/>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 xml:space="preserve">根据招标文件《管理团队人员要求》中的“施工团队”要求，在此基础上，施工团队人员中，每增加1名施工员或安全员或质量员，加1分，最多得2分。 </w:t>
            </w:r>
          </w:p>
          <w:p w14:paraId="0A012E13">
            <w:pPr>
              <w:pStyle w:val="22"/>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注：（1）本项满分2分；</w:t>
            </w:r>
          </w:p>
          <w:p w14:paraId="469AAA14">
            <w:pPr>
              <w:pStyle w:val="22"/>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（2）施工团队人员与设计团队人员不重复累计；</w:t>
            </w:r>
          </w:p>
          <w:p w14:paraId="470F6DA5">
            <w:pPr>
              <w:pStyle w:val="22"/>
              <w:widowControl/>
              <w:jc w:val="left"/>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（3）若同一人员具有上述两类或两类以上证书，则只按一类计取；</w:t>
            </w:r>
          </w:p>
          <w:p w14:paraId="7BF73B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kern w:val="2"/>
                <w:sz w:val="21"/>
                <w:szCs w:val="21"/>
                <w:highlight w:val="none"/>
                <w:u w:val="none" w:color="auto"/>
                <w:lang w:val="en-US" w:eastAsia="zh-CN" w:bidi="ar-SA"/>
              </w:rPr>
            </w:pPr>
            <w:r>
              <w:rPr>
                <w:rFonts w:hint="eastAsia" w:ascii="宋体" w:hAnsi="宋体" w:eastAsia="宋体" w:cs="宋体"/>
                <w:b w:val="0"/>
                <w:bCs/>
                <w:i w:val="0"/>
                <w:color w:val="auto"/>
                <w:kern w:val="2"/>
                <w:sz w:val="21"/>
                <w:szCs w:val="21"/>
                <w:highlight w:val="none"/>
                <w:u w:val="none" w:color="auto"/>
                <w:lang w:val="en-US" w:eastAsia="zh-CN" w:bidi="ar-SA"/>
              </w:rPr>
              <w:t>（4）提供近期连续6个月的社保证明</w:t>
            </w:r>
            <w:r>
              <w:rPr>
                <w:rFonts w:hint="eastAsia" w:ascii="宋体" w:hAnsi="宋体" w:cs="宋体"/>
                <w:color w:val="auto"/>
                <w:kern w:val="0"/>
                <w:sz w:val="24"/>
                <w:szCs w:val="24"/>
                <w:highlight w:val="none"/>
              </w:rPr>
              <w:t>、</w:t>
            </w:r>
            <w:r>
              <w:rPr>
                <w:rFonts w:hint="eastAsia" w:ascii="宋体" w:hAnsi="宋体" w:eastAsia="宋体" w:cs="宋体"/>
                <w:b w:val="0"/>
                <w:bCs/>
                <w:i w:val="0"/>
                <w:color w:val="auto"/>
                <w:kern w:val="2"/>
                <w:sz w:val="21"/>
                <w:szCs w:val="21"/>
                <w:highlight w:val="none"/>
                <w:u w:val="none" w:color="auto"/>
                <w:lang w:val="en-US" w:eastAsia="zh-CN" w:bidi="ar-SA"/>
              </w:rPr>
              <w:t>相关证书。</w:t>
            </w:r>
          </w:p>
          <w:p w14:paraId="489B13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cs="宋体"/>
                <w:b w:val="0"/>
                <w:bCs/>
                <w:i w:val="0"/>
                <w:color w:val="auto"/>
                <w:kern w:val="2"/>
                <w:sz w:val="21"/>
                <w:szCs w:val="21"/>
                <w:highlight w:val="none"/>
                <w:u w:val="none" w:color="auto"/>
                <w:lang w:val="en-US" w:eastAsia="zh-CN" w:bidi="ar-SA"/>
              </w:rPr>
              <w:t>（5）</w:t>
            </w:r>
            <w:r>
              <w:rPr>
                <w:rFonts w:hint="eastAsia" w:ascii="宋体" w:hAnsi="宋体" w:eastAsia="宋体" w:cs="宋体"/>
                <w:b w:val="0"/>
                <w:bCs/>
                <w:i w:val="0"/>
                <w:color w:val="auto"/>
                <w:kern w:val="2"/>
                <w:sz w:val="21"/>
                <w:szCs w:val="21"/>
                <w:highlight w:val="none"/>
                <w:u w:val="none" w:color="auto"/>
                <w:lang w:val="en-US" w:eastAsia="zh-CN" w:bidi="ar-SA"/>
              </w:rPr>
              <w:t>以住建领域主体信息库入库信息为准。</w:t>
            </w:r>
          </w:p>
        </w:tc>
      </w:tr>
      <w:tr w14:paraId="2691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0E3871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条款号</w:t>
            </w:r>
          </w:p>
        </w:tc>
        <w:tc>
          <w:tcPr>
            <w:tcW w:w="8276" w:type="dxa"/>
            <w:gridSpan w:val="4"/>
            <w:vAlign w:val="center"/>
          </w:tcPr>
          <w:p w14:paraId="295AD6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具体内容</w:t>
            </w:r>
          </w:p>
        </w:tc>
      </w:tr>
      <w:tr w14:paraId="5D3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41" w:type="dxa"/>
            <w:vAlign w:val="center"/>
          </w:tcPr>
          <w:p w14:paraId="705FF5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Cs w:val="21"/>
                <w:highlight w:val="none"/>
              </w:rPr>
            </w:pPr>
            <w:r>
              <w:rPr>
                <w:rFonts w:hint="eastAsia"/>
                <w:color w:val="auto"/>
                <w:szCs w:val="21"/>
                <w:highlight w:val="none"/>
                <w:lang w:val="en-US" w:eastAsia="zh-CN"/>
              </w:rPr>
              <w:t>3.2.5</w:t>
            </w:r>
          </w:p>
        </w:tc>
        <w:tc>
          <w:tcPr>
            <w:tcW w:w="1059" w:type="dxa"/>
            <w:vAlign w:val="center"/>
          </w:tcPr>
          <w:p w14:paraId="4D0766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color w:val="auto"/>
                <w:szCs w:val="21"/>
                <w:highlight w:val="none"/>
                <w:lang w:val="en-US" w:eastAsia="zh-CN"/>
              </w:rPr>
              <w:t>评分结果汇总</w:t>
            </w:r>
          </w:p>
        </w:tc>
        <w:tc>
          <w:tcPr>
            <w:tcW w:w="8276" w:type="dxa"/>
            <w:gridSpan w:val="4"/>
            <w:vAlign w:val="center"/>
          </w:tcPr>
          <w:p w14:paraId="07A541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highlight w:val="none"/>
              </w:rPr>
            </w:pPr>
            <w:r>
              <w:rPr>
                <w:rFonts w:hint="eastAsia" w:eastAsia="宋体"/>
                <w:color w:val="auto"/>
                <w:highlight w:val="none"/>
                <w:lang w:val="en-US" w:eastAsia="zh-CN"/>
              </w:rPr>
              <w:t>最终（含分项）评分结果汇总确定办法</w:t>
            </w:r>
            <w:r>
              <w:rPr>
                <w:rFonts w:hint="eastAsia"/>
                <w:color w:val="auto"/>
                <w:highlight w:val="none"/>
                <w:lang w:val="en-US" w:eastAsia="zh-CN"/>
              </w:rPr>
              <w:t>：</w:t>
            </w:r>
          </w:p>
          <w:p w14:paraId="4DAB0A73">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color w:val="auto"/>
                <w:highlight w:val="none"/>
              </w:rPr>
            </w:pPr>
            <w:r>
              <w:rPr>
                <w:rFonts w:hint="eastAsia"/>
                <w:color w:val="auto"/>
                <w:highlight w:val="none"/>
                <w:lang w:val="en-US" w:eastAsia="zh-CN"/>
              </w:rPr>
              <w:t>☑所有评标委员会成员评分的算术平均值。</w:t>
            </w:r>
          </w:p>
          <w:p w14:paraId="7904276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color w:val="auto"/>
                <w:highlight w:val="none"/>
              </w:rPr>
            </w:pPr>
            <w:r>
              <w:rPr>
                <w:rFonts w:hint="eastAsia"/>
                <w:color w:val="auto"/>
                <w:highlight w:val="none"/>
                <w:lang w:val="en-US" w:eastAsia="zh-CN"/>
              </w:rPr>
              <w:t>□所有评标委员会成员评分去掉一个最高分和一个最低分后计算平均值（分项评审成员3名（含3名）以下时，按照算术平均值进行计算）。</w:t>
            </w:r>
          </w:p>
        </w:tc>
      </w:tr>
      <w:tr w14:paraId="257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41" w:type="dxa"/>
            <w:vAlign w:val="center"/>
          </w:tcPr>
          <w:p w14:paraId="1BE294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0216DB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color w:val="auto"/>
                <w:szCs w:val="21"/>
                <w:highlight w:val="none"/>
              </w:rPr>
              <w:t>推荐中标候选人</w:t>
            </w:r>
          </w:p>
        </w:tc>
        <w:tc>
          <w:tcPr>
            <w:tcW w:w="8276" w:type="dxa"/>
            <w:gridSpan w:val="4"/>
            <w:vAlign w:val="center"/>
          </w:tcPr>
          <w:p w14:paraId="2E583AE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宋体"/>
                <w:color w:val="auto"/>
                <w:highlight w:val="none"/>
                <w:lang w:val="en-US" w:eastAsia="zh-CN"/>
              </w:rPr>
            </w:pPr>
            <w:r>
              <w:rPr>
                <w:rFonts w:hint="eastAsia" w:eastAsia="宋体"/>
                <w:color w:val="auto"/>
                <w:highlight w:val="none"/>
                <w:lang w:val="en-US" w:eastAsia="zh-CN"/>
              </w:rPr>
              <w:t xml:space="preserve">    （1）评标委员会向招标人推荐不超过3家的合格的中标候选人，且对每个中标候选人的技术咨询建议、优势、不足、风险等情况进行说明，提出推荐意见和建议。</w:t>
            </w:r>
          </w:p>
          <w:p w14:paraId="65E87B1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highlight w:val="none"/>
              </w:rPr>
            </w:pPr>
            <w:r>
              <w:rPr>
                <w:rFonts w:hint="eastAsia"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bookmarkEnd w:id="573"/>
    </w:tbl>
    <w:p w14:paraId="09EA436F">
      <w:pPr>
        <w:spacing w:line="400" w:lineRule="exact"/>
        <w:rPr>
          <w:color w:val="auto"/>
          <w:szCs w:val="21"/>
          <w:highlight w:val="none"/>
        </w:rPr>
      </w:pPr>
      <w:r>
        <w:rPr>
          <w:color w:val="auto"/>
          <w:szCs w:val="21"/>
          <w:highlight w:val="none"/>
        </w:rPr>
        <w:br w:type="page"/>
      </w:r>
    </w:p>
    <w:p w14:paraId="158862BA">
      <w:pPr>
        <w:pStyle w:val="30"/>
        <w:tabs>
          <w:tab w:val="left" w:pos="3207"/>
        </w:tabs>
        <w:rPr>
          <w:color w:val="auto"/>
          <w:highlight w:val="none"/>
        </w:rPr>
      </w:pPr>
      <w:bookmarkStart w:id="583" w:name="_Toc256000083"/>
      <w:bookmarkStart w:id="584" w:name="_Toc182923789"/>
      <w:r>
        <w:rPr>
          <w:rFonts w:hint="eastAsia"/>
          <w:color w:val="auto"/>
          <w:highlight w:val="none"/>
        </w:rPr>
        <w:t>评标办法正文部分</w:t>
      </w:r>
      <w:bookmarkEnd w:id="583"/>
      <w:bookmarkEnd w:id="584"/>
      <w:r>
        <w:rPr>
          <w:color w:val="auto"/>
          <w:highlight w:val="none"/>
        </w:rPr>
        <w:tab/>
      </w:r>
    </w:p>
    <w:p w14:paraId="41779CF3">
      <w:pPr>
        <w:pStyle w:val="20"/>
        <w:keepNext/>
        <w:keepLines/>
        <w:widowControl w:val="0"/>
        <w:wordWrap/>
        <w:topLinePunct w:val="0"/>
        <w:spacing w:beforeAutospacing="0" w:after="0" w:afterAutospacing="0" w:line="360" w:lineRule="exact"/>
        <w:jc w:val="both"/>
        <w:outlineLvl w:val="1"/>
        <w:rPr>
          <w:rFonts w:ascii="Times New Roman" w:hAnsi="Times New Roman" w:eastAsia="黑体"/>
          <w:color w:val="auto"/>
          <w:kern w:val="2"/>
          <w:sz w:val="28"/>
          <w:highlight w:val="none"/>
          <w:lang w:bidi="ar"/>
        </w:rPr>
      </w:pPr>
      <w:bookmarkStart w:id="585" w:name="_Toc182923790"/>
      <w:bookmarkStart w:id="586" w:name="_Toc256000084"/>
      <w:r>
        <w:rPr>
          <w:rFonts w:hint="eastAsia" w:ascii="Times New Roman" w:hAnsi="Times New Roman" w:eastAsia="黑体"/>
          <w:color w:val="auto"/>
          <w:kern w:val="2"/>
          <w:sz w:val="28"/>
          <w:highlight w:val="none"/>
          <w:lang w:bidi="ar"/>
        </w:rPr>
        <w:t>1.评标方法</w:t>
      </w:r>
      <w:bookmarkEnd w:id="585"/>
      <w:bookmarkEnd w:id="586"/>
    </w:p>
    <w:p w14:paraId="1CC69051">
      <w:pPr>
        <w:spacing w:line="400" w:lineRule="exact"/>
        <w:ind w:firstLine="420" w:firstLineChars="200"/>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587" w:name="_Hlk152257834"/>
      <w:r>
        <w:rPr>
          <w:rFonts w:hint="eastAsia" w:ascii="宋体" w:hAnsi="宋体" w:cs="宋体"/>
          <w:color w:val="auto"/>
          <w:szCs w:val="21"/>
          <w:highlight w:val="none"/>
        </w:rPr>
        <w:t>。</w:t>
      </w:r>
      <w:bookmarkEnd w:id="587"/>
    </w:p>
    <w:p w14:paraId="6D97678E">
      <w:pPr>
        <w:pStyle w:val="20"/>
        <w:keepNext/>
        <w:keepLines/>
        <w:widowControl w:val="0"/>
        <w:wordWrap/>
        <w:topLinePunct w:val="0"/>
        <w:spacing w:beforeAutospacing="0" w:after="0" w:afterAutospacing="0" w:line="360" w:lineRule="exact"/>
        <w:jc w:val="both"/>
        <w:outlineLvl w:val="1"/>
        <w:rPr>
          <w:rFonts w:ascii="Times New Roman" w:hAnsi="Times New Roman" w:eastAsia="黑体"/>
          <w:color w:val="auto"/>
          <w:kern w:val="2"/>
          <w:sz w:val="28"/>
          <w:highlight w:val="none"/>
          <w:lang w:bidi="ar"/>
        </w:rPr>
      </w:pPr>
      <w:bookmarkStart w:id="588" w:name="_Toc148860639"/>
      <w:bookmarkStart w:id="589" w:name="_Toc182923791"/>
      <w:bookmarkStart w:id="590" w:name="_Toc256000085"/>
      <w:bookmarkStart w:id="591" w:name="_Toc11130"/>
      <w:bookmarkStart w:id="592" w:name="_Hlk171343585"/>
      <w:r>
        <w:rPr>
          <w:rFonts w:hint="eastAsia" w:ascii="Times New Roman" w:hAnsi="Times New Roman" w:eastAsia="黑体"/>
          <w:color w:val="auto"/>
          <w:kern w:val="2"/>
          <w:sz w:val="28"/>
          <w:highlight w:val="none"/>
          <w:lang w:bidi="ar"/>
        </w:rPr>
        <w:t>2.评审标准</w:t>
      </w:r>
      <w:bookmarkEnd w:id="588"/>
      <w:bookmarkEnd w:id="589"/>
      <w:bookmarkEnd w:id="590"/>
      <w:bookmarkEnd w:id="591"/>
    </w:p>
    <w:p w14:paraId="200173BB">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593" w:name="_Toc26800"/>
      <w:bookmarkStart w:id="594" w:name="_Toc148860640"/>
      <w:bookmarkStart w:id="595" w:name="_Toc182923792"/>
      <w:bookmarkStart w:id="596" w:name="_Toc256000086"/>
      <w:r>
        <w:rPr>
          <w:rFonts w:hint="eastAsia" w:ascii="Times New Roman" w:hAnsi="Times New Roman" w:eastAsia="黑体"/>
          <w:color w:val="auto"/>
          <w:kern w:val="2"/>
          <w:highlight w:val="none"/>
          <w:lang w:bidi="ar"/>
        </w:rPr>
        <w:t>2.1初步评审标准</w:t>
      </w:r>
      <w:bookmarkEnd w:id="593"/>
      <w:bookmarkEnd w:id="594"/>
      <w:bookmarkEnd w:id="595"/>
      <w:bookmarkEnd w:id="596"/>
    </w:p>
    <w:p w14:paraId="1F62045D">
      <w:pPr>
        <w:spacing w:line="400" w:lineRule="exact"/>
        <w:ind w:firstLine="420" w:firstLineChars="200"/>
        <w:rPr>
          <w:color w:val="auto"/>
          <w:highlight w:val="none"/>
        </w:rPr>
      </w:pPr>
      <w:r>
        <w:rPr>
          <w:rFonts w:hint="eastAsia"/>
          <w:color w:val="auto"/>
          <w:highlight w:val="none"/>
        </w:rPr>
        <w:t>2.1.1 形式评审标准：见评标办法前附表。</w:t>
      </w:r>
    </w:p>
    <w:p w14:paraId="236FAE42">
      <w:pPr>
        <w:spacing w:line="400" w:lineRule="exact"/>
        <w:ind w:firstLine="420" w:firstLineChars="200"/>
        <w:rPr>
          <w:color w:val="auto"/>
          <w:highlight w:val="none"/>
        </w:rPr>
      </w:pPr>
      <w:r>
        <w:rPr>
          <w:rFonts w:hint="eastAsia"/>
          <w:color w:val="auto"/>
          <w:highlight w:val="none"/>
        </w:rPr>
        <w:t>2.1.2 资格评审标准：见评标办法前附表。</w:t>
      </w:r>
    </w:p>
    <w:p w14:paraId="1C73A3B6">
      <w:pPr>
        <w:spacing w:line="400" w:lineRule="exact"/>
        <w:ind w:firstLine="420" w:firstLineChars="200"/>
        <w:rPr>
          <w:color w:val="auto"/>
          <w:highlight w:val="none"/>
        </w:rPr>
      </w:pPr>
      <w:r>
        <w:rPr>
          <w:rFonts w:hint="eastAsia"/>
          <w:color w:val="auto"/>
          <w:highlight w:val="none"/>
        </w:rPr>
        <w:t>2.1.3 响应性评审标准：见评标办法前附表。</w:t>
      </w:r>
    </w:p>
    <w:p w14:paraId="4F1B39A7">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597" w:name="_Toc12991"/>
      <w:bookmarkStart w:id="598" w:name="_Toc148860641"/>
      <w:bookmarkStart w:id="599" w:name="_Toc182923793"/>
      <w:bookmarkStart w:id="600" w:name="_Toc256000087"/>
      <w:r>
        <w:rPr>
          <w:rFonts w:hint="eastAsia" w:ascii="Times New Roman" w:hAnsi="Times New Roman" w:eastAsia="黑体"/>
          <w:color w:val="auto"/>
          <w:kern w:val="2"/>
          <w:highlight w:val="none"/>
          <w:lang w:bidi="ar"/>
        </w:rPr>
        <w:t>2.2分值构成与评分标准</w:t>
      </w:r>
      <w:bookmarkEnd w:id="597"/>
      <w:bookmarkEnd w:id="598"/>
      <w:bookmarkEnd w:id="599"/>
      <w:bookmarkEnd w:id="600"/>
    </w:p>
    <w:p w14:paraId="7F5E5B8A">
      <w:pPr>
        <w:spacing w:line="400" w:lineRule="exact"/>
        <w:ind w:firstLine="420" w:firstLineChars="200"/>
        <w:rPr>
          <w:color w:val="auto"/>
          <w:highlight w:val="none"/>
        </w:rPr>
      </w:pPr>
      <w:r>
        <w:rPr>
          <w:rFonts w:hint="eastAsia"/>
          <w:color w:val="auto"/>
          <w:highlight w:val="none"/>
        </w:rPr>
        <w:t>2.2.1 分值构成</w:t>
      </w:r>
    </w:p>
    <w:p w14:paraId="026469FD">
      <w:pPr>
        <w:spacing w:line="400" w:lineRule="exact"/>
        <w:ind w:firstLine="420" w:firstLineChars="200"/>
        <w:rPr>
          <w:color w:val="auto"/>
          <w:highlight w:val="none"/>
        </w:rPr>
      </w:pPr>
      <w:r>
        <w:rPr>
          <w:rFonts w:hint="eastAsia"/>
          <w:color w:val="auto"/>
          <w:highlight w:val="none"/>
        </w:rPr>
        <w:t>（1）投标报价：见评标办法前附表；</w:t>
      </w:r>
      <w:r>
        <w:rPr>
          <w:color w:val="auto"/>
          <w:highlight w:val="none"/>
        </w:rPr>
        <w:t xml:space="preserve"> </w:t>
      </w:r>
    </w:p>
    <w:p w14:paraId="654165C6">
      <w:pPr>
        <w:spacing w:line="400" w:lineRule="exact"/>
        <w:ind w:firstLine="420" w:firstLineChars="200"/>
        <w:rPr>
          <w:color w:val="auto"/>
          <w:highlight w:val="none"/>
        </w:rPr>
      </w:pPr>
      <w:r>
        <w:rPr>
          <w:rFonts w:hint="eastAsia"/>
          <w:color w:val="auto"/>
          <w:highlight w:val="none"/>
        </w:rPr>
        <w:t>（2）承包人建议书：见评标办法前附表；</w:t>
      </w:r>
      <w:r>
        <w:rPr>
          <w:color w:val="auto"/>
          <w:highlight w:val="none"/>
        </w:rPr>
        <w:t xml:space="preserve"> </w:t>
      </w:r>
    </w:p>
    <w:p w14:paraId="1A6E0854">
      <w:pPr>
        <w:spacing w:line="400" w:lineRule="exact"/>
        <w:ind w:firstLine="420" w:firstLineChars="200"/>
        <w:rPr>
          <w:color w:val="auto"/>
          <w:highlight w:val="none"/>
        </w:rPr>
      </w:pPr>
      <w:r>
        <w:rPr>
          <w:rFonts w:hint="eastAsia"/>
          <w:color w:val="auto"/>
          <w:highlight w:val="none"/>
        </w:rPr>
        <w:t>（3）承包人实施方案：见评标办法前附表；</w:t>
      </w:r>
    </w:p>
    <w:p w14:paraId="1AC74CE4">
      <w:pPr>
        <w:spacing w:line="400" w:lineRule="exact"/>
        <w:ind w:firstLine="420" w:firstLineChars="200"/>
        <w:rPr>
          <w:color w:val="auto"/>
          <w:highlight w:val="none"/>
        </w:rPr>
      </w:pPr>
      <w:r>
        <w:rPr>
          <w:rFonts w:hint="eastAsia"/>
          <w:color w:val="auto"/>
          <w:highlight w:val="none"/>
        </w:rPr>
        <w:t>（4）资信业绩部分：见评标办法前附表；</w:t>
      </w:r>
    </w:p>
    <w:p w14:paraId="011F4C84">
      <w:pPr>
        <w:spacing w:line="400" w:lineRule="exact"/>
        <w:ind w:firstLine="420" w:firstLineChars="200"/>
        <w:rPr>
          <w:color w:val="auto"/>
          <w:highlight w:val="none"/>
        </w:rPr>
      </w:pPr>
      <w:r>
        <w:rPr>
          <w:rFonts w:hint="eastAsia"/>
          <w:color w:val="auto"/>
          <w:highlight w:val="none"/>
        </w:rPr>
        <w:t>（5）</w:t>
      </w:r>
      <w:r>
        <w:rPr>
          <w:color w:val="auto"/>
          <w:highlight w:val="none"/>
        </w:rPr>
        <w:t>其他因素：</w:t>
      </w:r>
      <w:r>
        <w:rPr>
          <w:rFonts w:hint="eastAsia"/>
          <w:color w:val="auto"/>
          <w:highlight w:val="none"/>
        </w:rPr>
        <w:t>见评标办法前附表。</w:t>
      </w:r>
    </w:p>
    <w:p w14:paraId="13EEBCD3">
      <w:pPr>
        <w:spacing w:line="400" w:lineRule="exact"/>
        <w:ind w:firstLine="420" w:firstLineChars="200"/>
        <w:rPr>
          <w:color w:val="auto"/>
          <w:highlight w:val="none"/>
        </w:rPr>
      </w:pPr>
      <w:r>
        <w:rPr>
          <w:rFonts w:hint="eastAsia"/>
          <w:color w:val="auto"/>
          <w:highlight w:val="none"/>
        </w:rPr>
        <w:t>2.2.2 评标基准价计算</w:t>
      </w:r>
    </w:p>
    <w:p w14:paraId="73089743">
      <w:pPr>
        <w:spacing w:line="400" w:lineRule="exact"/>
        <w:ind w:firstLine="420" w:firstLineChars="200"/>
        <w:rPr>
          <w:color w:val="auto"/>
          <w:highlight w:val="none"/>
        </w:rPr>
      </w:pPr>
      <w:r>
        <w:rPr>
          <w:rFonts w:hint="eastAsia"/>
          <w:color w:val="auto"/>
          <w:highlight w:val="none"/>
        </w:rPr>
        <w:t>评标基准价计算方法：见评标办法前附表。</w:t>
      </w:r>
    </w:p>
    <w:p w14:paraId="4EF4400D">
      <w:pPr>
        <w:spacing w:line="400" w:lineRule="exact"/>
        <w:ind w:firstLine="420" w:firstLineChars="200"/>
        <w:rPr>
          <w:color w:val="auto"/>
          <w:highlight w:val="none"/>
        </w:rPr>
      </w:pPr>
      <w:r>
        <w:rPr>
          <w:rFonts w:hint="eastAsia"/>
          <w:color w:val="auto"/>
          <w:highlight w:val="none"/>
        </w:rPr>
        <w:t>2.2.3 投标报价的偏差率计算</w:t>
      </w:r>
    </w:p>
    <w:p w14:paraId="0B27217F">
      <w:pPr>
        <w:spacing w:line="400" w:lineRule="exact"/>
        <w:ind w:firstLine="420" w:firstLineChars="200"/>
        <w:rPr>
          <w:color w:val="auto"/>
          <w:highlight w:val="none"/>
        </w:rPr>
      </w:pPr>
      <w:r>
        <w:rPr>
          <w:rFonts w:hint="eastAsia"/>
          <w:color w:val="auto"/>
          <w:highlight w:val="none"/>
        </w:rPr>
        <w:t>投标报价的偏差率计算公式：见评标办法前附表。</w:t>
      </w:r>
    </w:p>
    <w:p w14:paraId="7AF0EA2D">
      <w:pPr>
        <w:spacing w:line="400" w:lineRule="exact"/>
        <w:ind w:firstLine="420" w:firstLineChars="200"/>
        <w:rPr>
          <w:color w:val="auto"/>
          <w:highlight w:val="none"/>
        </w:rPr>
      </w:pPr>
      <w:r>
        <w:rPr>
          <w:rFonts w:hint="eastAsia"/>
          <w:color w:val="auto"/>
          <w:highlight w:val="none"/>
        </w:rPr>
        <w:t>2.2.4 评分标准</w:t>
      </w:r>
    </w:p>
    <w:p w14:paraId="2F1E1D64">
      <w:pPr>
        <w:spacing w:line="400" w:lineRule="exact"/>
        <w:ind w:firstLine="420" w:firstLineChars="200"/>
        <w:rPr>
          <w:color w:val="auto"/>
          <w:highlight w:val="none"/>
        </w:rPr>
      </w:pPr>
      <w:r>
        <w:rPr>
          <w:rFonts w:hint="eastAsia"/>
          <w:color w:val="auto"/>
          <w:highlight w:val="none"/>
        </w:rPr>
        <w:t>（1）投标报价评分标准：见评标办法前附表；</w:t>
      </w:r>
      <w:r>
        <w:rPr>
          <w:color w:val="auto"/>
          <w:highlight w:val="none"/>
        </w:rPr>
        <w:t xml:space="preserve"> </w:t>
      </w:r>
    </w:p>
    <w:p w14:paraId="238DA735">
      <w:pPr>
        <w:spacing w:line="400" w:lineRule="exact"/>
        <w:ind w:firstLine="420" w:firstLineChars="200"/>
        <w:rPr>
          <w:color w:val="auto"/>
          <w:highlight w:val="none"/>
        </w:rPr>
      </w:pPr>
      <w:r>
        <w:rPr>
          <w:rFonts w:hint="eastAsia"/>
          <w:color w:val="auto"/>
          <w:highlight w:val="none"/>
        </w:rPr>
        <w:t>（2）承包人建议书评分标准：见评标办法前附表；</w:t>
      </w:r>
    </w:p>
    <w:p w14:paraId="14297516">
      <w:pPr>
        <w:spacing w:line="400" w:lineRule="exact"/>
        <w:ind w:firstLine="420" w:firstLineChars="200"/>
        <w:rPr>
          <w:color w:val="auto"/>
          <w:highlight w:val="none"/>
        </w:rPr>
      </w:pPr>
      <w:r>
        <w:rPr>
          <w:rFonts w:hint="eastAsia"/>
          <w:color w:val="auto"/>
          <w:highlight w:val="none"/>
        </w:rPr>
        <w:t>（3）承包人实施方案评分标准：见评标办法前附表；</w:t>
      </w:r>
    </w:p>
    <w:p w14:paraId="04E3D3BB">
      <w:pPr>
        <w:spacing w:line="400" w:lineRule="exact"/>
        <w:ind w:firstLine="420" w:firstLineChars="200"/>
        <w:rPr>
          <w:color w:val="auto"/>
          <w:highlight w:val="none"/>
        </w:rPr>
      </w:pPr>
      <w:r>
        <w:rPr>
          <w:rFonts w:hint="eastAsia"/>
          <w:color w:val="auto"/>
          <w:highlight w:val="none"/>
        </w:rPr>
        <w:t>（4）资信业绩评分标准：见评标办法前附表；</w:t>
      </w:r>
    </w:p>
    <w:p w14:paraId="6F906305">
      <w:pPr>
        <w:spacing w:line="400" w:lineRule="exact"/>
        <w:ind w:firstLine="420" w:firstLineChars="200"/>
        <w:rPr>
          <w:color w:val="auto"/>
          <w:highlight w:val="none"/>
        </w:rPr>
      </w:pPr>
      <w:r>
        <w:rPr>
          <w:rFonts w:hint="eastAsia"/>
          <w:color w:val="auto"/>
          <w:highlight w:val="none"/>
        </w:rPr>
        <w:t>（5）其他因素评分标准：见评标办法前附表。</w:t>
      </w:r>
    </w:p>
    <w:p w14:paraId="7BBD3784">
      <w:pPr>
        <w:pStyle w:val="30"/>
        <w:spacing w:line="360" w:lineRule="exact"/>
        <w:rPr>
          <w:color w:val="auto"/>
          <w:highlight w:val="none"/>
        </w:rPr>
      </w:pPr>
      <w:bookmarkStart w:id="601" w:name="_Toc256000088"/>
      <w:bookmarkStart w:id="602" w:name="_Toc32050"/>
      <w:bookmarkStart w:id="603" w:name="_Toc148860642"/>
      <w:bookmarkStart w:id="604" w:name="_Toc182923794"/>
      <w:r>
        <w:rPr>
          <w:rFonts w:hint="eastAsia"/>
          <w:color w:val="auto"/>
          <w:highlight w:val="none"/>
        </w:rPr>
        <w:t>3.评标程序</w:t>
      </w:r>
      <w:bookmarkEnd w:id="601"/>
      <w:bookmarkEnd w:id="602"/>
      <w:bookmarkEnd w:id="603"/>
      <w:bookmarkEnd w:id="604"/>
    </w:p>
    <w:p w14:paraId="0EBD97E2">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05" w:name="_Toc256000090"/>
      <w:bookmarkStart w:id="606" w:name="_Toc148860643"/>
      <w:bookmarkStart w:id="607" w:name="_Toc23270"/>
      <w:bookmarkStart w:id="608" w:name="_Toc182923795"/>
      <w:r>
        <w:rPr>
          <w:rFonts w:hint="eastAsia" w:ascii="Times New Roman" w:hAnsi="Times New Roman" w:eastAsia="黑体"/>
          <w:color w:val="auto"/>
          <w:kern w:val="2"/>
          <w:highlight w:val="none"/>
          <w:lang w:bidi="ar"/>
        </w:rPr>
        <w:t>3.1初步评审</w:t>
      </w:r>
      <w:bookmarkEnd w:id="605"/>
      <w:bookmarkEnd w:id="606"/>
      <w:bookmarkEnd w:id="607"/>
      <w:bookmarkEnd w:id="608"/>
    </w:p>
    <w:p w14:paraId="6E7B9AFE">
      <w:pPr>
        <w:spacing w:line="40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3.1.1评标委员会依据本章第2.1款规定的标准对投标文件进行初步评审。有一项不符合评审标准的，评标委员会应当否决其投标。（适用于未进行资格预审的）</w:t>
      </w:r>
    </w:p>
    <w:p w14:paraId="03E9DE62">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4278CD7D">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）不按评标委员会要求澄清、说明或补正。</w:t>
      </w:r>
    </w:p>
    <w:p w14:paraId="1F925E5B">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）有串通投标、弄虚作假、行贿等违法行为；</w:t>
      </w:r>
    </w:p>
    <w:p w14:paraId="244F3EE0">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5DF8129F">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2CCA58E5">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2DFF66B7">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7DBA0AA4">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5BF8C89E">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07F3B96A">
      <w:pPr>
        <w:spacing w:line="380" w:lineRule="exact"/>
        <w:ind w:firstLine="420" w:firstLineChars="200"/>
        <w:rPr>
          <w:color w:val="auto"/>
          <w:highlight w:val="none"/>
        </w:rPr>
      </w:pPr>
      <w:r>
        <w:rPr>
          <w:rFonts w:hint="eastAsia"/>
          <w:color w:val="auto"/>
          <w:highlight w:val="none"/>
        </w:rPr>
        <w:t>⑥ 不同投标人的投标文件相互混装；</w:t>
      </w:r>
    </w:p>
    <w:p w14:paraId="41D107D4">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58615A21">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0016E95B">
      <w:pPr>
        <w:spacing w:line="380" w:lineRule="exact"/>
        <w:ind w:firstLine="420" w:firstLineChars="200"/>
        <w:rPr>
          <w:color w:val="auto"/>
          <w:highlight w:val="none"/>
        </w:rPr>
      </w:pPr>
      <w:r>
        <w:rPr>
          <w:rFonts w:hint="eastAsia"/>
          <w:color w:val="auto"/>
          <w:highlight w:val="none"/>
        </w:rPr>
        <w:t>2）有下列情形之一的，属于弄虚作假行为：</w:t>
      </w:r>
    </w:p>
    <w:p w14:paraId="650002E9">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05CEB6C4">
      <w:pPr>
        <w:spacing w:line="380" w:lineRule="exact"/>
        <w:ind w:firstLine="420" w:firstLineChars="200"/>
        <w:rPr>
          <w:color w:val="auto"/>
          <w:highlight w:val="none"/>
        </w:rPr>
      </w:pPr>
      <w:r>
        <w:rPr>
          <w:rFonts w:hint="eastAsia"/>
          <w:color w:val="auto"/>
          <w:highlight w:val="none"/>
        </w:rPr>
        <w:t>② 使用伪造、变造的许可证件；</w:t>
      </w:r>
    </w:p>
    <w:p w14:paraId="290903A4">
      <w:pPr>
        <w:spacing w:line="380" w:lineRule="exact"/>
        <w:ind w:firstLine="420" w:firstLineChars="200"/>
        <w:rPr>
          <w:color w:val="auto"/>
          <w:highlight w:val="none"/>
        </w:rPr>
      </w:pPr>
      <w:r>
        <w:rPr>
          <w:rFonts w:hint="eastAsia"/>
          <w:color w:val="auto"/>
          <w:highlight w:val="none"/>
        </w:rPr>
        <w:t>③ 提供虚假的财务状况或者业绩；</w:t>
      </w:r>
    </w:p>
    <w:p w14:paraId="126FB0D4">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0F9886C7">
      <w:pPr>
        <w:spacing w:line="380" w:lineRule="exact"/>
        <w:ind w:firstLine="420" w:firstLineChars="200"/>
        <w:rPr>
          <w:color w:val="auto"/>
          <w:highlight w:val="none"/>
        </w:rPr>
      </w:pPr>
      <w:r>
        <w:rPr>
          <w:rFonts w:hint="eastAsia"/>
          <w:color w:val="auto"/>
          <w:highlight w:val="none"/>
        </w:rPr>
        <w:t>⑤ 提供虚假的信用状况；</w:t>
      </w:r>
    </w:p>
    <w:p w14:paraId="53550A7A">
      <w:pPr>
        <w:spacing w:line="380" w:lineRule="exact"/>
        <w:ind w:firstLine="420" w:firstLineChars="200"/>
        <w:rPr>
          <w:color w:val="auto"/>
          <w:highlight w:val="none"/>
        </w:rPr>
      </w:pPr>
      <w:r>
        <w:rPr>
          <w:rFonts w:hint="eastAsia"/>
          <w:color w:val="auto"/>
          <w:highlight w:val="none"/>
        </w:rPr>
        <w:t>⑥ 其他弄虚作假的行为。</w:t>
      </w:r>
    </w:p>
    <w:p w14:paraId="1D0730FC">
      <w:pPr>
        <w:spacing w:line="400" w:lineRule="exact"/>
        <w:ind w:firstLine="420" w:firstLineChars="200"/>
        <w:rPr>
          <w:color w:val="auto"/>
          <w:highlight w:val="none"/>
        </w:rPr>
      </w:pPr>
      <w:r>
        <w:rPr>
          <w:rFonts w:hint="eastAsia"/>
          <w:color w:val="auto"/>
          <w:highlight w:val="none"/>
        </w:rPr>
        <w:t>（3）不按评标委员会要求澄清、说明或补正的。</w:t>
      </w:r>
    </w:p>
    <w:p w14:paraId="7635F4CA">
      <w:pPr>
        <w:spacing w:line="400" w:lineRule="exact"/>
        <w:ind w:firstLine="420" w:firstLineChars="200"/>
        <w:rPr>
          <w:color w:val="auto"/>
          <w:highlight w:val="none"/>
        </w:rPr>
      </w:pPr>
      <w:r>
        <w:rPr>
          <w:rFonts w:hint="eastAsia"/>
          <w:color w:val="auto"/>
          <w:highlight w:val="none"/>
        </w:rPr>
        <w:t>3.1.3 投标报价有算术错误的及其他错误的，评标委员会按以下原则对投标报价进行修正，修正的价格经投标人书面确认后具有约束力。投标人不接受修正价格的，或者修正后的投标报价超过最高投标限价的（如有），评标委员会应当否决其投标。</w:t>
      </w:r>
    </w:p>
    <w:p w14:paraId="017C07C6">
      <w:pPr>
        <w:spacing w:line="400" w:lineRule="exact"/>
        <w:ind w:firstLine="420" w:firstLineChars="200"/>
        <w:rPr>
          <w:color w:val="auto"/>
          <w:highlight w:val="none"/>
        </w:rPr>
      </w:pPr>
      <w:r>
        <w:rPr>
          <w:rFonts w:hint="eastAsia"/>
          <w:color w:val="auto"/>
          <w:highlight w:val="none"/>
        </w:rPr>
        <w:t>（1）投标文件中的大写金额与小写金额不一致的，以大写金额为准；</w:t>
      </w:r>
    </w:p>
    <w:p w14:paraId="35B94C2E">
      <w:pPr>
        <w:spacing w:line="40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4863DC81">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7B228AAE">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525C9ABE">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09" w:name="_Toc256000091"/>
      <w:bookmarkStart w:id="610" w:name="_Toc182923796"/>
      <w:bookmarkStart w:id="611" w:name="_Toc9682"/>
      <w:bookmarkStart w:id="612" w:name="_Toc148860644"/>
      <w:r>
        <w:rPr>
          <w:rFonts w:hint="eastAsia" w:ascii="Times New Roman" w:hAnsi="Times New Roman" w:eastAsia="黑体"/>
          <w:color w:val="auto"/>
          <w:kern w:val="2"/>
          <w:highlight w:val="none"/>
          <w:lang w:bidi="ar"/>
        </w:rPr>
        <w:t>3.2详细评审</w:t>
      </w:r>
      <w:bookmarkEnd w:id="609"/>
      <w:bookmarkEnd w:id="610"/>
      <w:bookmarkEnd w:id="611"/>
      <w:bookmarkEnd w:id="612"/>
    </w:p>
    <w:p w14:paraId="6268FAFF">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613" w:name="_Hlk175579082"/>
      <w:r>
        <w:rPr>
          <w:rFonts w:hint="eastAsia"/>
          <w:color w:val="auto"/>
          <w:highlight w:val="none"/>
        </w:rPr>
        <w:t>如采用入围方式的，则按照评标办法前附表规定的方式进行入围。</w:t>
      </w:r>
      <w:bookmarkEnd w:id="613"/>
    </w:p>
    <w:p w14:paraId="25785FD5">
      <w:pPr>
        <w:spacing w:line="40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评标委员会按本章第2.2款规定的量化因素和分值进行打分，并计算出综合评估得分。评标办法前附表对承包人建议书中的设计文件评审有特殊规定的，从其规定。</w:t>
      </w:r>
    </w:p>
    <w:p w14:paraId="22DB0371">
      <w:pPr>
        <w:spacing w:line="400" w:lineRule="exact"/>
        <w:ind w:firstLine="420" w:firstLineChars="200"/>
        <w:rPr>
          <w:color w:val="auto"/>
          <w:highlight w:val="none"/>
        </w:rPr>
      </w:pPr>
      <w:r>
        <w:rPr>
          <w:rFonts w:hint="eastAsia"/>
          <w:color w:val="auto"/>
          <w:highlight w:val="none"/>
        </w:rPr>
        <w:t>（1）按本章第2.2.4（1）目规定的评审因素和分值对投标报价计算出得分A；</w:t>
      </w:r>
      <w:r>
        <w:rPr>
          <w:color w:val="auto"/>
          <w:highlight w:val="none"/>
        </w:rPr>
        <w:t xml:space="preserve"> </w:t>
      </w:r>
    </w:p>
    <w:p w14:paraId="006FD15C">
      <w:pPr>
        <w:spacing w:line="400" w:lineRule="exact"/>
        <w:ind w:firstLine="420" w:firstLineChars="200"/>
        <w:rPr>
          <w:color w:val="auto"/>
          <w:highlight w:val="none"/>
        </w:rPr>
      </w:pPr>
      <w:r>
        <w:rPr>
          <w:rFonts w:hint="eastAsia"/>
          <w:color w:val="auto"/>
          <w:highlight w:val="none"/>
        </w:rPr>
        <w:t>（2）按本章第2.2.4（2）目规定的评审因素和分值对承包人建议书计算出得分B；</w:t>
      </w:r>
    </w:p>
    <w:p w14:paraId="4CB93185">
      <w:pPr>
        <w:spacing w:line="400" w:lineRule="exact"/>
        <w:ind w:firstLine="420" w:firstLineChars="200"/>
        <w:rPr>
          <w:color w:val="auto"/>
          <w:highlight w:val="none"/>
        </w:rPr>
      </w:pPr>
      <w:r>
        <w:rPr>
          <w:rFonts w:hint="eastAsia"/>
          <w:color w:val="auto"/>
          <w:highlight w:val="none"/>
        </w:rPr>
        <w:t>（3）按本章第2.2.4（3）目规定的评审因素和分值对承包人实施方案计算出得分C；</w:t>
      </w:r>
    </w:p>
    <w:p w14:paraId="68E0AD9F">
      <w:pPr>
        <w:spacing w:line="400" w:lineRule="exact"/>
        <w:ind w:firstLine="420" w:firstLineChars="200"/>
        <w:rPr>
          <w:color w:val="auto"/>
          <w:highlight w:val="none"/>
        </w:rPr>
      </w:pPr>
      <w:r>
        <w:rPr>
          <w:rFonts w:hint="eastAsia"/>
          <w:color w:val="auto"/>
          <w:highlight w:val="none"/>
        </w:rPr>
        <w:t>（4）按本章第2.2.4（4）目规定的评审因素和分值对资信业绩计算出得分D；</w:t>
      </w:r>
    </w:p>
    <w:p w14:paraId="1873963A">
      <w:pPr>
        <w:spacing w:line="400" w:lineRule="exact"/>
        <w:ind w:firstLine="420" w:firstLineChars="200"/>
        <w:rPr>
          <w:color w:val="auto"/>
          <w:highlight w:val="none"/>
        </w:rPr>
      </w:pPr>
      <w:r>
        <w:rPr>
          <w:rFonts w:hint="eastAsia"/>
          <w:color w:val="auto"/>
          <w:highlight w:val="none"/>
        </w:rPr>
        <w:t>（5）按本章第2.2.4（5）目规定的评审因素和分值对其他因素计算出得分E。</w:t>
      </w:r>
    </w:p>
    <w:p w14:paraId="5AC8A51C">
      <w:pPr>
        <w:spacing w:line="40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 xml:space="preserve"> 评分分值计算保留小数点后两位，小数点后第三位“四舍五入”。</w:t>
      </w:r>
    </w:p>
    <w:p w14:paraId="325A16A0">
      <w:pPr>
        <w:spacing w:line="400" w:lineRule="exact"/>
        <w:ind w:firstLine="420" w:firstLineChars="200"/>
        <w:rPr>
          <w:color w:val="auto"/>
          <w:highlight w:val="none"/>
        </w:rPr>
      </w:pPr>
      <w:r>
        <w:rPr>
          <w:rFonts w:hint="eastAsia"/>
          <w:color w:val="auto"/>
          <w:highlight w:val="none"/>
        </w:rPr>
        <w:t>3.2.</w:t>
      </w:r>
      <w:r>
        <w:rPr>
          <w:color w:val="auto"/>
          <w:highlight w:val="none"/>
        </w:rPr>
        <w:t>4</w:t>
      </w:r>
      <w:r>
        <w:rPr>
          <w:rFonts w:hint="eastAsia"/>
          <w:color w:val="auto"/>
          <w:highlight w:val="none"/>
        </w:rPr>
        <w:t xml:space="preserve"> 投标人得分=A+B+C+D+E。</w:t>
      </w:r>
    </w:p>
    <w:p w14:paraId="76763558">
      <w:pPr>
        <w:spacing w:line="400" w:lineRule="exact"/>
        <w:ind w:firstLine="420" w:firstLineChars="200"/>
        <w:rPr>
          <w:color w:val="auto"/>
          <w:highlight w:val="none"/>
        </w:rPr>
      </w:pPr>
      <w:r>
        <w:rPr>
          <w:rFonts w:hint="eastAsia"/>
          <w:color w:val="auto"/>
          <w:highlight w:val="none"/>
        </w:rPr>
        <w:t>3.2.</w:t>
      </w:r>
      <w:r>
        <w:rPr>
          <w:color w:val="auto"/>
          <w:highlight w:val="none"/>
        </w:rPr>
        <w:t>5</w:t>
      </w:r>
      <w:r>
        <w:rPr>
          <w:rFonts w:hint="eastAsia"/>
          <w:color w:val="auto"/>
          <w:highlight w:val="none"/>
        </w:rPr>
        <w:t xml:space="preserve"> </w:t>
      </w:r>
      <w:bookmarkStart w:id="614" w:name="_Hlk174450796"/>
      <w:r>
        <w:rPr>
          <w:rFonts w:hint="eastAsia"/>
          <w:color w:val="auto"/>
          <w:highlight w:val="none"/>
        </w:rPr>
        <w:t>各投标人评分结果汇总确定办法详见评标办法前附表。</w:t>
      </w:r>
      <w:bookmarkEnd w:id="614"/>
    </w:p>
    <w:p w14:paraId="417EEF90">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15" w:name="_Toc148860645"/>
      <w:bookmarkStart w:id="616" w:name="_Toc256000092"/>
      <w:bookmarkStart w:id="617" w:name="_Toc1892"/>
      <w:bookmarkStart w:id="618" w:name="_Toc182923797"/>
      <w:r>
        <w:rPr>
          <w:rFonts w:hint="eastAsia" w:ascii="Times New Roman" w:hAnsi="Times New Roman" w:eastAsia="黑体"/>
          <w:color w:val="auto"/>
          <w:kern w:val="2"/>
          <w:highlight w:val="none"/>
          <w:lang w:bidi="ar"/>
        </w:rPr>
        <w:t>3.3投标文件的澄清和补正</w:t>
      </w:r>
      <w:bookmarkEnd w:id="615"/>
      <w:bookmarkEnd w:id="616"/>
      <w:bookmarkEnd w:id="617"/>
      <w:bookmarkEnd w:id="618"/>
    </w:p>
    <w:p w14:paraId="3D9DA072">
      <w:pPr>
        <w:spacing w:line="400" w:lineRule="exact"/>
        <w:ind w:firstLine="420" w:firstLineChars="200"/>
        <w:rPr>
          <w:color w:val="auto"/>
          <w:highlight w:val="none"/>
        </w:rPr>
      </w:pPr>
      <w:r>
        <w:rPr>
          <w:rFonts w:hint="eastAsia"/>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7F61A165">
      <w:pPr>
        <w:spacing w:line="400" w:lineRule="exact"/>
        <w:ind w:firstLine="420" w:firstLineChars="200"/>
        <w:rPr>
          <w:color w:val="auto"/>
          <w:highlight w:val="none"/>
        </w:rPr>
      </w:pPr>
      <w:r>
        <w:rPr>
          <w:rFonts w:hint="eastAsia"/>
          <w:color w:val="auto"/>
          <w:highlight w:val="none"/>
        </w:rPr>
        <w:t>3.3.2 澄清、说明和补正不得改变投标文件的实质性内容。投标人的书面澄清、说明和补正属于投标文件的组成部分。</w:t>
      </w:r>
    </w:p>
    <w:p w14:paraId="0C0F0BDC">
      <w:pPr>
        <w:spacing w:line="40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2B8E1E94">
      <w:pPr>
        <w:spacing w:line="400" w:lineRule="exact"/>
        <w:ind w:firstLine="420" w:firstLineChars="200"/>
        <w:rPr>
          <w:color w:val="auto"/>
          <w:highlight w:val="none"/>
        </w:rPr>
      </w:pPr>
      <w:bookmarkStart w:id="619" w:name="_Hlk175579190"/>
      <w:r>
        <w:rPr>
          <w:rFonts w:hint="eastAsia"/>
          <w:color w:val="auto"/>
          <w:highlight w:val="none"/>
        </w:rPr>
        <w:t>3.3.4评标委员会要求投标人对投标文件问题澄清的通知，以及投标人对投标文件的澄清通过电子招标投标系统（辽宁省工程建设项目数字化开标评标系统）以书面形式进行。</w:t>
      </w:r>
      <w:bookmarkStart w:id="620"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619"/>
      <w:bookmarkEnd w:id="620"/>
    </w:p>
    <w:p w14:paraId="67E53F91">
      <w:pPr>
        <w:pStyle w:val="20"/>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21" w:name="_Toc182923798"/>
      <w:bookmarkStart w:id="622" w:name="_Toc4190"/>
      <w:bookmarkStart w:id="623" w:name="_Toc256000093"/>
      <w:bookmarkStart w:id="624" w:name="_Toc148860646"/>
      <w:r>
        <w:rPr>
          <w:rFonts w:hint="eastAsia" w:ascii="Times New Roman" w:hAnsi="Times New Roman" w:eastAsia="黑体"/>
          <w:color w:val="auto"/>
          <w:kern w:val="2"/>
          <w:highlight w:val="none"/>
          <w:lang w:bidi="ar"/>
        </w:rPr>
        <w:t>3.4评标结果</w:t>
      </w:r>
      <w:bookmarkEnd w:id="621"/>
      <w:bookmarkEnd w:id="622"/>
      <w:bookmarkEnd w:id="623"/>
      <w:bookmarkEnd w:id="624"/>
    </w:p>
    <w:p w14:paraId="4A0C5B1B">
      <w:pPr>
        <w:spacing w:line="400" w:lineRule="exact"/>
        <w:ind w:firstLine="420" w:firstLineChars="200"/>
        <w:rPr>
          <w:color w:val="auto"/>
          <w:highlight w:val="none"/>
        </w:rPr>
      </w:pPr>
      <w:r>
        <w:rPr>
          <w:rFonts w:hint="eastAsia"/>
          <w:color w:val="auto"/>
          <w:highlight w:val="none"/>
        </w:rPr>
        <w:t xml:space="preserve">3.4.1 </w:t>
      </w:r>
      <w:bookmarkStart w:id="625" w:name="_Hlk175579211"/>
      <w:r>
        <w:rPr>
          <w:rFonts w:hint="eastAsia"/>
          <w:color w:val="auto"/>
          <w:highlight w:val="none"/>
        </w:rPr>
        <w:t>评标委员会按照本章评标办法前附表规定的推荐方法和第二章“投标人须知”前附表第7.1款推荐的中标候选人数量推荐中标候选人。</w:t>
      </w:r>
      <w:bookmarkEnd w:id="625"/>
    </w:p>
    <w:p w14:paraId="0D0A6AB4">
      <w:pPr>
        <w:spacing w:line="400" w:lineRule="exact"/>
        <w:ind w:firstLine="420" w:firstLineChars="200"/>
        <w:rPr>
          <w:color w:val="auto"/>
          <w:highlight w:val="none"/>
        </w:rPr>
      </w:pPr>
      <w:r>
        <w:rPr>
          <w:rFonts w:hint="eastAsia"/>
          <w:color w:val="auto"/>
          <w:highlight w:val="none"/>
        </w:rPr>
        <w:t>3.4.2 评标委员会完成评标后，应当向招标人提交书面评标报告。</w:t>
      </w:r>
    </w:p>
    <w:p w14:paraId="4A479ED7">
      <w:pPr>
        <w:spacing w:line="400" w:lineRule="exact"/>
        <w:ind w:firstLine="420" w:firstLineChars="200"/>
        <w:rPr>
          <w:color w:val="auto"/>
          <w:highlight w:val="none"/>
        </w:rPr>
      </w:pPr>
      <w:bookmarkStart w:id="626" w:name="_Hlk161478081"/>
      <w:bookmarkStart w:id="627" w:name="_Hlk175579220"/>
      <w:r>
        <w:rPr>
          <w:rFonts w:hint="eastAsia"/>
          <w:color w:val="auto"/>
          <w:highlight w:val="none"/>
        </w:rPr>
        <w:t xml:space="preserve">3.4.3 </w:t>
      </w:r>
      <w:r>
        <w:rPr>
          <w:rFonts w:hint="eastAsia" w:ascii="宋体" w:hAnsi="宋体" w:cs="微软雅黑"/>
          <w:color w:val="auto"/>
          <w:szCs w:val="21"/>
          <w:highlight w:val="none"/>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626"/>
      <w:r>
        <w:rPr>
          <w:color w:val="auto"/>
          <w:highlight w:val="none"/>
        </w:rPr>
        <w:br w:type="page"/>
      </w:r>
    </w:p>
    <w:bookmarkEnd w:id="592"/>
    <w:bookmarkEnd w:id="627"/>
    <w:p w14:paraId="3B01368B">
      <w:pPr>
        <w:pStyle w:val="3"/>
        <w:rPr>
          <w:b w:val="0"/>
          <w:color w:val="auto"/>
          <w:sz w:val="24"/>
          <w:szCs w:val="24"/>
          <w:highlight w:val="none"/>
        </w:rPr>
      </w:pPr>
      <w:bookmarkStart w:id="628" w:name="_Toc182923799"/>
      <w:bookmarkStart w:id="629" w:name="_Toc256000094"/>
      <w:bookmarkStart w:id="630" w:name="_Toc162103264"/>
      <w:bookmarkStart w:id="631" w:name="_Hlk175579552"/>
      <w:bookmarkStart w:id="632" w:name="_Hlk175579420"/>
      <w:r>
        <w:rPr>
          <w:rFonts w:hint="eastAsia"/>
          <w:b w:val="0"/>
          <w:color w:val="auto"/>
          <w:sz w:val="24"/>
          <w:szCs w:val="24"/>
          <w:highlight w:val="none"/>
        </w:rPr>
        <w:t>附件A：评标详细程序</w:t>
      </w:r>
      <w:bookmarkEnd w:id="628"/>
      <w:bookmarkEnd w:id="629"/>
      <w:bookmarkEnd w:id="630"/>
    </w:p>
    <w:p w14:paraId="056F2E32">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50ECE75F">
      <w:pPr>
        <w:pStyle w:val="32"/>
        <w:ind w:firstLine="118"/>
        <w:rPr>
          <w:rFonts w:hint="eastAsia"/>
          <w:color w:val="auto"/>
          <w:highlight w:val="none"/>
        </w:rPr>
      </w:pPr>
      <w:bookmarkStart w:id="633" w:name="_Toc174544003"/>
      <w:bookmarkStart w:id="634" w:name="_Toc167542465"/>
      <w:bookmarkStart w:id="635" w:name="_Toc150507309"/>
      <w:bookmarkStart w:id="636" w:name="_Toc256000095"/>
      <w:bookmarkStart w:id="637" w:name="_Toc182923800"/>
      <w:bookmarkStart w:id="638" w:name="_Toc162103211"/>
      <w:r>
        <w:rPr>
          <w:rFonts w:hint="eastAsia"/>
          <w:color w:val="auto"/>
          <w:highlight w:val="none"/>
        </w:rPr>
        <w:t>A0.总  则</w:t>
      </w:r>
      <w:bookmarkEnd w:id="633"/>
      <w:bookmarkEnd w:id="634"/>
      <w:bookmarkEnd w:id="635"/>
      <w:bookmarkEnd w:id="636"/>
      <w:bookmarkEnd w:id="637"/>
      <w:bookmarkEnd w:id="638"/>
    </w:p>
    <w:p w14:paraId="7F88924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6970D1A0">
      <w:pPr>
        <w:pStyle w:val="32"/>
        <w:ind w:firstLine="118"/>
        <w:rPr>
          <w:rFonts w:hint="eastAsia"/>
          <w:color w:val="auto"/>
          <w:highlight w:val="none"/>
        </w:rPr>
      </w:pPr>
      <w:bookmarkStart w:id="639" w:name="_Toc167542466"/>
      <w:bookmarkStart w:id="640" w:name="_Toc182923801"/>
      <w:bookmarkStart w:id="641" w:name="_Toc162103212"/>
      <w:bookmarkStart w:id="642" w:name="_Toc174544004"/>
      <w:bookmarkStart w:id="643" w:name="_Toc256000096"/>
      <w:bookmarkStart w:id="644" w:name="_Toc150507310"/>
      <w:r>
        <w:rPr>
          <w:rFonts w:hint="eastAsia"/>
          <w:color w:val="auto"/>
          <w:highlight w:val="none"/>
        </w:rPr>
        <w:t>A1.基本程序</w:t>
      </w:r>
      <w:bookmarkEnd w:id="639"/>
      <w:bookmarkEnd w:id="640"/>
      <w:bookmarkEnd w:id="641"/>
      <w:bookmarkEnd w:id="642"/>
      <w:bookmarkEnd w:id="643"/>
      <w:bookmarkEnd w:id="644"/>
    </w:p>
    <w:p w14:paraId="24AD225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251AB31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077C673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4BB2D9A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0FCD39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6895E9A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353BC61F">
      <w:pPr>
        <w:pStyle w:val="32"/>
        <w:ind w:firstLine="118"/>
        <w:rPr>
          <w:rFonts w:hint="eastAsia"/>
          <w:color w:val="auto"/>
          <w:highlight w:val="none"/>
        </w:rPr>
      </w:pPr>
      <w:bookmarkStart w:id="645" w:name="_Toc150507311"/>
      <w:bookmarkStart w:id="646" w:name="_Toc167542467"/>
      <w:bookmarkStart w:id="647" w:name="_Toc162103213"/>
      <w:bookmarkStart w:id="648" w:name="_Toc174544005"/>
      <w:bookmarkStart w:id="649" w:name="_Toc182923802"/>
      <w:bookmarkStart w:id="650" w:name="_Toc256000097"/>
      <w:r>
        <w:rPr>
          <w:rFonts w:hint="eastAsia"/>
          <w:color w:val="auto"/>
          <w:highlight w:val="none"/>
        </w:rPr>
        <w:t>A2.评标准备</w:t>
      </w:r>
      <w:bookmarkEnd w:id="645"/>
      <w:bookmarkEnd w:id="646"/>
      <w:bookmarkEnd w:id="647"/>
      <w:bookmarkEnd w:id="648"/>
      <w:bookmarkEnd w:id="649"/>
      <w:bookmarkEnd w:id="650"/>
    </w:p>
    <w:p w14:paraId="63F3C0BA">
      <w:pPr>
        <w:pStyle w:val="32"/>
        <w:ind w:firstLine="103"/>
        <w:rPr>
          <w:rFonts w:hint="eastAsia" w:ascii="宋体"/>
          <w:bCs/>
          <w:color w:val="auto"/>
          <w:sz w:val="21"/>
          <w:szCs w:val="21"/>
          <w:highlight w:val="none"/>
        </w:rPr>
      </w:pPr>
      <w:bookmarkStart w:id="651" w:name="_Toc182923803"/>
      <w:bookmarkStart w:id="652" w:name="_Toc150507312"/>
      <w:bookmarkStart w:id="653" w:name="_Toc167542468"/>
      <w:bookmarkStart w:id="654" w:name="_Toc256000098"/>
      <w:bookmarkStart w:id="655" w:name="_Toc174544006"/>
      <w:bookmarkStart w:id="656" w:name="_Toc162103214"/>
      <w:r>
        <w:rPr>
          <w:rFonts w:hint="eastAsia"/>
          <w:bCs/>
          <w:color w:val="auto"/>
          <w:sz w:val="21"/>
          <w:szCs w:val="21"/>
          <w:highlight w:val="none"/>
        </w:rPr>
        <w:t>A2.1评标委员会成员签到</w:t>
      </w:r>
      <w:bookmarkEnd w:id="651"/>
      <w:bookmarkEnd w:id="652"/>
      <w:bookmarkEnd w:id="653"/>
      <w:bookmarkEnd w:id="654"/>
      <w:bookmarkEnd w:id="655"/>
      <w:bookmarkEnd w:id="656"/>
    </w:p>
    <w:p w14:paraId="19076F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121B273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1CD80CB4">
      <w:pPr>
        <w:pStyle w:val="32"/>
        <w:ind w:firstLine="103"/>
        <w:rPr>
          <w:rFonts w:hint="eastAsia"/>
          <w:bCs/>
          <w:color w:val="auto"/>
          <w:sz w:val="21"/>
          <w:szCs w:val="21"/>
          <w:highlight w:val="none"/>
        </w:rPr>
      </w:pPr>
      <w:bookmarkStart w:id="657" w:name="_Toc150507313"/>
      <w:bookmarkStart w:id="658" w:name="_Toc182923804"/>
      <w:bookmarkStart w:id="659" w:name="_Toc162103215"/>
      <w:bookmarkStart w:id="660" w:name="_Toc174544007"/>
      <w:bookmarkStart w:id="661" w:name="_Toc256000099"/>
      <w:bookmarkStart w:id="662" w:name="_Toc167542469"/>
      <w:r>
        <w:rPr>
          <w:rFonts w:hint="eastAsia"/>
          <w:bCs/>
          <w:color w:val="auto"/>
          <w:sz w:val="21"/>
          <w:szCs w:val="21"/>
          <w:highlight w:val="none"/>
        </w:rPr>
        <w:t>A2.2评标委员会的分工</w:t>
      </w:r>
      <w:bookmarkEnd w:id="657"/>
      <w:bookmarkEnd w:id="658"/>
      <w:bookmarkEnd w:id="659"/>
      <w:bookmarkEnd w:id="660"/>
      <w:bookmarkEnd w:id="661"/>
      <w:bookmarkEnd w:id="662"/>
    </w:p>
    <w:p w14:paraId="3C621D0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50B618E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76E10F9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2AAA1AD9">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362CFD8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2751675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58D9A06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790C728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3B43153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3EFDC95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3F8C36C3">
      <w:pPr>
        <w:pStyle w:val="32"/>
        <w:ind w:firstLine="103"/>
        <w:rPr>
          <w:rFonts w:hint="eastAsia"/>
          <w:bCs/>
          <w:color w:val="auto"/>
          <w:sz w:val="21"/>
          <w:szCs w:val="21"/>
          <w:highlight w:val="none"/>
        </w:rPr>
      </w:pPr>
      <w:bookmarkStart w:id="663" w:name="_Toc174544008"/>
      <w:bookmarkStart w:id="664" w:name="_Toc256000100"/>
      <w:bookmarkStart w:id="665" w:name="_Toc150507314"/>
      <w:bookmarkStart w:id="666" w:name="_Toc167542470"/>
      <w:bookmarkStart w:id="667" w:name="_Toc182923805"/>
      <w:bookmarkStart w:id="668" w:name="_Toc162103216"/>
      <w:r>
        <w:rPr>
          <w:rFonts w:hint="eastAsia"/>
          <w:bCs/>
          <w:color w:val="auto"/>
          <w:sz w:val="21"/>
          <w:szCs w:val="21"/>
          <w:highlight w:val="none"/>
        </w:rPr>
        <w:t>A2.3熟悉文件资料</w:t>
      </w:r>
      <w:bookmarkEnd w:id="663"/>
      <w:bookmarkEnd w:id="664"/>
      <w:bookmarkEnd w:id="665"/>
      <w:bookmarkEnd w:id="666"/>
      <w:bookmarkEnd w:id="667"/>
      <w:bookmarkEnd w:id="668"/>
    </w:p>
    <w:p w14:paraId="4DEE89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发包人要求、质量标准，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70D89DA3">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6C099E7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5E83B5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443B6AF9">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369249E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301177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65EE302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45DD2C2C">
      <w:pPr>
        <w:pStyle w:val="32"/>
        <w:ind w:firstLine="103"/>
        <w:rPr>
          <w:rFonts w:hint="eastAsia"/>
          <w:bCs/>
          <w:color w:val="auto"/>
          <w:sz w:val="21"/>
          <w:szCs w:val="21"/>
          <w:highlight w:val="none"/>
        </w:rPr>
      </w:pPr>
      <w:bookmarkStart w:id="669" w:name="_Toc167542471"/>
      <w:bookmarkStart w:id="670" w:name="_Toc256000101"/>
      <w:bookmarkStart w:id="671" w:name="_Toc162103217"/>
      <w:bookmarkStart w:id="672" w:name="_Toc174544009"/>
      <w:bookmarkStart w:id="673" w:name="_Toc182923806"/>
      <w:bookmarkStart w:id="674" w:name="_Toc150507315"/>
      <w:r>
        <w:rPr>
          <w:rFonts w:hint="eastAsia"/>
          <w:bCs/>
          <w:color w:val="auto"/>
          <w:sz w:val="21"/>
          <w:szCs w:val="21"/>
          <w:highlight w:val="none"/>
        </w:rPr>
        <w:t>A2.4暗标编号</w:t>
      </w:r>
      <w:bookmarkEnd w:id="669"/>
      <w:bookmarkEnd w:id="670"/>
      <w:bookmarkEnd w:id="671"/>
      <w:bookmarkEnd w:id="672"/>
      <w:bookmarkEnd w:id="673"/>
      <w:bookmarkEnd w:id="674"/>
    </w:p>
    <w:p w14:paraId="4892A25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120E64E0">
      <w:pPr>
        <w:pStyle w:val="32"/>
        <w:ind w:firstLine="103"/>
        <w:rPr>
          <w:rFonts w:hint="eastAsia"/>
          <w:bCs/>
          <w:color w:val="auto"/>
          <w:sz w:val="21"/>
          <w:szCs w:val="21"/>
          <w:highlight w:val="none"/>
        </w:rPr>
      </w:pPr>
      <w:bookmarkStart w:id="675" w:name="_Toc162103218"/>
      <w:bookmarkStart w:id="676" w:name="_Toc256000102"/>
      <w:bookmarkStart w:id="677" w:name="_Toc167542472"/>
      <w:bookmarkStart w:id="678" w:name="_Toc182923807"/>
      <w:bookmarkStart w:id="679" w:name="_Toc174544010"/>
      <w:bookmarkStart w:id="680" w:name="_Toc150507316"/>
      <w:r>
        <w:rPr>
          <w:rFonts w:hint="eastAsia"/>
          <w:bCs/>
          <w:color w:val="auto"/>
          <w:sz w:val="21"/>
          <w:szCs w:val="21"/>
          <w:highlight w:val="none"/>
        </w:rPr>
        <w:t>A2.5对投标文件进行基础性数据分析和整理工作</w:t>
      </w:r>
      <w:bookmarkEnd w:id="675"/>
      <w:bookmarkEnd w:id="676"/>
      <w:bookmarkEnd w:id="677"/>
      <w:bookmarkEnd w:id="678"/>
      <w:bookmarkEnd w:id="679"/>
      <w:bookmarkEnd w:id="680"/>
    </w:p>
    <w:p w14:paraId="1A6118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22EB04E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453AEA72">
      <w:pPr>
        <w:pStyle w:val="32"/>
        <w:ind w:firstLine="118"/>
        <w:rPr>
          <w:rFonts w:hint="eastAsia"/>
          <w:color w:val="auto"/>
          <w:highlight w:val="none"/>
        </w:rPr>
      </w:pPr>
      <w:bookmarkStart w:id="681" w:name="_Toc174544011"/>
      <w:bookmarkStart w:id="682" w:name="_Toc162103219"/>
      <w:bookmarkStart w:id="683" w:name="_Toc256000103"/>
      <w:bookmarkStart w:id="684" w:name="_Toc167542473"/>
      <w:bookmarkStart w:id="685" w:name="_Toc150507317"/>
      <w:bookmarkStart w:id="686" w:name="_Toc182923808"/>
      <w:r>
        <w:rPr>
          <w:rFonts w:hint="eastAsia"/>
          <w:color w:val="auto"/>
          <w:highlight w:val="none"/>
        </w:rPr>
        <w:t>A3</w:t>
      </w:r>
      <w:r>
        <w:rPr>
          <w:color w:val="auto"/>
          <w:highlight w:val="none"/>
        </w:rPr>
        <w:t>.</w:t>
      </w:r>
      <w:r>
        <w:rPr>
          <w:rFonts w:hint="eastAsia"/>
          <w:color w:val="auto"/>
          <w:highlight w:val="none"/>
        </w:rPr>
        <w:t>初步评审</w:t>
      </w:r>
      <w:bookmarkEnd w:id="681"/>
      <w:bookmarkEnd w:id="682"/>
      <w:bookmarkEnd w:id="683"/>
      <w:bookmarkEnd w:id="684"/>
      <w:bookmarkEnd w:id="685"/>
      <w:bookmarkEnd w:id="686"/>
    </w:p>
    <w:p w14:paraId="46B92F3E">
      <w:pPr>
        <w:pStyle w:val="32"/>
        <w:ind w:firstLine="103"/>
        <w:rPr>
          <w:rFonts w:hint="eastAsia"/>
          <w:bCs/>
          <w:color w:val="auto"/>
          <w:sz w:val="21"/>
          <w:szCs w:val="21"/>
          <w:highlight w:val="none"/>
        </w:rPr>
      </w:pPr>
      <w:bookmarkStart w:id="687" w:name="_Toc182923809"/>
      <w:bookmarkStart w:id="688" w:name="_Toc162103220"/>
      <w:bookmarkStart w:id="689" w:name="_Toc150507318"/>
      <w:bookmarkStart w:id="690" w:name="_Toc174544012"/>
      <w:bookmarkStart w:id="691" w:name="_Toc256000104"/>
      <w:bookmarkStart w:id="692" w:name="_Toc167542474"/>
      <w:r>
        <w:rPr>
          <w:rFonts w:hint="eastAsia"/>
          <w:bCs/>
          <w:color w:val="auto"/>
          <w:sz w:val="21"/>
          <w:szCs w:val="21"/>
          <w:highlight w:val="none"/>
        </w:rPr>
        <w:t>A3.1形式评审</w:t>
      </w:r>
      <w:bookmarkEnd w:id="687"/>
      <w:bookmarkEnd w:id="688"/>
      <w:bookmarkEnd w:id="689"/>
      <w:bookmarkEnd w:id="690"/>
      <w:bookmarkEnd w:id="691"/>
      <w:bookmarkEnd w:id="692"/>
    </w:p>
    <w:p w14:paraId="6F8C3C3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494511D7">
      <w:pPr>
        <w:pStyle w:val="32"/>
        <w:ind w:firstLine="103"/>
        <w:rPr>
          <w:rFonts w:hint="eastAsia"/>
          <w:bCs/>
          <w:color w:val="auto"/>
          <w:sz w:val="21"/>
          <w:szCs w:val="21"/>
          <w:highlight w:val="none"/>
        </w:rPr>
      </w:pPr>
      <w:bookmarkStart w:id="693" w:name="_Toc162103221"/>
      <w:bookmarkStart w:id="694" w:name="_Toc150507319"/>
      <w:bookmarkStart w:id="695" w:name="_Toc182923810"/>
      <w:bookmarkStart w:id="696" w:name="_Toc256000105"/>
      <w:bookmarkStart w:id="697" w:name="_Toc174544013"/>
      <w:bookmarkStart w:id="698" w:name="_Toc167542475"/>
      <w:r>
        <w:rPr>
          <w:rFonts w:hint="eastAsia"/>
          <w:bCs/>
          <w:color w:val="auto"/>
          <w:sz w:val="21"/>
          <w:szCs w:val="21"/>
          <w:highlight w:val="none"/>
        </w:rPr>
        <w:t>A3.2资格评审</w:t>
      </w:r>
      <w:bookmarkEnd w:id="693"/>
      <w:bookmarkEnd w:id="694"/>
      <w:bookmarkEnd w:id="695"/>
      <w:bookmarkEnd w:id="696"/>
      <w:bookmarkEnd w:id="697"/>
      <w:bookmarkEnd w:id="698"/>
    </w:p>
    <w:p w14:paraId="01BD9C3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3F8DC30E">
      <w:pPr>
        <w:pStyle w:val="32"/>
        <w:ind w:firstLine="103"/>
        <w:rPr>
          <w:rFonts w:hint="eastAsia"/>
          <w:bCs/>
          <w:color w:val="auto"/>
          <w:sz w:val="21"/>
          <w:szCs w:val="21"/>
          <w:highlight w:val="none"/>
        </w:rPr>
      </w:pPr>
      <w:bookmarkStart w:id="699" w:name="_Toc167542476"/>
      <w:bookmarkStart w:id="700" w:name="_Toc174544014"/>
      <w:bookmarkStart w:id="701" w:name="_Toc182923811"/>
      <w:bookmarkStart w:id="702" w:name="_Toc162103222"/>
      <w:bookmarkStart w:id="703" w:name="_Toc150507320"/>
      <w:bookmarkStart w:id="704" w:name="_Toc256000106"/>
      <w:r>
        <w:rPr>
          <w:rFonts w:hint="eastAsia"/>
          <w:bCs/>
          <w:color w:val="auto"/>
          <w:sz w:val="21"/>
          <w:szCs w:val="21"/>
          <w:highlight w:val="none"/>
        </w:rPr>
        <w:t>A3.3响应性评审</w:t>
      </w:r>
      <w:bookmarkEnd w:id="699"/>
      <w:bookmarkEnd w:id="700"/>
      <w:bookmarkEnd w:id="701"/>
      <w:bookmarkEnd w:id="702"/>
      <w:bookmarkEnd w:id="703"/>
      <w:bookmarkEnd w:id="704"/>
    </w:p>
    <w:p w14:paraId="19E2C6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515A4A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7DBB375F">
      <w:pPr>
        <w:pStyle w:val="32"/>
        <w:ind w:firstLine="103"/>
        <w:rPr>
          <w:rFonts w:hint="eastAsia"/>
          <w:bCs/>
          <w:color w:val="auto"/>
          <w:sz w:val="21"/>
          <w:szCs w:val="21"/>
          <w:highlight w:val="none"/>
        </w:rPr>
      </w:pPr>
      <w:bookmarkStart w:id="705" w:name="_Toc256000107"/>
      <w:bookmarkStart w:id="706" w:name="_Toc150507321"/>
      <w:bookmarkStart w:id="707" w:name="_Toc162103223"/>
      <w:bookmarkStart w:id="708" w:name="_Toc174544015"/>
      <w:bookmarkStart w:id="709" w:name="_Toc182923812"/>
      <w:bookmarkStart w:id="710" w:name="_Toc167542477"/>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705"/>
      <w:bookmarkEnd w:id="706"/>
      <w:bookmarkEnd w:id="707"/>
      <w:bookmarkEnd w:id="708"/>
      <w:bookmarkEnd w:id="709"/>
      <w:bookmarkEnd w:id="710"/>
    </w:p>
    <w:p w14:paraId="60090E61">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77C6FF2E">
      <w:pPr>
        <w:pStyle w:val="32"/>
        <w:ind w:firstLine="103"/>
        <w:rPr>
          <w:rFonts w:hint="eastAsia"/>
          <w:bCs/>
          <w:color w:val="auto"/>
          <w:sz w:val="21"/>
          <w:szCs w:val="21"/>
          <w:highlight w:val="none"/>
        </w:rPr>
      </w:pPr>
      <w:bookmarkStart w:id="711" w:name="_Toc182923813"/>
      <w:bookmarkStart w:id="712" w:name="_Toc256000108"/>
      <w:bookmarkStart w:id="713" w:name="_Toc162103224"/>
      <w:bookmarkStart w:id="714" w:name="_Toc174544016"/>
      <w:bookmarkStart w:id="715" w:name="_Toc150507322"/>
      <w:bookmarkStart w:id="716" w:name="_Toc167542478"/>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711"/>
      <w:bookmarkEnd w:id="712"/>
      <w:bookmarkEnd w:id="713"/>
      <w:bookmarkEnd w:id="714"/>
      <w:bookmarkEnd w:id="715"/>
      <w:bookmarkEnd w:id="716"/>
    </w:p>
    <w:p w14:paraId="7442CD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29B213AD">
      <w:pPr>
        <w:pStyle w:val="32"/>
        <w:ind w:firstLine="103"/>
        <w:rPr>
          <w:rFonts w:hint="eastAsia"/>
          <w:bCs/>
          <w:color w:val="auto"/>
          <w:sz w:val="21"/>
          <w:szCs w:val="21"/>
          <w:highlight w:val="none"/>
        </w:rPr>
      </w:pPr>
      <w:bookmarkStart w:id="717" w:name="_Toc174544017"/>
      <w:bookmarkStart w:id="718" w:name="_Toc167542479"/>
      <w:bookmarkStart w:id="719" w:name="_Toc162103225"/>
      <w:bookmarkStart w:id="720" w:name="_Toc150507323"/>
      <w:bookmarkStart w:id="721" w:name="_Toc182923814"/>
      <w:bookmarkStart w:id="722" w:name="_Toc256000109"/>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717"/>
      <w:bookmarkEnd w:id="718"/>
      <w:bookmarkEnd w:id="719"/>
      <w:bookmarkEnd w:id="720"/>
      <w:bookmarkEnd w:id="721"/>
      <w:bookmarkEnd w:id="722"/>
    </w:p>
    <w:p w14:paraId="1EDE760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016050B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2349208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12EC200D">
      <w:pPr>
        <w:pStyle w:val="32"/>
        <w:ind w:firstLine="103"/>
        <w:rPr>
          <w:rFonts w:hint="eastAsia"/>
          <w:bCs/>
          <w:color w:val="auto"/>
          <w:sz w:val="21"/>
          <w:szCs w:val="21"/>
          <w:highlight w:val="none"/>
        </w:rPr>
      </w:pPr>
      <w:bookmarkStart w:id="723" w:name="_Toc162103226"/>
      <w:bookmarkStart w:id="724" w:name="_Toc182923815"/>
      <w:bookmarkStart w:id="725" w:name="_Toc167542480"/>
      <w:bookmarkStart w:id="726" w:name="_Toc256000110"/>
      <w:bookmarkStart w:id="727" w:name="_Toc150507324"/>
      <w:bookmarkStart w:id="728" w:name="_Toc174544018"/>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723"/>
      <w:bookmarkEnd w:id="724"/>
      <w:bookmarkEnd w:id="725"/>
      <w:bookmarkEnd w:id="726"/>
      <w:bookmarkEnd w:id="727"/>
      <w:bookmarkEnd w:id="728"/>
    </w:p>
    <w:p w14:paraId="2FE8552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745FAA52">
      <w:pPr>
        <w:pStyle w:val="32"/>
        <w:ind w:firstLine="118"/>
        <w:rPr>
          <w:rFonts w:hint="eastAsia"/>
          <w:color w:val="auto"/>
          <w:highlight w:val="none"/>
        </w:rPr>
      </w:pPr>
      <w:bookmarkStart w:id="729" w:name="_Toc167542481"/>
      <w:bookmarkStart w:id="730" w:name="_Toc150507325"/>
      <w:bookmarkStart w:id="731" w:name="_Toc182923816"/>
      <w:bookmarkStart w:id="732" w:name="_Toc162103227"/>
      <w:bookmarkStart w:id="733" w:name="_Toc174544019"/>
      <w:bookmarkStart w:id="734" w:name="_Toc256000111"/>
      <w:r>
        <w:rPr>
          <w:rFonts w:hint="eastAsia"/>
          <w:color w:val="auto"/>
          <w:highlight w:val="none"/>
        </w:rPr>
        <w:t>A4.详细评审</w:t>
      </w:r>
      <w:bookmarkEnd w:id="729"/>
      <w:bookmarkEnd w:id="730"/>
      <w:bookmarkEnd w:id="731"/>
      <w:bookmarkEnd w:id="732"/>
      <w:bookmarkEnd w:id="733"/>
      <w:bookmarkEnd w:id="734"/>
    </w:p>
    <w:p w14:paraId="6FF11790">
      <w:pPr>
        <w:spacing w:line="400" w:lineRule="exact"/>
        <w:ind w:firstLine="420" w:firstLineChars="200"/>
        <w:rPr>
          <w:rFonts w:hint="eastAsia" w:ascii="宋体" w:hAnsi="宋体"/>
          <w:color w:val="auto"/>
          <w:szCs w:val="21"/>
          <w:highlight w:val="none"/>
        </w:rPr>
      </w:pPr>
      <w:bookmarkStart w:id="735" w:name="_Toc150507326"/>
      <w:bookmarkStart w:id="736" w:name="_Toc162103228"/>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22D9A7D6">
      <w:pPr>
        <w:pStyle w:val="32"/>
        <w:ind w:firstLine="103"/>
        <w:rPr>
          <w:rFonts w:hint="eastAsia"/>
          <w:bCs/>
          <w:color w:val="auto"/>
          <w:sz w:val="21"/>
          <w:szCs w:val="21"/>
          <w:highlight w:val="none"/>
        </w:rPr>
      </w:pPr>
      <w:bookmarkStart w:id="737" w:name="_Toc174544020"/>
      <w:bookmarkStart w:id="738" w:name="_Toc182923817"/>
      <w:bookmarkStart w:id="739" w:name="_Toc167542482"/>
      <w:bookmarkStart w:id="740" w:name="_Toc256000112"/>
      <w:r>
        <w:rPr>
          <w:rFonts w:hint="eastAsia"/>
          <w:bCs/>
          <w:color w:val="auto"/>
          <w:sz w:val="21"/>
          <w:szCs w:val="21"/>
          <w:highlight w:val="none"/>
        </w:rPr>
        <w:t>A4.1详细评审的程序</w:t>
      </w:r>
      <w:bookmarkEnd w:id="735"/>
      <w:bookmarkEnd w:id="736"/>
      <w:bookmarkEnd w:id="737"/>
      <w:bookmarkEnd w:id="738"/>
      <w:bookmarkEnd w:id="739"/>
      <w:bookmarkEnd w:id="740"/>
    </w:p>
    <w:p w14:paraId="7FD256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54D9058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7865EE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（2）承包人建议书评审和评分；</w:t>
      </w:r>
    </w:p>
    <w:p w14:paraId="1259E1D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（3）技术标评审和评分； </w:t>
      </w:r>
    </w:p>
    <w:p w14:paraId="0E472E0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（4）资信标评审和评分；</w:t>
      </w:r>
    </w:p>
    <w:p w14:paraId="0AABA6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（5）其他因素评审和</w:t>
      </w:r>
      <w:r>
        <w:rPr>
          <w:rFonts w:hint="eastAsia"/>
          <w:color w:val="auto"/>
          <w:highlight w:val="none"/>
        </w:rPr>
        <w:t>评分</w:t>
      </w:r>
      <w:r>
        <w:rPr>
          <w:rFonts w:hint="eastAsia" w:ascii="宋体" w:hAnsi="宋体"/>
          <w:color w:val="auto"/>
          <w:szCs w:val="21"/>
          <w:highlight w:val="none"/>
        </w:rPr>
        <w:t>；</w:t>
      </w:r>
    </w:p>
    <w:p w14:paraId="14BCE2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（6）汇总评分结果。</w:t>
      </w:r>
    </w:p>
    <w:p w14:paraId="79AC0EA5">
      <w:pPr>
        <w:pStyle w:val="32"/>
        <w:ind w:firstLine="103"/>
        <w:rPr>
          <w:rFonts w:hint="eastAsia"/>
          <w:bCs/>
          <w:color w:val="auto"/>
          <w:sz w:val="21"/>
          <w:szCs w:val="21"/>
          <w:highlight w:val="none"/>
        </w:rPr>
      </w:pPr>
      <w:bookmarkStart w:id="741" w:name="_Toc256000113"/>
      <w:bookmarkStart w:id="742" w:name="_Toc182923818"/>
      <w:bookmarkStart w:id="743" w:name="_Toc174544021"/>
      <w:bookmarkStart w:id="744" w:name="_Toc150507327"/>
      <w:bookmarkStart w:id="745" w:name="_Toc167542483"/>
      <w:bookmarkStart w:id="746" w:name="_Toc162103229"/>
      <w:r>
        <w:rPr>
          <w:rFonts w:hint="eastAsia"/>
          <w:bCs/>
          <w:color w:val="auto"/>
          <w:sz w:val="21"/>
          <w:szCs w:val="21"/>
          <w:highlight w:val="none"/>
        </w:rPr>
        <w:t>A4.2经济标评审和评分</w:t>
      </w:r>
      <w:bookmarkEnd w:id="741"/>
      <w:bookmarkEnd w:id="742"/>
      <w:bookmarkEnd w:id="743"/>
      <w:bookmarkEnd w:id="744"/>
      <w:bookmarkEnd w:id="745"/>
      <w:bookmarkEnd w:id="746"/>
    </w:p>
    <w:p w14:paraId="2990D6D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1E2B81B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3F557AD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2F60E8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0B645847">
      <w:pPr>
        <w:pStyle w:val="32"/>
        <w:ind w:firstLine="103"/>
        <w:rPr>
          <w:rFonts w:hint="eastAsia"/>
          <w:bCs/>
          <w:color w:val="auto"/>
          <w:sz w:val="21"/>
          <w:szCs w:val="21"/>
          <w:highlight w:val="none"/>
        </w:rPr>
      </w:pPr>
      <w:bookmarkStart w:id="747" w:name="_Toc174544022"/>
      <w:bookmarkStart w:id="748" w:name="_Toc256000114"/>
      <w:bookmarkStart w:id="749" w:name="_Toc182923819"/>
      <w:bookmarkStart w:id="750" w:name="_Toc167542484"/>
      <w:bookmarkStart w:id="751" w:name="_Toc150507328"/>
      <w:bookmarkStart w:id="752" w:name="_Toc162103230"/>
      <w:r>
        <w:rPr>
          <w:rFonts w:hint="eastAsia"/>
          <w:bCs/>
          <w:color w:val="auto"/>
          <w:sz w:val="21"/>
          <w:szCs w:val="21"/>
          <w:highlight w:val="none"/>
        </w:rPr>
        <w:t xml:space="preserve">A4.3 </w:t>
      </w:r>
      <w:bookmarkStart w:id="753" w:name="_Hlk164713493"/>
      <w:r>
        <w:rPr>
          <w:rFonts w:hint="eastAsia"/>
          <w:bCs/>
          <w:color w:val="auto"/>
          <w:sz w:val="21"/>
          <w:szCs w:val="21"/>
          <w:highlight w:val="none"/>
        </w:rPr>
        <w:t>承包人建议书</w:t>
      </w:r>
      <w:bookmarkEnd w:id="753"/>
      <w:r>
        <w:rPr>
          <w:rFonts w:hint="eastAsia"/>
          <w:bCs/>
          <w:color w:val="auto"/>
          <w:sz w:val="21"/>
          <w:szCs w:val="21"/>
          <w:highlight w:val="none"/>
        </w:rPr>
        <w:t>评审和评分</w:t>
      </w:r>
      <w:bookmarkEnd w:id="747"/>
      <w:bookmarkEnd w:id="748"/>
      <w:bookmarkEnd w:id="749"/>
      <w:bookmarkEnd w:id="750"/>
    </w:p>
    <w:p w14:paraId="0E85C7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按照评标办法前附表中规定的分值设定、各项评分因素、评分标准，对承包人建议书进行评审和评分，并使用</w:t>
      </w:r>
      <w:r>
        <w:rPr>
          <w:rFonts w:hint="eastAsia" w:ascii="宋体" w:hAnsi="宋体"/>
          <w:b/>
          <w:color w:val="auto"/>
          <w:szCs w:val="21"/>
          <w:highlight w:val="none"/>
        </w:rPr>
        <w:t>附表A-</w:t>
      </w:r>
      <w:r>
        <w:rPr>
          <w:rFonts w:ascii="宋体" w:hAnsi="宋体"/>
          <w:b/>
          <w:color w:val="auto"/>
          <w:szCs w:val="21"/>
          <w:highlight w:val="none"/>
        </w:rPr>
        <w:t>1</w:t>
      </w:r>
      <w:r>
        <w:rPr>
          <w:rFonts w:hint="eastAsia" w:ascii="宋体" w:hAnsi="宋体"/>
          <w:b/>
          <w:color w:val="auto"/>
          <w:szCs w:val="21"/>
          <w:highlight w:val="none"/>
        </w:rPr>
        <w:t>1</w:t>
      </w:r>
      <w:r>
        <w:rPr>
          <w:rFonts w:hint="eastAsia" w:ascii="宋体" w:hAnsi="宋体"/>
          <w:color w:val="auto"/>
          <w:szCs w:val="21"/>
          <w:highlight w:val="none"/>
        </w:rPr>
        <w:t>记录对承包人建议书的评分结果，承包人建议书的得分记录为</w:t>
      </w:r>
      <w:r>
        <w:rPr>
          <w:rFonts w:hint="eastAsia" w:ascii="宋体" w:hAnsi="宋体"/>
          <w:b/>
          <w:color w:val="auto"/>
          <w:szCs w:val="21"/>
          <w:highlight w:val="none"/>
        </w:rPr>
        <w:t>B</w:t>
      </w:r>
      <w:r>
        <w:rPr>
          <w:rFonts w:hint="eastAsia" w:ascii="宋体" w:hAnsi="宋体"/>
          <w:color w:val="auto"/>
          <w:szCs w:val="21"/>
          <w:highlight w:val="none"/>
        </w:rPr>
        <w:t>。</w:t>
      </w:r>
    </w:p>
    <w:p w14:paraId="49F672F7">
      <w:pPr>
        <w:pStyle w:val="32"/>
        <w:ind w:firstLine="103"/>
        <w:rPr>
          <w:rFonts w:hint="eastAsia"/>
          <w:bCs/>
          <w:color w:val="auto"/>
          <w:sz w:val="21"/>
          <w:szCs w:val="21"/>
          <w:highlight w:val="none"/>
        </w:rPr>
      </w:pPr>
      <w:bookmarkStart w:id="754" w:name="_Toc182923820"/>
      <w:bookmarkStart w:id="755" w:name="_Toc256000115"/>
      <w:bookmarkStart w:id="756" w:name="_Toc174544023"/>
      <w:bookmarkStart w:id="757" w:name="_Toc167542485"/>
      <w:r>
        <w:rPr>
          <w:rFonts w:hint="eastAsia"/>
          <w:bCs/>
          <w:color w:val="auto"/>
          <w:sz w:val="21"/>
          <w:szCs w:val="21"/>
          <w:highlight w:val="none"/>
        </w:rPr>
        <w:t>A4.4 技术标评审和评分</w:t>
      </w:r>
      <w:bookmarkEnd w:id="751"/>
      <w:bookmarkEnd w:id="752"/>
      <w:bookmarkEnd w:id="754"/>
      <w:bookmarkEnd w:id="755"/>
      <w:bookmarkEnd w:id="756"/>
      <w:bookmarkEnd w:id="757"/>
    </w:p>
    <w:p w14:paraId="5D7AF8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w:t>
      </w:r>
      <w:bookmarkStart w:id="758" w:name="_Hlk171344922"/>
      <w:r>
        <w:rPr>
          <w:rFonts w:hint="eastAsia" w:ascii="宋体" w:hAnsi="宋体"/>
          <w:color w:val="auto"/>
          <w:szCs w:val="21"/>
          <w:highlight w:val="none"/>
        </w:rPr>
        <w:t>承包人</w:t>
      </w:r>
      <w:bookmarkEnd w:id="758"/>
      <w:r>
        <w:rPr>
          <w:rFonts w:hint="eastAsia" w:ascii="宋体" w:hAnsi="宋体"/>
          <w:color w:val="auto"/>
          <w:szCs w:val="21"/>
          <w:highlight w:val="none"/>
        </w:rPr>
        <w:t>实施方案进行评审和评分，并使用</w:t>
      </w:r>
      <w:r>
        <w:rPr>
          <w:rFonts w:hint="eastAsia" w:ascii="宋体" w:hAnsi="宋体"/>
          <w:b/>
          <w:color w:val="auto"/>
          <w:szCs w:val="21"/>
          <w:highlight w:val="none"/>
        </w:rPr>
        <w:t>附表A-</w:t>
      </w:r>
      <w:r>
        <w:rPr>
          <w:rFonts w:ascii="宋体" w:hAnsi="宋体"/>
          <w:b/>
          <w:color w:val="auto"/>
          <w:szCs w:val="21"/>
          <w:highlight w:val="none"/>
        </w:rPr>
        <w:t>1</w:t>
      </w:r>
      <w:r>
        <w:rPr>
          <w:rFonts w:hint="eastAsia" w:ascii="宋体" w:hAnsi="宋体"/>
          <w:b/>
          <w:color w:val="auto"/>
          <w:szCs w:val="21"/>
          <w:highlight w:val="none"/>
        </w:rPr>
        <w:t>2</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6FAABCCC">
      <w:pPr>
        <w:pStyle w:val="32"/>
        <w:ind w:firstLine="103"/>
        <w:rPr>
          <w:rFonts w:hint="eastAsia"/>
          <w:bCs/>
          <w:color w:val="auto"/>
          <w:sz w:val="21"/>
          <w:szCs w:val="21"/>
          <w:highlight w:val="none"/>
        </w:rPr>
      </w:pPr>
      <w:bookmarkStart w:id="759" w:name="_Toc256000116"/>
      <w:bookmarkStart w:id="760" w:name="_Toc174544024"/>
      <w:bookmarkStart w:id="761" w:name="_Toc167542486"/>
      <w:bookmarkStart w:id="762" w:name="_Toc182923821"/>
      <w:bookmarkStart w:id="763" w:name="_Toc162103231"/>
      <w:bookmarkStart w:id="764" w:name="_Toc150507329"/>
      <w:r>
        <w:rPr>
          <w:rFonts w:hint="eastAsia"/>
          <w:bCs/>
          <w:color w:val="auto"/>
          <w:sz w:val="21"/>
          <w:szCs w:val="21"/>
          <w:highlight w:val="none"/>
        </w:rPr>
        <w:t>A4.</w:t>
      </w:r>
      <w:bookmarkStart w:id="765" w:name="_Hlk164534604"/>
      <w:r>
        <w:rPr>
          <w:rFonts w:hint="eastAsia"/>
          <w:bCs/>
          <w:color w:val="auto"/>
          <w:sz w:val="21"/>
          <w:szCs w:val="21"/>
          <w:highlight w:val="none"/>
        </w:rPr>
        <w:t>5 资信</w:t>
      </w:r>
      <w:bookmarkEnd w:id="765"/>
      <w:r>
        <w:rPr>
          <w:rFonts w:hint="eastAsia"/>
          <w:bCs/>
          <w:color w:val="auto"/>
          <w:sz w:val="21"/>
          <w:szCs w:val="21"/>
          <w:highlight w:val="none"/>
        </w:rPr>
        <w:t>标评审和评分</w:t>
      </w:r>
      <w:bookmarkEnd w:id="759"/>
      <w:bookmarkEnd w:id="760"/>
      <w:bookmarkEnd w:id="761"/>
      <w:bookmarkEnd w:id="762"/>
      <w:bookmarkEnd w:id="763"/>
      <w:bookmarkEnd w:id="764"/>
    </w:p>
    <w:p w14:paraId="2D6DE6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附表A-14</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D</w:t>
      </w:r>
      <w:r>
        <w:rPr>
          <w:rFonts w:hint="eastAsia" w:ascii="宋体" w:hAnsi="宋体"/>
          <w:color w:val="auto"/>
          <w:szCs w:val="21"/>
          <w:highlight w:val="none"/>
        </w:rPr>
        <w:t>。</w:t>
      </w:r>
    </w:p>
    <w:p w14:paraId="2B0B11A4">
      <w:pPr>
        <w:pStyle w:val="32"/>
        <w:ind w:firstLine="103"/>
        <w:rPr>
          <w:rFonts w:hint="eastAsia"/>
          <w:bCs/>
          <w:color w:val="auto"/>
          <w:sz w:val="21"/>
          <w:szCs w:val="21"/>
          <w:highlight w:val="none"/>
        </w:rPr>
      </w:pPr>
      <w:bookmarkStart w:id="766" w:name="_Toc256000117"/>
      <w:bookmarkStart w:id="767" w:name="_Toc182923822"/>
      <w:bookmarkStart w:id="768" w:name="_Toc167542487"/>
      <w:bookmarkStart w:id="769" w:name="_Toc150507330"/>
      <w:bookmarkStart w:id="770" w:name="_Toc162103232"/>
      <w:bookmarkStart w:id="771" w:name="_Toc174544025"/>
      <w:r>
        <w:rPr>
          <w:rFonts w:hint="eastAsia"/>
          <w:bCs/>
          <w:color w:val="auto"/>
          <w:sz w:val="21"/>
          <w:szCs w:val="21"/>
          <w:highlight w:val="none"/>
        </w:rPr>
        <w:t>A4.6 其他因素的评审和评分</w:t>
      </w:r>
      <w:bookmarkEnd w:id="766"/>
      <w:bookmarkEnd w:id="767"/>
      <w:bookmarkEnd w:id="768"/>
      <w:bookmarkEnd w:id="769"/>
      <w:bookmarkEnd w:id="770"/>
      <w:bookmarkEnd w:id="771"/>
    </w:p>
    <w:p w14:paraId="03644AB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附表A-15</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E</w:t>
      </w:r>
      <w:r>
        <w:rPr>
          <w:rFonts w:hint="eastAsia" w:ascii="宋体" w:hAnsi="宋体"/>
          <w:color w:val="auto"/>
          <w:szCs w:val="21"/>
          <w:highlight w:val="none"/>
        </w:rPr>
        <w:t>。</w:t>
      </w:r>
    </w:p>
    <w:p w14:paraId="739CD1C3">
      <w:pPr>
        <w:pStyle w:val="32"/>
        <w:ind w:firstLine="103"/>
        <w:rPr>
          <w:rFonts w:hint="eastAsia"/>
          <w:bCs/>
          <w:color w:val="auto"/>
          <w:sz w:val="21"/>
          <w:szCs w:val="21"/>
          <w:highlight w:val="none"/>
        </w:rPr>
      </w:pPr>
      <w:bookmarkStart w:id="772" w:name="_Toc182923823"/>
      <w:bookmarkStart w:id="773" w:name="_Toc150507331"/>
      <w:bookmarkStart w:id="774" w:name="_Toc162103233"/>
      <w:bookmarkStart w:id="775" w:name="_Toc174544026"/>
      <w:bookmarkStart w:id="776" w:name="_Toc167542488"/>
      <w:bookmarkStart w:id="777" w:name="_Toc256000118"/>
      <w:r>
        <w:rPr>
          <w:rFonts w:hint="eastAsia"/>
          <w:bCs/>
          <w:color w:val="auto"/>
          <w:sz w:val="21"/>
          <w:szCs w:val="21"/>
          <w:highlight w:val="none"/>
        </w:rPr>
        <w:t>A4.7 澄清、说明或补正</w:t>
      </w:r>
      <w:bookmarkEnd w:id="772"/>
      <w:bookmarkEnd w:id="773"/>
      <w:bookmarkEnd w:id="774"/>
      <w:bookmarkEnd w:id="775"/>
      <w:bookmarkEnd w:id="776"/>
      <w:bookmarkEnd w:id="777"/>
    </w:p>
    <w:p w14:paraId="083ACD1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620B1944">
      <w:pPr>
        <w:pStyle w:val="32"/>
        <w:ind w:firstLine="103"/>
        <w:rPr>
          <w:rFonts w:hint="eastAsia"/>
          <w:bCs/>
          <w:color w:val="auto"/>
          <w:sz w:val="21"/>
          <w:szCs w:val="21"/>
          <w:highlight w:val="none"/>
        </w:rPr>
      </w:pPr>
      <w:bookmarkStart w:id="778" w:name="_Toc162103234"/>
      <w:bookmarkStart w:id="779" w:name="_Toc174544027"/>
      <w:bookmarkStart w:id="780" w:name="_Toc150507332"/>
      <w:bookmarkStart w:id="781" w:name="_Toc167542489"/>
      <w:bookmarkStart w:id="782" w:name="_Toc182923824"/>
      <w:bookmarkStart w:id="783" w:name="_Toc256000119"/>
      <w:r>
        <w:rPr>
          <w:rFonts w:hint="eastAsia"/>
          <w:bCs/>
          <w:color w:val="auto"/>
          <w:sz w:val="21"/>
          <w:szCs w:val="21"/>
          <w:highlight w:val="none"/>
        </w:rPr>
        <w:t>A4.8汇总评分（评审）结果</w:t>
      </w:r>
      <w:bookmarkEnd w:id="778"/>
      <w:bookmarkEnd w:id="779"/>
      <w:bookmarkEnd w:id="780"/>
      <w:bookmarkEnd w:id="781"/>
      <w:bookmarkEnd w:id="782"/>
      <w:bookmarkEnd w:id="783"/>
    </w:p>
    <w:p w14:paraId="37CE846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附表A-16</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30880F0A">
      <w:pPr>
        <w:pStyle w:val="32"/>
        <w:ind w:firstLine="118"/>
        <w:rPr>
          <w:rFonts w:hint="eastAsia"/>
          <w:color w:val="auto"/>
          <w:highlight w:val="none"/>
        </w:rPr>
      </w:pPr>
      <w:bookmarkStart w:id="784" w:name="_Toc167542490"/>
      <w:bookmarkStart w:id="785" w:name="_Toc150507333"/>
      <w:bookmarkStart w:id="786" w:name="_Toc174544028"/>
      <w:bookmarkStart w:id="787" w:name="_Toc182923825"/>
      <w:bookmarkStart w:id="788" w:name="_Toc256000120"/>
      <w:bookmarkStart w:id="789" w:name="_Toc162103235"/>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784"/>
      <w:bookmarkEnd w:id="785"/>
      <w:bookmarkEnd w:id="786"/>
      <w:bookmarkEnd w:id="787"/>
      <w:bookmarkEnd w:id="788"/>
      <w:bookmarkEnd w:id="789"/>
    </w:p>
    <w:p w14:paraId="1D217BA7">
      <w:pPr>
        <w:pStyle w:val="32"/>
        <w:ind w:firstLine="103"/>
        <w:rPr>
          <w:rFonts w:hint="eastAsia"/>
          <w:bCs/>
          <w:color w:val="auto"/>
          <w:sz w:val="21"/>
          <w:szCs w:val="21"/>
          <w:highlight w:val="none"/>
        </w:rPr>
      </w:pPr>
      <w:bookmarkStart w:id="790" w:name="_Toc162103236"/>
      <w:bookmarkStart w:id="791" w:name="_Toc182923826"/>
      <w:bookmarkStart w:id="792" w:name="_Toc150507334"/>
      <w:bookmarkStart w:id="793" w:name="_Toc256000121"/>
      <w:bookmarkStart w:id="794" w:name="_Toc174544029"/>
      <w:bookmarkStart w:id="795" w:name="_Toc167542491"/>
      <w:r>
        <w:rPr>
          <w:rFonts w:hint="eastAsia"/>
          <w:bCs/>
          <w:color w:val="auto"/>
          <w:sz w:val="21"/>
          <w:szCs w:val="21"/>
          <w:highlight w:val="none"/>
        </w:rPr>
        <w:t>A5.1推荐中标候选人</w:t>
      </w:r>
      <w:bookmarkEnd w:id="790"/>
      <w:bookmarkEnd w:id="791"/>
      <w:bookmarkEnd w:id="792"/>
      <w:bookmarkEnd w:id="793"/>
      <w:bookmarkEnd w:id="794"/>
      <w:bookmarkEnd w:id="795"/>
    </w:p>
    <w:p w14:paraId="165FB1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附表A-18</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6ECE3C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796" w:name="_Hlk171344251"/>
      <w:r>
        <w:rPr>
          <w:rFonts w:hint="eastAsia"/>
          <w:color w:val="auto"/>
          <w:highlight w:val="none"/>
        </w:rPr>
        <w:t>本章评标办法前附表规定的</w:t>
      </w:r>
      <w:r>
        <w:rPr>
          <w:rFonts w:hint="eastAsia" w:ascii="宋体" w:hAnsi="宋体"/>
          <w:color w:val="auto"/>
          <w:szCs w:val="21"/>
          <w:highlight w:val="none"/>
        </w:rPr>
        <w:t>方法</w:t>
      </w:r>
      <w:bookmarkEnd w:id="796"/>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73F5068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797" w:name="_Hlk171344300"/>
      <w:r>
        <w:rPr>
          <w:rFonts w:hint="eastAsia" w:ascii="宋体" w:hAnsi="宋体"/>
          <w:color w:val="auto"/>
          <w:szCs w:val="21"/>
          <w:highlight w:val="none"/>
        </w:rPr>
        <w:t>则评标委员会可以将所有有效投标人作为中标候选人向招标人推荐。</w:t>
      </w:r>
      <w:bookmarkEnd w:id="797"/>
      <w:r>
        <w:rPr>
          <w:rFonts w:hint="eastAsia" w:ascii="宋体" w:hAnsi="宋体"/>
          <w:color w:val="auto"/>
          <w:szCs w:val="21"/>
          <w:highlight w:val="none"/>
        </w:rPr>
        <w:t>如果因有效投标不足三个使得投标明显缺乏竞争的，评标委员会可以否决所有投标，并建议招标人重新招标。</w:t>
      </w:r>
    </w:p>
    <w:p w14:paraId="550F0E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1A790BE6">
      <w:pPr>
        <w:pStyle w:val="32"/>
        <w:ind w:firstLine="103"/>
        <w:rPr>
          <w:rFonts w:hint="eastAsia"/>
          <w:bCs/>
          <w:color w:val="auto"/>
          <w:sz w:val="21"/>
          <w:szCs w:val="21"/>
          <w:highlight w:val="none"/>
        </w:rPr>
      </w:pPr>
      <w:bookmarkStart w:id="798" w:name="_Toc167542492"/>
      <w:bookmarkStart w:id="799" w:name="_Toc150507335"/>
      <w:bookmarkStart w:id="800" w:name="_Toc162103237"/>
      <w:bookmarkStart w:id="801" w:name="_Toc174544030"/>
      <w:bookmarkStart w:id="802" w:name="_Toc182923827"/>
      <w:bookmarkStart w:id="803" w:name="_Toc256000122"/>
      <w:r>
        <w:rPr>
          <w:rFonts w:hint="eastAsia"/>
          <w:bCs/>
          <w:color w:val="auto"/>
          <w:sz w:val="21"/>
          <w:szCs w:val="21"/>
          <w:highlight w:val="none"/>
        </w:rPr>
        <w:t>A5.2直接确定中标人</w:t>
      </w:r>
      <w:bookmarkEnd w:id="798"/>
      <w:bookmarkEnd w:id="799"/>
      <w:bookmarkEnd w:id="800"/>
      <w:bookmarkEnd w:id="801"/>
      <w:bookmarkEnd w:id="802"/>
      <w:bookmarkEnd w:id="803"/>
    </w:p>
    <w:p w14:paraId="665A24E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7B6A56C8">
      <w:pPr>
        <w:pStyle w:val="32"/>
        <w:ind w:firstLine="103"/>
        <w:rPr>
          <w:rFonts w:hint="eastAsia"/>
          <w:bCs/>
          <w:color w:val="auto"/>
          <w:sz w:val="21"/>
          <w:szCs w:val="21"/>
          <w:highlight w:val="none"/>
        </w:rPr>
      </w:pPr>
      <w:bookmarkStart w:id="804" w:name="_Toc150507336"/>
      <w:bookmarkStart w:id="805" w:name="_Toc182923828"/>
      <w:bookmarkStart w:id="806" w:name="_Toc174544031"/>
      <w:bookmarkStart w:id="807" w:name="_Toc167542493"/>
      <w:bookmarkStart w:id="808" w:name="_Toc256000123"/>
      <w:bookmarkStart w:id="809" w:name="_Toc162103238"/>
      <w:r>
        <w:rPr>
          <w:rFonts w:hint="eastAsia"/>
          <w:bCs/>
          <w:color w:val="auto"/>
          <w:sz w:val="21"/>
          <w:szCs w:val="21"/>
          <w:highlight w:val="none"/>
        </w:rPr>
        <w:t>A5.3编制评标报告</w:t>
      </w:r>
      <w:bookmarkEnd w:id="804"/>
      <w:bookmarkEnd w:id="805"/>
      <w:bookmarkEnd w:id="806"/>
      <w:bookmarkEnd w:id="807"/>
      <w:bookmarkEnd w:id="808"/>
      <w:bookmarkEnd w:id="809"/>
    </w:p>
    <w:p w14:paraId="004F92D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5A3995C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34E2547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2C52300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0E6453B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029130E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5AD0023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1C7C84C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2401B7C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367668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7FB43A5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5E131A17">
      <w:pPr>
        <w:pStyle w:val="32"/>
        <w:ind w:firstLine="118"/>
        <w:rPr>
          <w:rFonts w:hint="eastAsia"/>
          <w:color w:val="auto"/>
          <w:highlight w:val="none"/>
        </w:rPr>
      </w:pPr>
      <w:bookmarkStart w:id="810" w:name="_Toc150507337"/>
      <w:bookmarkStart w:id="811" w:name="_Toc182923829"/>
      <w:bookmarkStart w:id="812" w:name="_Toc167542494"/>
      <w:bookmarkStart w:id="813" w:name="_Toc256000124"/>
      <w:bookmarkStart w:id="814" w:name="_Toc174544032"/>
      <w:bookmarkStart w:id="815" w:name="_Toc162103239"/>
      <w:r>
        <w:rPr>
          <w:rFonts w:hint="eastAsia"/>
          <w:color w:val="auto"/>
          <w:highlight w:val="none"/>
        </w:rPr>
        <w:t>A6.特殊情况的处置程序</w:t>
      </w:r>
      <w:bookmarkEnd w:id="810"/>
      <w:bookmarkEnd w:id="811"/>
      <w:bookmarkEnd w:id="812"/>
      <w:bookmarkEnd w:id="813"/>
      <w:bookmarkEnd w:id="814"/>
      <w:bookmarkEnd w:id="815"/>
    </w:p>
    <w:p w14:paraId="38D41202">
      <w:pPr>
        <w:pStyle w:val="32"/>
        <w:ind w:firstLine="103"/>
        <w:rPr>
          <w:rFonts w:hint="eastAsia"/>
          <w:bCs/>
          <w:color w:val="auto"/>
          <w:sz w:val="21"/>
          <w:szCs w:val="21"/>
          <w:highlight w:val="none"/>
        </w:rPr>
      </w:pPr>
      <w:bookmarkStart w:id="816" w:name="_Toc174544033"/>
      <w:bookmarkStart w:id="817" w:name="_Toc182923830"/>
      <w:bookmarkStart w:id="818" w:name="_Toc162103240"/>
      <w:bookmarkStart w:id="819" w:name="_Toc256000125"/>
      <w:bookmarkStart w:id="820" w:name="_Toc167542495"/>
      <w:bookmarkStart w:id="821" w:name="_Toc150507338"/>
      <w:r>
        <w:rPr>
          <w:rFonts w:hint="eastAsia"/>
          <w:bCs/>
          <w:color w:val="auto"/>
          <w:sz w:val="21"/>
          <w:szCs w:val="21"/>
          <w:highlight w:val="none"/>
        </w:rPr>
        <w:t>A6.1暗标评审的评审程序规定（适用于对技术标进行暗标评审的）</w:t>
      </w:r>
      <w:bookmarkEnd w:id="816"/>
      <w:bookmarkEnd w:id="817"/>
      <w:bookmarkEnd w:id="818"/>
      <w:bookmarkEnd w:id="819"/>
      <w:bookmarkEnd w:id="820"/>
      <w:bookmarkEnd w:id="821"/>
    </w:p>
    <w:p w14:paraId="7DFCCE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w:t>
      </w:r>
      <w:r>
        <w:rPr>
          <w:rFonts w:hint="eastAsia"/>
          <w:color w:val="auto"/>
          <w:szCs w:val="21"/>
          <w:highlight w:val="none"/>
          <w:lang w:val="en-US" w:eastAsia="zh-CN"/>
        </w:rPr>
        <w:t>他</w:t>
      </w:r>
      <w:r>
        <w:rPr>
          <w:rFonts w:hint="eastAsia"/>
          <w:color w:val="auto"/>
          <w:szCs w:val="21"/>
          <w:highlight w:val="none"/>
        </w:rPr>
        <w:t>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1143275A">
      <w:pPr>
        <w:pStyle w:val="32"/>
        <w:ind w:firstLine="103"/>
        <w:rPr>
          <w:rFonts w:hint="eastAsia"/>
          <w:bCs/>
          <w:color w:val="auto"/>
          <w:sz w:val="21"/>
          <w:szCs w:val="21"/>
          <w:highlight w:val="none"/>
        </w:rPr>
      </w:pPr>
      <w:bookmarkStart w:id="822" w:name="_Toc167542496"/>
      <w:bookmarkStart w:id="823" w:name="_Toc182923831"/>
      <w:bookmarkStart w:id="824" w:name="_Toc256000126"/>
      <w:bookmarkStart w:id="825" w:name="_Toc162103241"/>
      <w:bookmarkStart w:id="826" w:name="_Toc150507339"/>
      <w:bookmarkStart w:id="827" w:name="_Toc174544034"/>
      <w:r>
        <w:rPr>
          <w:rFonts w:hint="eastAsia"/>
          <w:bCs/>
          <w:color w:val="auto"/>
          <w:sz w:val="21"/>
          <w:szCs w:val="21"/>
          <w:highlight w:val="none"/>
        </w:rPr>
        <w:t>A6.2关于评标活动暂停</w:t>
      </w:r>
      <w:bookmarkEnd w:id="822"/>
      <w:bookmarkEnd w:id="823"/>
      <w:bookmarkEnd w:id="824"/>
      <w:bookmarkEnd w:id="825"/>
      <w:bookmarkEnd w:id="826"/>
      <w:bookmarkEnd w:id="827"/>
    </w:p>
    <w:p w14:paraId="0695DF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1B86421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3F0603A4">
      <w:pPr>
        <w:pStyle w:val="32"/>
        <w:ind w:firstLine="103"/>
        <w:rPr>
          <w:rFonts w:hint="eastAsia"/>
          <w:bCs/>
          <w:color w:val="auto"/>
          <w:sz w:val="21"/>
          <w:szCs w:val="21"/>
          <w:highlight w:val="none"/>
        </w:rPr>
      </w:pPr>
      <w:bookmarkStart w:id="828" w:name="_Toc174544035"/>
      <w:bookmarkStart w:id="829" w:name="_Toc162103242"/>
      <w:bookmarkStart w:id="830" w:name="_Toc150507340"/>
      <w:bookmarkStart w:id="831" w:name="_Toc182923832"/>
      <w:bookmarkStart w:id="832" w:name="_Toc167542497"/>
      <w:bookmarkStart w:id="833" w:name="_Toc256000127"/>
      <w:r>
        <w:rPr>
          <w:rFonts w:hint="eastAsia"/>
          <w:bCs/>
          <w:color w:val="auto"/>
          <w:sz w:val="21"/>
          <w:szCs w:val="21"/>
          <w:highlight w:val="none"/>
        </w:rPr>
        <w:t>A6.3关于评标中途更换评标委员会成员</w:t>
      </w:r>
      <w:bookmarkEnd w:id="828"/>
      <w:bookmarkEnd w:id="829"/>
      <w:bookmarkEnd w:id="830"/>
      <w:bookmarkEnd w:id="831"/>
      <w:bookmarkEnd w:id="832"/>
      <w:bookmarkEnd w:id="833"/>
    </w:p>
    <w:p w14:paraId="09BA23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69E9E4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21A9431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1E5D19D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4C23684F">
      <w:pPr>
        <w:pStyle w:val="32"/>
        <w:ind w:firstLine="103"/>
        <w:rPr>
          <w:rFonts w:hint="eastAsia"/>
          <w:bCs/>
          <w:color w:val="auto"/>
          <w:sz w:val="21"/>
          <w:szCs w:val="21"/>
          <w:highlight w:val="none"/>
        </w:rPr>
      </w:pPr>
      <w:bookmarkStart w:id="834" w:name="_Toc182923833"/>
      <w:bookmarkStart w:id="835" w:name="_Toc150507341"/>
      <w:bookmarkStart w:id="836" w:name="_Toc162103243"/>
      <w:bookmarkStart w:id="837" w:name="_Toc256000128"/>
      <w:bookmarkStart w:id="838" w:name="_Toc167542498"/>
      <w:bookmarkStart w:id="839" w:name="_Toc174544036"/>
      <w:r>
        <w:rPr>
          <w:rFonts w:hint="eastAsia"/>
          <w:bCs/>
          <w:color w:val="auto"/>
          <w:sz w:val="21"/>
          <w:szCs w:val="21"/>
          <w:highlight w:val="none"/>
        </w:rPr>
        <w:t>A6.4 评标争议处理</w:t>
      </w:r>
      <w:bookmarkEnd w:id="834"/>
      <w:bookmarkEnd w:id="835"/>
      <w:bookmarkEnd w:id="836"/>
      <w:bookmarkEnd w:id="837"/>
      <w:bookmarkEnd w:id="838"/>
      <w:bookmarkEnd w:id="839"/>
    </w:p>
    <w:p w14:paraId="3C88EA0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1A7F345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00DC51A2">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6408014C">
      <w:pPr>
        <w:pStyle w:val="32"/>
        <w:ind w:firstLine="118"/>
        <w:rPr>
          <w:rFonts w:hint="eastAsia"/>
          <w:color w:val="auto"/>
          <w:highlight w:val="none"/>
        </w:rPr>
      </w:pPr>
      <w:bookmarkStart w:id="840" w:name="_Toc150507342"/>
      <w:bookmarkStart w:id="841" w:name="_Toc256000129"/>
      <w:bookmarkStart w:id="842" w:name="_Toc167542499"/>
      <w:bookmarkStart w:id="843" w:name="_Toc182923834"/>
      <w:bookmarkStart w:id="844" w:name="_Toc162103244"/>
      <w:bookmarkStart w:id="845" w:name="_Toc174544037"/>
      <w:r>
        <w:rPr>
          <w:rFonts w:hint="eastAsia"/>
          <w:color w:val="auto"/>
          <w:highlight w:val="none"/>
        </w:rPr>
        <w:t>A7.补充条款</w:t>
      </w:r>
      <w:bookmarkEnd w:id="840"/>
      <w:bookmarkEnd w:id="841"/>
      <w:bookmarkEnd w:id="842"/>
      <w:bookmarkEnd w:id="843"/>
      <w:bookmarkEnd w:id="844"/>
      <w:bookmarkEnd w:id="845"/>
    </w:p>
    <w:p w14:paraId="03950A79">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631"/>
    <w:p w14:paraId="4EC4D1E8">
      <w:pPr>
        <w:widowControl/>
        <w:jc w:val="left"/>
        <w:rPr>
          <w:color w:val="auto"/>
          <w:highlight w:val="none"/>
        </w:rPr>
      </w:pPr>
      <w:r>
        <w:rPr>
          <w:color w:val="auto"/>
          <w:highlight w:val="none"/>
        </w:rPr>
        <w:br w:type="page"/>
      </w:r>
    </w:p>
    <w:p w14:paraId="3781484A">
      <w:pPr>
        <w:widowControl/>
        <w:jc w:val="left"/>
        <w:rPr>
          <w:color w:val="auto"/>
          <w:highlight w:val="none"/>
        </w:rPr>
      </w:pPr>
    </w:p>
    <w:p w14:paraId="553A0723">
      <w:pPr>
        <w:pStyle w:val="3"/>
        <w:widowControl/>
        <w:rPr>
          <w:rFonts w:hint="eastAsia" w:ascii="宋体" w:hAnsi="宋体" w:eastAsia="宋体" w:cs="宋体"/>
          <w:color w:val="auto"/>
          <w:sz w:val="24"/>
          <w:szCs w:val="24"/>
          <w:highlight w:val="none"/>
        </w:rPr>
      </w:pPr>
      <w:bookmarkStart w:id="846" w:name="_Toc256000130"/>
      <w:bookmarkStart w:id="847" w:name="_Toc148967356"/>
      <w:bookmarkStart w:id="848" w:name="_Toc182923835"/>
      <w:bookmarkStart w:id="849" w:name="_Toc20048"/>
      <w:r>
        <w:rPr>
          <w:rFonts w:hint="eastAsia" w:ascii="宋体" w:hAnsi="宋体" w:eastAsia="宋体" w:cs="宋体"/>
          <w:color w:val="auto"/>
          <w:sz w:val="24"/>
          <w:szCs w:val="24"/>
          <w:highlight w:val="none"/>
        </w:rPr>
        <w:t>附件B：否决投标的条件</w:t>
      </w:r>
      <w:bookmarkEnd w:id="846"/>
      <w:bookmarkEnd w:id="847"/>
      <w:bookmarkEnd w:id="848"/>
      <w:bookmarkEnd w:id="849"/>
      <w:r>
        <w:rPr>
          <w:rFonts w:hint="eastAsia" w:ascii="宋体" w:hAnsi="宋体" w:eastAsia="宋体" w:cs="宋体"/>
          <w:color w:val="auto"/>
          <w:sz w:val="24"/>
          <w:szCs w:val="24"/>
          <w:highlight w:val="none"/>
        </w:rPr>
        <w:t xml:space="preserve"> </w:t>
      </w:r>
    </w:p>
    <w:p w14:paraId="5CA6CE8D">
      <w:pPr>
        <w:widowControl/>
        <w:jc w:val="center"/>
        <w:rPr>
          <w:rFonts w:ascii="黑体" w:eastAsia="黑体" w:cs="黑体"/>
          <w:b/>
          <w:color w:val="auto"/>
          <w:sz w:val="28"/>
          <w:szCs w:val="28"/>
          <w:highlight w:val="none"/>
        </w:rPr>
      </w:pPr>
      <w:r>
        <w:rPr>
          <w:rFonts w:hint="eastAsia" w:ascii="黑体" w:eastAsia="黑体" w:cs="黑体"/>
          <w:b/>
          <w:color w:val="auto"/>
          <w:kern w:val="0"/>
          <w:sz w:val="28"/>
          <w:szCs w:val="28"/>
          <w:highlight w:val="none"/>
          <w:lang w:bidi="ar"/>
        </w:rPr>
        <w:t>否决投标的条件</w:t>
      </w:r>
    </w:p>
    <w:p w14:paraId="7417D66D">
      <w:pPr>
        <w:pStyle w:val="20"/>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850" w:name="_Toc9224"/>
      <w:bookmarkStart w:id="851" w:name="_Toc182923836"/>
      <w:bookmarkStart w:id="852" w:name="_Toc167542501"/>
      <w:bookmarkStart w:id="853" w:name="_Toc256000131"/>
      <w:r>
        <w:rPr>
          <w:rFonts w:hint="eastAsia" w:ascii="黑体" w:eastAsia="黑体" w:cs="黑体"/>
          <w:color w:val="auto"/>
          <w:kern w:val="2"/>
          <w:highlight w:val="none"/>
          <w:lang w:bidi="ar"/>
        </w:rPr>
        <w:t>B0.总  则</w:t>
      </w:r>
      <w:bookmarkEnd w:id="850"/>
      <w:bookmarkEnd w:id="851"/>
      <w:bookmarkEnd w:id="852"/>
      <w:bookmarkEnd w:id="853"/>
    </w:p>
    <w:p w14:paraId="408E9253">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附件所集中列示的否决投标的条件，是本章“评标办法”的组成部分，是对第二章“投标人须知”和本章正文部分所规定的否决投标的条件的总结和补充，如果出现不一致的情况，以本章前附表和正文部分的规定为准。</w:t>
      </w:r>
    </w:p>
    <w:p w14:paraId="5E287D25">
      <w:pPr>
        <w:pStyle w:val="20"/>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854" w:name="_Toc26024"/>
      <w:bookmarkStart w:id="855" w:name="_Toc182923837"/>
      <w:bookmarkStart w:id="856" w:name="_Toc256000132"/>
      <w:bookmarkStart w:id="857" w:name="_Toc167542502"/>
      <w:r>
        <w:rPr>
          <w:rFonts w:hint="eastAsia" w:ascii="黑体" w:eastAsia="黑体" w:cs="黑体"/>
          <w:color w:val="auto"/>
          <w:kern w:val="2"/>
          <w:highlight w:val="none"/>
          <w:lang w:bidi="ar"/>
        </w:rPr>
        <w:t>B1.否决投标的条件</w:t>
      </w:r>
      <w:bookmarkEnd w:id="854"/>
      <w:bookmarkEnd w:id="855"/>
      <w:bookmarkEnd w:id="856"/>
      <w:bookmarkEnd w:id="857"/>
    </w:p>
    <w:p w14:paraId="508AAEEF">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投标人或其投标文件有下列情形之一的，评标委员会应当否决其投标：</w:t>
      </w:r>
    </w:p>
    <w:p w14:paraId="083235CD">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B1</w:t>
      </w:r>
      <w:r>
        <w:rPr>
          <w:color w:val="auto"/>
          <w:kern w:val="0"/>
          <w:szCs w:val="21"/>
          <w:highlight w:val="none"/>
          <w:lang w:bidi="ar"/>
        </w:rPr>
        <w:t>.1在形式评审、资格评审、响应性评审中，评标委员会认定投标人的投标文件不符合评标办法前附表中规定的任何一项评审标准的。主要包括以下内容：</w:t>
      </w:r>
    </w:p>
    <w:p w14:paraId="1F24FF36">
      <w:pPr>
        <w:widowControl/>
        <w:spacing w:line="430" w:lineRule="exact"/>
        <w:ind w:firstLine="420" w:firstLineChars="200"/>
        <w:rPr>
          <w:color w:val="auto"/>
          <w:szCs w:val="21"/>
          <w:highlight w:val="none"/>
        </w:rPr>
      </w:pPr>
      <w:r>
        <w:rPr>
          <w:color w:val="auto"/>
          <w:kern w:val="0"/>
          <w:szCs w:val="21"/>
          <w:highlight w:val="none"/>
          <w:lang w:bidi="ar"/>
        </w:rPr>
        <w:t>（1）投标人名称与营业执照、资质证书、</w:t>
      </w:r>
      <w:r>
        <w:rPr>
          <w:color w:val="auto"/>
          <w:highlight w:val="none"/>
        </w:rPr>
        <w:t>安全生产许可证</w:t>
      </w:r>
      <w:r>
        <w:rPr>
          <w:color w:val="auto"/>
          <w:kern w:val="0"/>
          <w:szCs w:val="21"/>
          <w:highlight w:val="none"/>
          <w:lang w:bidi="ar"/>
        </w:rPr>
        <w:t>不一致；或提供无效的营业执照、资质证书、安全生</w:t>
      </w:r>
      <w:r>
        <w:rPr>
          <w:rFonts w:hint="eastAsia"/>
          <w:color w:val="auto"/>
          <w:kern w:val="0"/>
          <w:szCs w:val="21"/>
          <w:highlight w:val="none"/>
          <w:lang w:val="en-US" w:eastAsia="zh-CN" w:bidi="ar"/>
        </w:rPr>
        <w:t>产</w:t>
      </w:r>
      <w:r>
        <w:rPr>
          <w:color w:val="auto"/>
          <w:kern w:val="0"/>
          <w:szCs w:val="21"/>
          <w:highlight w:val="none"/>
          <w:lang w:bidi="ar"/>
        </w:rPr>
        <w:t>许可证的；</w:t>
      </w:r>
    </w:p>
    <w:p w14:paraId="7BAB7C8C">
      <w:pPr>
        <w:widowControl/>
        <w:spacing w:line="430" w:lineRule="exact"/>
        <w:ind w:firstLine="420" w:firstLineChars="200"/>
        <w:rPr>
          <w:color w:val="auto"/>
          <w:szCs w:val="21"/>
          <w:highlight w:val="none"/>
        </w:rPr>
      </w:pPr>
      <w:r>
        <w:rPr>
          <w:color w:val="auto"/>
          <w:kern w:val="0"/>
          <w:szCs w:val="21"/>
          <w:highlight w:val="none"/>
          <w:lang w:bidi="ar"/>
        </w:rPr>
        <w:t>（2）未按照第二章“投标人须知”第3.7.3（4）目规定和第七章“投标文件格式”的要求进行电子签章的；</w:t>
      </w:r>
    </w:p>
    <w:p w14:paraId="4F356C83">
      <w:pPr>
        <w:widowControl/>
        <w:spacing w:line="430" w:lineRule="exact"/>
        <w:ind w:firstLine="420" w:firstLineChars="200"/>
        <w:rPr>
          <w:color w:val="auto"/>
          <w:szCs w:val="21"/>
          <w:highlight w:val="none"/>
        </w:rPr>
      </w:pPr>
      <w:r>
        <w:rPr>
          <w:color w:val="auto"/>
          <w:kern w:val="0"/>
          <w:szCs w:val="21"/>
          <w:highlight w:val="none"/>
          <w:lang w:bidi="ar"/>
        </w:rPr>
        <w:t>（3）联合体投标没有提交共同投标协议或共同投标协议未按招标文件提供的格式签署、提交，未明确联合体牵头人和各方权利与义务，未承诺就中标项目向招标人承担连带责任的（如有）；</w:t>
      </w:r>
    </w:p>
    <w:p w14:paraId="3E5423D6">
      <w:pPr>
        <w:widowControl/>
        <w:spacing w:line="430" w:lineRule="exact"/>
        <w:ind w:firstLine="420" w:firstLineChars="200"/>
        <w:rPr>
          <w:color w:val="auto"/>
          <w:szCs w:val="21"/>
          <w:highlight w:val="none"/>
        </w:rPr>
      </w:pPr>
      <w:r>
        <w:rPr>
          <w:color w:val="auto"/>
          <w:kern w:val="0"/>
          <w:szCs w:val="21"/>
          <w:highlight w:val="none"/>
          <w:lang w:bidi="ar"/>
        </w:rPr>
        <w:t>（4）同一投标人提交两个以上不同的投标文件或者投标报价的（但招标文件要求提交备选投标的除外）；</w:t>
      </w:r>
    </w:p>
    <w:p w14:paraId="40B1F3B3">
      <w:pPr>
        <w:widowControl/>
        <w:spacing w:line="430" w:lineRule="exact"/>
        <w:ind w:firstLine="420" w:firstLineChars="200"/>
        <w:rPr>
          <w:color w:val="auto"/>
          <w:szCs w:val="21"/>
          <w:highlight w:val="none"/>
        </w:rPr>
      </w:pPr>
      <w:r>
        <w:rPr>
          <w:color w:val="auto"/>
          <w:kern w:val="0"/>
          <w:szCs w:val="21"/>
          <w:highlight w:val="none"/>
          <w:lang w:bidi="ar"/>
        </w:rPr>
        <w:t>（5）未按照招标文件的要求报送应有的投标报价表格的；</w:t>
      </w:r>
    </w:p>
    <w:p w14:paraId="10811A77">
      <w:pPr>
        <w:widowControl/>
        <w:spacing w:line="430" w:lineRule="exact"/>
        <w:ind w:firstLine="420" w:firstLineChars="200"/>
        <w:rPr>
          <w:color w:val="auto"/>
          <w:szCs w:val="21"/>
          <w:highlight w:val="none"/>
        </w:rPr>
      </w:pPr>
      <w:r>
        <w:rPr>
          <w:color w:val="auto"/>
          <w:kern w:val="0"/>
          <w:szCs w:val="21"/>
          <w:highlight w:val="none"/>
          <w:lang w:bidi="ar"/>
        </w:rPr>
        <w:t>（6）项目经理</w:t>
      </w:r>
      <w:r>
        <w:rPr>
          <w:color w:val="auto"/>
          <w:highlight w:val="none"/>
        </w:rPr>
        <w:t>二次刷卡</w:t>
      </w:r>
      <w:r>
        <w:rPr>
          <w:color w:val="auto"/>
          <w:kern w:val="0"/>
          <w:szCs w:val="21"/>
          <w:highlight w:val="none"/>
          <w:lang w:bidi="ar"/>
        </w:rPr>
        <w:t>实名认证未通过的；</w:t>
      </w:r>
    </w:p>
    <w:p w14:paraId="16D3CEEA">
      <w:pPr>
        <w:widowControl/>
        <w:spacing w:line="430" w:lineRule="exact"/>
        <w:ind w:firstLine="420" w:firstLineChars="200"/>
        <w:rPr>
          <w:color w:val="auto"/>
          <w:szCs w:val="21"/>
          <w:highlight w:val="none"/>
        </w:rPr>
      </w:pPr>
      <w:r>
        <w:rPr>
          <w:color w:val="auto"/>
          <w:kern w:val="0"/>
          <w:szCs w:val="21"/>
          <w:highlight w:val="none"/>
          <w:lang w:bidi="ar"/>
        </w:rPr>
        <w:t>（7）法定代表人或授权委托人未完成实名认证的；</w:t>
      </w:r>
    </w:p>
    <w:p w14:paraId="18ECD9B8">
      <w:pPr>
        <w:widowControl/>
        <w:spacing w:line="430" w:lineRule="exact"/>
        <w:ind w:firstLine="420" w:firstLineChars="200"/>
        <w:rPr>
          <w:color w:val="auto"/>
          <w:szCs w:val="21"/>
          <w:highlight w:val="none"/>
        </w:rPr>
      </w:pPr>
      <w:r>
        <w:rPr>
          <w:color w:val="auto"/>
          <w:kern w:val="0"/>
          <w:szCs w:val="21"/>
          <w:highlight w:val="none"/>
          <w:lang w:bidi="ar"/>
        </w:rPr>
        <w:t>（8）</w:t>
      </w:r>
      <w:r>
        <w:rPr>
          <w:rFonts w:hint="eastAsia"/>
          <w:color w:val="auto"/>
          <w:highlight w:val="none"/>
        </w:rPr>
        <w:t>采用技术标暗标评审的，</w:t>
      </w:r>
      <w:r>
        <w:rPr>
          <w:color w:val="auto"/>
          <w:kern w:val="0"/>
          <w:szCs w:val="21"/>
          <w:highlight w:val="none"/>
          <w:lang w:bidi="ar"/>
        </w:rPr>
        <w:t>未按招标文件要求编制技术标（暗标）投标文件的；</w:t>
      </w:r>
    </w:p>
    <w:p w14:paraId="586E0C53">
      <w:pPr>
        <w:widowControl/>
        <w:spacing w:line="430" w:lineRule="exact"/>
        <w:ind w:firstLine="420" w:firstLineChars="200"/>
        <w:rPr>
          <w:color w:val="auto"/>
          <w:szCs w:val="21"/>
          <w:highlight w:val="none"/>
        </w:rPr>
      </w:pPr>
      <w:r>
        <w:rPr>
          <w:color w:val="auto"/>
          <w:kern w:val="0"/>
          <w:szCs w:val="21"/>
          <w:highlight w:val="none"/>
          <w:lang w:bidi="ar"/>
        </w:rPr>
        <w:t>（9）投标人资质条件不符合国家规定和招标文件要求的；</w:t>
      </w:r>
    </w:p>
    <w:p w14:paraId="0CD085A9">
      <w:pPr>
        <w:widowControl/>
        <w:spacing w:line="430" w:lineRule="exact"/>
        <w:ind w:firstLine="420" w:firstLineChars="200"/>
        <w:rPr>
          <w:color w:val="auto"/>
          <w:szCs w:val="21"/>
          <w:highlight w:val="none"/>
        </w:rPr>
      </w:pPr>
      <w:r>
        <w:rPr>
          <w:color w:val="auto"/>
          <w:kern w:val="0"/>
          <w:szCs w:val="21"/>
          <w:highlight w:val="none"/>
          <w:lang w:bidi="ar"/>
        </w:rPr>
        <w:t>（10）</w:t>
      </w:r>
      <w:r>
        <w:rPr>
          <w:color w:val="auto"/>
          <w:highlight w:val="none"/>
        </w:rPr>
        <w:t>项目经理或施工负责人资格不符合招标文件规定的专业等级要求，或已在其他在建工程担任项目经理或施工负责人（同一工程相邻分段发包或者分期施工的除外）</w:t>
      </w:r>
      <w:r>
        <w:rPr>
          <w:color w:val="auto"/>
          <w:kern w:val="0"/>
          <w:szCs w:val="21"/>
          <w:highlight w:val="none"/>
          <w:lang w:bidi="ar"/>
        </w:rPr>
        <w:t>；</w:t>
      </w:r>
    </w:p>
    <w:p w14:paraId="2A09CC57">
      <w:pPr>
        <w:widowControl/>
        <w:spacing w:line="430" w:lineRule="exact"/>
        <w:ind w:firstLine="420" w:firstLineChars="200"/>
        <w:rPr>
          <w:color w:val="auto"/>
          <w:szCs w:val="21"/>
          <w:highlight w:val="none"/>
        </w:rPr>
      </w:pPr>
      <w:r>
        <w:rPr>
          <w:color w:val="auto"/>
          <w:kern w:val="0"/>
          <w:szCs w:val="21"/>
          <w:highlight w:val="none"/>
          <w:lang w:bidi="ar"/>
        </w:rPr>
        <w:t>（11）具有投标人须知第1.4.3（10）至（17）条目规定的情形；</w:t>
      </w:r>
    </w:p>
    <w:p w14:paraId="5CAB5332">
      <w:pPr>
        <w:widowControl/>
        <w:spacing w:line="430" w:lineRule="exact"/>
        <w:ind w:firstLine="420" w:firstLineChars="200"/>
        <w:rPr>
          <w:color w:val="auto"/>
          <w:szCs w:val="21"/>
          <w:highlight w:val="none"/>
        </w:rPr>
      </w:pPr>
      <w:r>
        <w:rPr>
          <w:color w:val="auto"/>
          <w:kern w:val="0"/>
          <w:szCs w:val="21"/>
          <w:highlight w:val="none"/>
          <w:lang w:bidi="ar"/>
        </w:rPr>
        <w:t>（12）未按招标文件要求提交投标保证金的；</w:t>
      </w:r>
    </w:p>
    <w:p w14:paraId="17347FB0">
      <w:pPr>
        <w:widowControl/>
        <w:spacing w:line="430" w:lineRule="exact"/>
        <w:ind w:firstLine="420" w:firstLineChars="200"/>
        <w:rPr>
          <w:color w:val="auto"/>
          <w:szCs w:val="21"/>
          <w:highlight w:val="none"/>
        </w:rPr>
      </w:pPr>
      <w:r>
        <w:rPr>
          <w:color w:val="auto"/>
          <w:kern w:val="0"/>
          <w:szCs w:val="21"/>
          <w:highlight w:val="none"/>
          <w:lang w:bidi="ar"/>
        </w:rPr>
        <w:t>（13）投标人填写的价格清单与招标文件给定的格式不一致的；</w:t>
      </w:r>
    </w:p>
    <w:p w14:paraId="6D4AC2F7">
      <w:pPr>
        <w:widowControl/>
        <w:spacing w:line="430" w:lineRule="exact"/>
        <w:ind w:firstLine="420" w:firstLineChars="200"/>
        <w:rPr>
          <w:color w:val="auto"/>
          <w:szCs w:val="21"/>
          <w:highlight w:val="none"/>
        </w:rPr>
      </w:pPr>
      <w:r>
        <w:rPr>
          <w:color w:val="auto"/>
          <w:kern w:val="0"/>
          <w:szCs w:val="21"/>
          <w:highlight w:val="none"/>
          <w:lang w:bidi="ar"/>
        </w:rPr>
        <w:t>（14）工期未响应招标文件规定的；</w:t>
      </w:r>
    </w:p>
    <w:p w14:paraId="790585FF">
      <w:pPr>
        <w:widowControl/>
        <w:spacing w:line="430" w:lineRule="exact"/>
        <w:ind w:firstLine="420" w:firstLineChars="200"/>
        <w:rPr>
          <w:color w:val="auto"/>
          <w:szCs w:val="21"/>
          <w:highlight w:val="none"/>
        </w:rPr>
      </w:pPr>
      <w:r>
        <w:rPr>
          <w:color w:val="auto"/>
          <w:kern w:val="0"/>
          <w:szCs w:val="21"/>
          <w:highlight w:val="none"/>
          <w:lang w:bidi="ar"/>
        </w:rPr>
        <w:t>（15）投标人不接受算术错误修正后的报价；</w:t>
      </w:r>
    </w:p>
    <w:p w14:paraId="0A4B9578">
      <w:pPr>
        <w:widowControl/>
        <w:spacing w:line="430" w:lineRule="exact"/>
        <w:ind w:firstLine="420" w:firstLineChars="200"/>
        <w:rPr>
          <w:color w:val="auto"/>
          <w:szCs w:val="21"/>
          <w:highlight w:val="none"/>
        </w:rPr>
      </w:pPr>
      <w:r>
        <w:rPr>
          <w:color w:val="auto"/>
          <w:kern w:val="0"/>
          <w:szCs w:val="21"/>
          <w:highlight w:val="none"/>
          <w:lang w:bidi="ar"/>
        </w:rPr>
        <w:t>（16）投标报价（含修正后）高于招标文件设定的最高投标限价的；</w:t>
      </w:r>
    </w:p>
    <w:p w14:paraId="079603B7">
      <w:pPr>
        <w:widowControl/>
        <w:spacing w:line="430" w:lineRule="exact"/>
        <w:ind w:firstLine="420" w:firstLineChars="200"/>
        <w:rPr>
          <w:color w:val="auto"/>
          <w:szCs w:val="21"/>
          <w:highlight w:val="none"/>
        </w:rPr>
      </w:pPr>
      <w:r>
        <w:rPr>
          <w:color w:val="auto"/>
          <w:kern w:val="0"/>
          <w:szCs w:val="21"/>
          <w:highlight w:val="none"/>
          <w:lang w:bidi="ar"/>
        </w:rPr>
        <w:t>（17）质量标准不满足招标文件规定的；</w:t>
      </w:r>
    </w:p>
    <w:p w14:paraId="3EDD8FFD">
      <w:pPr>
        <w:widowControl/>
        <w:spacing w:line="430" w:lineRule="exact"/>
        <w:ind w:firstLine="420" w:firstLineChars="200"/>
        <w:rPr>
          <w:color w:val="auto"/>
          <w:szCs w:val="21"/>
          <w:highlight w:val="none"/>
        </w:rPr>
      </w:pPr>
      <w:r>
        <w:rPr>
          <w:color w:val="auto"/>
          <w:kern w:val="0"/>
          <w:szCs w:val="21"/>
          <w:highlight w:val="none"/>
          <w:lang w:bidi="ar"/>
        </w:rPr>
        <w:t>（18）投标有效期不符合招标文件规定的；</w:t>
      </w:r>
    </w:p>
    <w:p w14:paraId="576F7268">
      <w:pPr>
        <w:widowControl/>
        <w:spacing w:line="430" w:lineRule="exact"/>
        <w:ind w:firstLine="420" w:firstLineChars="200"/>
        <w:rPr>
          <w:color w:val="auto"/>
          <w:szCs w:val="21"/>
          <w:highlight w:val="none"/>
        </w:rPr>
      </w:pPr>
      <w:r>
        <w:rPr>
          <w:color w:val="auto"/>
          <w:kern w:val="0"/>
          <w:szCs w:val="21"/>
          <w:highlight w:val="none"/>
          <w:lang w:bidi="ar"/>
        </w:rPr>
        <w:t>（19）权利义务承诺不符合或低于招标文件规定的；</w:t>
      </w:r>
    </w:p>
    <w:p w14:paraId="3D28BF3D">
      <w:pPr>
        <w:widowControl/>
        <w:spacing w:line="430" w:lineRule="exact"/>
        <w:ind w:firstLine="420" w:firstLineChars="200"/>
        <w:rPr>
          <w:color w:val="auto"/>
          <w:szCs w:val="21"/>
          <w:highlight w:val="none"/>
        </w:rPr>
      </w:pPr>
      <w:r>
        <w:rPr>
          <w:color w:val="auto"/>
          <w:kern w:val="0"/>
          <w:szCs w:val="21"/>
          <w:highlight w:val="none"/>
          <w:lang w:bidi="ar"/>
        </w:rPr>
        <w:t>（20）</w:t>
      </w:r>
      <w:r>
        <w:rPr>
          <w:color w:val="auto"/>
          <w:szCs w:val="21"/>
          <w:highlight w:val="none"/>
        </w:rPr>
        <w:t>承包人建议或承包人实施方案不符合招标文件规定的</w:t>
      </w:r>
      <w:r>
        <w:rPr>
          <w:color w:val="auto"/>
          <w:kern w:val="0"/>
          <w:szCs w:val="21"/>
          <w:highlight w:val="none"/>
          <w:lang w:bidi="ar"/>
        </w:rPr>
        <w:t>；</w:t>
      </w:r>
    </w:p>
    <w:p w14:paraId="28632A0B">
      <w:pPr>
        <w:widowControl/>
        <w:spacing w:line="430" w:lineRule="exact"/>
        <w:ind w:firstLine="420" w:firstLineChars="200"/>
        <w:rPr>
          <w:color w:val="auto"/>
          <w:szCs w:val="21"/>
          <w:highlight w:val="none"/>
        </w:rPr>
      </w:pPr>
      <w:r>
        <w:rPr>
          <w:color w:val="auto"/>
          <w:kern w:val="0"/>
          <w:szCs w:val="21"/>
          <w:highlight w:val="none"/>
          <w:lang w:bidi="ar"/>
        </w:rPr>
        <w:t>（21）分包计划不符合招标文件规定的。</w:t>
      </w:r>
    </w:p>
    <w:p w14:paraId="38BC5080">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.2不按评标委员会要求澄清、说明或补正的。</w:t>
      </w:r>
    </w:p>
    <w:p w14:paraId="10AEAD1B">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.3有串通投标、弄虚作假或有其他违法行为的。包括以下内容：</w:t>
      </w:r>
    </w:p>
    <w:p w14:paraId="060A2036">
      <w:pPr>
        <w:widowControl/>
        <w:spacing w:line="430" w:lineRule="exact"/>
        <w:ind w:firstLine="420" w:firstLineChars="200"/>
        <w:rPr>
          <w:color w:val="auto"/>
          <w:szCs w:val="21"/>
          <w:highlight w:val="none"/>
        </w:rPr>
      </w:pPr>
      <w:r>
        <w:rPr>
          <w:color w:val="auto"/>
          <w:kern w:val="0"/>
          <w:szCs w:val="21"/>
          <w:highlight w:val="none"/>
          <w:lang w:bidi="ar"/>
        </w:rPr>
        <w:t>（1）有下列情形之一的，视为投标人相互串通投标：</w:t>
      </w:r>
    </w:p>
    <w:p w14:paraId="0A811921">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①</w:t>
      </w:r>
      <w:r>
        <w:rPr>
          <w:color w:val="auto"/>
          <w:kern w:val="0"/>
          <w:szCs w:val="21"/>
          <w:highlight w:val="none"/>
          <w:lang w:bidi="ar"/>
        </w:rPr>
        <w:t xml:space="preserve"> 不同投标人的投标文件由同一单位或者个人编制；</w:t>
      </w:r>
    </w:p>
    <w:p w14:paraId="3BC3052F">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②</w:t>
      </w:r>
      <w:r>
        <w:rPr>
          <w:color w:val="auto"/>
          <w:kern w:val="0"/>
          <w:szCs w:val="21"/>
          <w:highlight w:val="none"/>
          <w:lang w:bidi="ar"/>
        </w:rPr>
        <w:t xml:space="preserve"> 不同投标人委托同一单位或者个人办理投标事宜；</w:t>
      </w:r>
    </w:p>
    <w:p w14:paraId="634AAFB2">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③</w:t>
      </w:r>
      <w:r>
        <w:rPr>
          <w:color w:val="auto"/>
          <w:kern w:val="0"/>
          <w:szCs w:val="21"/>
          <w:highlight w:val="none"/>
          <w:lang w:bidi="ar"/>
        </w:rPr>
        <w:t xml:space="preserve"> 不同投标人使用同一电脑等电子设备办理投标事宜（</w:t>
      </w:r>
      <w:r>
        <w:rPr>
          <w:color w:val="auto"/>
          <w:highlight w:val="none"/>
        </w:rPr>
        <w:t>下载招标文件、上传投标文件、授权委托人或项目经理实名认证等关键环节</w:t>
      </w:r>
      <w:r>
        <w:rPr>
          <w:color w:val="auto"/>
          <w:kern w:val="0"/>
          <w:szCs w:val="21"/>
          <w:highlight w:val="none"/>
          <w:lang w:bidi="ar"/>
        </w:rPr>
        <w:t>）；</w:t>
      </w:r>
    </w:p>
    <w:p w14:paraId="36C68989">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④</w:t>
      </w:r>
      <w:r>
        <w:rPr>
          <w:color w:val="auto"/>
          <w:kern w:val="0"/>
          <w:szCs w:val="21"/>
          <w:highlight w:val="none"/>
          <w:lang w:bidi="ar"/>
        </w:rPr>
        <w:t xml:space="preserve"> 不同投标人的投标文件载明的项目管理成员为同一人；</w:t>
      </w:r>
    </w:p>
    <w:p w14:paraId="5C0278D1">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⑤</w:t>
      </w:r>
      <w:r>
        <w:rPr>
          <w:color w:val="auto"/>
          <w:kern w:val="0"/>
          <w:szCs w:val="21"/>
          <w:highlight w:val="none"/>
          <w:lang w:bidi="ar"/>
        </w:rPr>
        <w:t xml:space="preserve"> 不同投标人的投标文件非典型一致或者投标报价呈规律性差异；</w:t>
      </w:r>
    </w:p>
    <w:p w14:paraId="5C340B71">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⑥</w:t>
      </w:r>
      <w:r>
        <w:rPr>
          <w:color w:val="auto"/>
          <w:kern w:val="0"/>
          <w:szCs w:val="21"/>
          <w:highlight w:val="none"/>
          <w:lang w:bidi="ar"/>
        </w:rPr>
        <w:t xml:space="preserve"> 不同投标人的投标文件相互混装；</w:t>
      </w:r>
    </w:p>
    <w:p w14:paraId="69B350CE">
      <w:pPr>
        <w:widowControl/>
        <w:spacing w:line="430" w:lineRule="exact"/>
        <w:ind w:firstLine="420" w:firstLineChars="200"/>
        <w:rPr>
          <w:color w:val="auto"/>
          <w:szCs w:val="21"/>
          <w:highlight w:val="none"/>
        </w:rPr>
      </w:pPr>
      <w:r>
        <w:rPr>
          <w:color w:val="auto"/>
          <w:kern w:val="0"/>
          <w:szCs w:val="21"/>
          <w:highlight w:val="none"/>
          <w:lang w:bidi="ar"/>
        </w:rPr>
        <w:fldChar w:fldCharType="begin"/>
      </w:r>
      <w:r>
        <w:rPr>
          <w:color w:val="auto"/>
          <w:kern w:val="0"/>
          <w:szCs w:val="21"/>
          <w:highlight w:val="none"/>
          <w:lang w:bidi="ar"/>
        </w:rPr>
        <w:instrText xml:space="preserve"> = 7 \* GB3 </w:instrText>
      </w:r>
      <w:r>
        <w:rPr>
          <w:color w:val="auto"/>
          <w:kern w:val="0"/>
          <w:szCs w:val="21"/>
          <w:highlight w:val="none"/>
          <w:lang w:bidi="ar"/>
        </w:rPr>
        <w:fldChar w:fldCharType="separate"/>
      </w:r>
      <w:r>
        <w:rPr>
          <w:color w:val="auto"/>
          <w:kern w:val="0"/>
          <w:szCs w:val="21"/>
          <w:highlight w:val="none"/>
          <w:lang w:bidi="ar"/>
        </w:rPr>
        <w:t>⑦</w:t>
      </w:r>
      <w:r>
        <w:rPr>
          <w:color w:val="auto"/>
          <w:kern w:val="0"/>
          <w:szCs w:val="21"/>
          <w:highlight w:val="none"/>
          <w:lang w:bidi="ar"/>
        </w:rPr>
        <w:fldChar w:fldCharType="end"/>
      </w:r>
      <w:r>
        <w:rPr>
          <w:color w:val="auto"/>
          <w:kern w:val="0"/>
          <w:szCs w:val="21"/>
          <w:highlight w:val="none"/>
          <w:lang w:bidi="ar"/>
        </w:rPr>
        <w:t xml:space="preserve"> 不同投标人的投标保证金或保函（保险）财务费用从同一单位或者个人的账户转出；</w:t>
      </w:r>
    </w:p>
    <w:p w14:paraId="3A37C4BA">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⑧</w:t>
      </w:r>
      <w:r>
        <w:rPr>
          <w:color w:val="auto"/>
          <w:kern w:val="0"/>
          <w:szCs w:val="21"/>
          <w:highlight w:val="none"/>
          <w:lang w:bidi="ar"/>
        </w:rPr>
        <w:t xml:space="preserve"> 不同投标人的投标文件存在“MAC地址”、“文件创建标识码”、“文件制作机器码”等唯一性标识一致等情形。</w:t>
      </w:r>
    </w:p>
    <w:p w14:paraId="57A0887A">
      <w:pPr>
        <w:widowControl/>
        <w:spacing w:line="430" w:lineRule="exact"/>
        <w:ind w:firstLine="210" w:firstLineChars="100"/>
        <w:rPr>
          <w:color w:val="auto"/>
          <w:szCs w:val="21"/>
          <w:highlight w:val="none"/>
        </w:rPr>
      </w:pPr>
      <w:r>
        <w:rPr>
          <w:color w:val="auto"/>
          <w:kern w:val="0"/>
          <w:szCs w:val="21"/>
          <w:highlight w:val="none"/>
          <w:lang w:bidi="ar"/>
        </w:rPr>
        <w:t>（2）有下列情形之一的，属于弄虚作假行为：</w:t>
      </w:r>
    </w:p>
    <w:p w14:paraId="10716835">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①</w:t>
      </w:r>
      <w:r>
        <w:rPr>
          <w:color w:val="auto"/>
          <w:kern w:val="0"/>
          <w:szCs w:val="21"/>
          <w:highlight w:val="none"/>
          <w:lang w:bidi="ar"/>
        </w:rPr>
        <w:t xml:space="preserve"> 使用通过受让或者租借等方式获取的资格、资质证书投标的，即以他人名义投标的。</w:t>
      </w:r>
    </w:p>
    <w:p w14:paraId="20E2AF81">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②</w:t>
      </w:r>
      <w:r>
        <w:rPr>
          <w:color w:val="auto"/>
          <w:kern w:val="0"/>
          <w:szCs w:val="21"/>
          <w:highlight w:val="none"/>
          <w:lang w:bidi="ar"/>
        </w:rPr>
        <w:t xml:space="preserve"> 使用伪造、变造的许可证件；</w:t>
      </w:r>
    </w:p>
    <w:p w14:paraId="580A6EC5">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③</w:t>
      </w:r>
      <w:r>
        <w:rPr>
          <w:color w:val="auto"/>
          <w:kern w:val="0"/>
          <w:szCs w:val="21"/>
          <w:highlight w:val="none"/>
          <w:lang w:bidi="ar"/>
        </w:rPr>
        <w:t xml:space="preserve"> 提供虚假的财务状况或者业绩；</w:t>
      </w:r>
    </w:p>
    <w:p w14:paraId="7F50D655">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④</w:t>
      </w:r>
      <w:r>
        <w:rPr>
          <w:color w:val="auto"/>
          <w:kern w:val="0"/>
          <w:szCs w:val="21"/>
          <w:highlight w:val="none"/>
          <w:lang w:bidi="ar"/>
        </w:rPr>
        <w:t xml:space="preserve"> 提供虚假的</w:t>
      </w:r>
      <w:r>
        <w:rPr>
          <w:color w:val="auto"/>
          <w:highlight w:val="none"/>
        </w:rPr>
        <w:t>项目负责人或者主要技术人员简历、社会保险证明</w:t>
      </w:r>
      <w:r>
        <w:rPr>
          <w:color w:val="auto"/>
          <w:kern w:val="0"/>
          <w:szCs w:val="21"/>
          <w:highlight w:val="none"/>
          <w:lang w:bidi="ar"/>
        </w:rPr>
        <w:t>；</w:t>
      </w:r>
    </w:p>
    <w:p w14:paraId="61B0015D">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⑤</w:t>
      </w:r>
      <w:r>
        <w:rPr>
          <w:color w:val="auto"/>
          <w:kern w:val="0"/>
          <w:szCs w:val="21"/>
          <w:highlight w:val="none"/>
          <w:lang w:bidi="ar"/>
        </w:rPr>
        <w:t xml:space="preserve"> 提供虚假的信用状况；</w:t>
      </w:r>
    </w:p>
    <w:p w14:paraId="447B2629">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⑥</w:t>
      </w:r>
      <w:r>
        <w:rPr>
          <w:color w:val="auto"/>
          <w:kern w:val="0"/>
          <w:szCs w:val="21"/>
          <w:highlight w:val="none"/>
          <w:lang w:bidi="ar"/>
        </w:rPr>
        <w:t xml:space="preserve"> 其他弄虚作假的行为。</w:t>
      </w:r>
    </w:p>
    <w:p w14:paraId="5CE26435">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.4有第二章“投标人须知”第1.4.3项规定的任何一种情形。包括以下内容：</w:t>
      </w:r>
    </w:p>
    <w:p w14:paraId="77146A28">
      <w:pPr>
        <w:spacing w:line="400" w:lineRule="exact"/>
        <w:ind w:firstLine="315" w:firstLineChars="150"/>
        <w:rPr>
          <w:color w:val="auto"/>
          <w:highlight w:val="none"/>
        </w:rPr>
      </w:pPr>
      <w:r>
        <w:rPr>
          <w:color w:val="auto"/>
          <w:highlight w:val="none"/>
        </w:rPr>
        <w:t>（1）为招标人不具有独立法人资格的附属机构（单位）；</w:t>
      </w:r>
    </w:p>
    <w:p w14:paraId="3D95A4D2">
      <w:pPr>
        <w:spacing w:line="400" w:lineRule="exact"/>
        <w:ind w:firstLine="315" w:firstLineChars="150"/>
        <w:rPr>
          <w:color w:val="auto"/>
          <w:highlight w:val="none"/>
        </w:rPr>
      </w:pPr>
      <w:r>
        <w:rPr>
          <w:rFonts w:hint="eastAsia"/>
          <w:color w:val="auto"/>
          <w:highlight w:val="none"/>
        </w:rPr>
        <w:t>（2）为本招标项目前期准备提供设计或咨询服务的（招标文件另有规定的情形除外）；</w:t>
      </w:r>
    </w:p>
    <w:p w14:paraId="113E2A12">
      <w:pPr>
        <w:spacing w:line="400" w:lineRule="exact"/>
        <w:ind w:firstLine="315" w:firstLineChars="150"/>
        <w:rPr>
          <w:color w:val="auto"/>
          <w:highlight w:val="none"/>
        </w:rPr>
      </w:pPr>
      <w:r>
        <w:rPr>
          <w:rFonts w:hint="eastAsia"/>
          <w:color w:val="auto"/>
          <w:highlight w:val="none"/>
        </w:rPr>
        <w:t>（3）为本招标项目的监理人；</w:t>
      </w:r>
    </w:p>
    <w:p w14:paraId="2E9193CD">
      <w:pPr>
        <w:spacing w:line="400" w:lineRule="exact"/>
        <w:ind w:firstLine="315" w:firstLineChars="150"/>
        <w:rPr>
          <w:color w:val="auto"/>
          <w:highlight w:val="none"/>
        </w:rPr>
      </w:pPr>
      <w:r>
        <w:rPr>
          <w:rFonts w:hint="eastAsia"/>
          <w:color w:val="auto"/>
          <w:highlight w:val="none"/>
        </w:rPr>
        <w:t xml:space="preserve">（4）为本招标项目的代建人； </w:t>
      </w:r>
    </w:p>
    <w:p w14:paraId="7FD008D6">
      <w:pPr>
        <w:spacing w:line="400" w:lineRule="exact"/>
        <w:ind w:firstLine="315" w:firstLineChars="150"/>
        <w:rPr>
          <w:color w:val="auto"/>
          <w:highlight w:val="none"/>
        </w:rPr>
      </w:pPr>
      <w:r>
        <w:rPr>
          <w:rFonts w:hint="eastAsia"/>
          <w:color w:val="auto"/>
          <w:highlight w:val="none"/>
        </w:rPr>
        <w:t>（5）为本招标项目提供招标代理服务的；</w:t>
      </w:r>
    </w:p>
    <w:p w14:paraId="1F8F5299">
      <w:pPr>
        <w:spacing w:line="400" w:lineRule="exact"/>
        <w:ind w:firstLine="315" w:firstLineChars="150"/>
        <w:rPr>
          <w:color w:val="auto"/>
          <w:highlight w:val="none"/>
        </w:rPr>
      </w:pPr>
      <w:r>
        <w:rPr>
          <w:rFonts w:hint="eastAsia"/>
          <w:color w:val="auto"/>
          <w:highlight w:val="none"/>
        </w:rPr>
        <w:t>（6）与本招标项目的监理人或代建人或招标代理机构同为一个法定代表人或单位负责人；</w:t>
      </w:r>
      <w:r>
        <w:rPr>
          <w:color w:val="auto"/>
          <w:highlight w:val="none"/>
        </w:rPr>
        <w:t xml:space="preserve"> </w:t>
      </w:r>
    </w:p>
    <w:p w14:paraId="1BE1C457">
      <w:pPr>
        <w:spacing w:line="400" w:lineRule="exact"/>
        <w:ind w:firstLine="315" w:firstLineChars="150"/>
        <w:rPr>
          <w:color w:val="auto"/>
          <w:highlight w:val="none"/>
        </w:rPr>
      </w:pPr>
      <w:r>
        <w:rPr>
          <w:rFonts w:hint="eastAsia"/>
          <w:color w:val="auto"/>
          <w:highlight w:val="none"/>
        </w:rPr>
        <w:t>（7）与本招标项目的监理人或代建人或招标代理机构相互控股或参股的；</w:t>
      </w:r>
    </w:p>
    <w:p w14:paraId="4E06A3E0">
      <w:pPr>
        <w:spacing w:line="400" w:lineRule="exact"/>
        <w:ind w:firstLine="315" w:firstLineChars="150"/>
        <w:rPr>
          <w:color w:val="auto"/>
          <w:highlight w:val="none"/>
        </w:rPr>
      </w:pPr>
      <w:r>
        <w:rPr>
          <w:rFonts w:hint="eastAsia"/>
          <w:color w:val="auto"/>
          <w:highlight w:val="none"/>
        </w:rPr>
        <w:t>（8）与本招标项目的监理人或代建人或招标代理机构法定代表人或单位负责人相互任职或工作；</w:t>
      </w:r>
    </w:p>
    <w:p w14:paraId="78DAEB3B">
      <w:pPr>
        <w:spacing w:line="400" w:lineRule="exact"/>
        <w:ind w:firstLine="315" w:firstLineChars="150"/>
        <w:rPr>
          <w:color w:val="auto"/>
          <w:highlight w:val="none"/>
        </w:rPr>
      </w:pPr>
      <w:r>
        <w:rPr>
          <w:rFonts w:hint="eastAsia"/>
          <w:color w:val="auto"/>
          <w:highlight w:val="none"/>
        </w:rPr>
        <w:t>（9）单位负责人为同一人或者存在控股、管理关系的不同单位，同时参加本标段投标的；</w:t>
      </w:r>
    </w:p>
    <w:p w14:paraId="59E225E1">
      <w:pPr>
        <w:spacing w:line="400" w:lineRule="exact"/>
        <w:ind w:firstLine="315" w:firstLineChars="15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r>
        <w:rPr>
          <w:color w:val="auto"/>
          <w:highlight w:val="none"/>
        </w:rPr>
        <w:t xml:space="preserve"> </w:t>
      </w:r>
      <w:r>
        <w:rPr>
          <w:rFonts w:hint="eastAsia"/>
          <w:color w:val="auto"/>
          <w:highlight w:val="none"/>
        </w:rPr>
        <w:t xml:space="preserve"> </w:t>
      </w:r>
    </w:p>
    <w:p w14:paraId="0C270A36">
      <w:pPr>
        <w:spacing w:line="400" w:lineRule="exact"/>
        <w:ind w:firstLine="315" w:firstLineChars="150"/>
        <w:rPr>
          <w:color w:val="auto"/>
          <w:highlight w:val="none"/>
        </w:rPr>
      </w:pPr>
      <w:r>
        <w:rPr>
          <w:rFonts w:hint="eastAsia"/>
          <w:color w:val="auto"/>
          <w:highlight w:val="none"/>
        </w:rPr>
        <w:t>（11）被责令停产停业、暂扣或者吊销许可证、暂扣或者吊销执照；</w:t>
      </w:r>
    </w:p>
    <w:p w14:paraId="00D16516">
      <w:pPr>
        <w:spacing w:line="400" w:lineRule="exact"/>
        <w:ind w:firstLine="315" w:firstLineChars="150"/>
        <w:rPr>
          <w:color w:val="auto"/>
          <w:highlight w:val="none"/>
        </w:rPr>
      </w:pPr>
      <w:r>
        <w:rPr>
          <w:rFonts w:hint="eastAsia"/>
          <w:color w:val="auto"/>
          <w:highlight w:val="none"/>
        </w:rPr>
        <w:t>（12）进入清算程序，或被宣告破产，或其他丧失履约能力的情形；</w:t>
      </w:r>
    </w:p>
    <w:p w14:paraId="13182059">
      <w:pPr>
        <w:spacing w:line="400" w:lineRule="exact"/>
        <w:ind w:firstLine="315" w:firstLineChars="150"/>
        <w:rPr>
          <w:color w:val="auto"/>
          <w:highlight w:val="none"/>
        </w:rPr>
      </w:pPr>
      <w:r>
        <w:rPr>
          <w:rFonts w:hint="eastAsia"/>
          <w:color w:val="auto"/>
          <w:highlight w:val="none"/>
        </w:rPr>
        <w:t>（13）在最近三年内有骗取中标或严重违约或重大工程质量问题的</w:t>
      </w:r>
      <w:r>
        <w:rPr>
          <w:color w:val="auto"/>
          <w:highlight w:val="none"/>
        </w:rPr>
        <w:t xml:space="preserve"> </w:t>
      </w:r>
      <w:r>
        <w:rPr>
          <w:rFonts w:hint="eastAsia"/>
          <w:color w:val="auto"/>
          <w:highlight w:val="none"/>
        </w:rPr>
        <w:t>（以相关行业主管部门的行政处罚决定或司法机关出具的有关法律文书为准）；</w:t>
      </w:r>
    </w:p>
    <w:p w14:paraId="4467702B">
      <w:pPr>
        <w:spacing w:line="400" w:lineRule="exact"/>
        <w:ind w:firstLine="315" w:firstLineChars="150"/>
        <w:rPr>
          <w:color w:val="auto"/>
          <w:highlight w:val="none"/>
        </w:rPr>
      </w:pPr>
      <w:r>
        <w:rPr>
          <w:rFonts w:hint="eastAsia"/>
          <w:color w:val="auto"/>
          <w:highlight w:val="none"/>
        </w:rPr>
        <w:t>（14）在“国家企业信用信息公示系统”（www.gsxt.gov.cn）中被列入严重违法失信企业名单；</w:t>
      </w:r>
    </w:p>
    <w:p w14:paraId="3A779DEF">
      <w:pPr>
        <w:spacing w:line="400" w:lineRule="exact"/>
        <w:ind w:firstLine="315" w:firstLineChars="150"/>
        <w:rPr>
          <w:color w:val="auto"/>
          <w:highlight w:val="none"/>
        </w:rPr>
      </w:pPr>
      <w:r>
        <w:rPr>
          <w:rFonts w:hint="eastAsia"/>
          <w:color w:val="auto"/>
          <w:highlight w:val="none"/>
        </w:rPr>
        <w:t>（15）在“信用中国”网站（www.creditchina.gov.cn）或“中国执行信息公开网”（http://zxgk.court.gov.cn/shixin/）被列入失信被执行人名单；</w:t>
      </w:r>
    </w:p>
    <w:p w14:paraId="15F01075">
      <w:pPr>
        <w:spacing w:line="400" w:lineRule="exact"/>
        <w:ind w:firstLine="315" w:firstLineChars="150"/>
        <w:rPr>
          <w:color w:val="auto"/>
          <w:highlight w:val="none"/>
        </w:rPr>
      </w:pPr>
      <w:r>
        <w:rPr>
          <w:rFonts w:hint="eastAsia"/>
          <w:color w:val="auto"/>
          <w:highlight w:val="none"/>
        </w:rPr>
        <w:t>（16）在辽宁省建设工程招投标监督平台-辽宁建设工程信息网上被列入不良行为记录且在公布期内的；</w:t>
      </w:r>
    </w:p>
    <w:p w14:paraId="3FEFF72B">
      <w:pPr>
        <w:spacing w:line="400" w:lineRule="exact"/>
        <w:ind w:firstLine="315" w:firstLineChars="150"/>
        <w:rPr>
          <w:color w:val="auto"/>
          <w:highlight w:val="none"/>
        </w:rPr>
      </w:pPr>
      <w:r>
        <w:rPr>
          <w:rFonts w:hint="eastAsia"/>
          <w:color w:val="auto"/>
          <w:highlight w:val="none"/>
        </w:rPr>
        <w:t>（17）法律法规规定的其他情形。</w:t>
      </w:r>
    </w:p>
    <w:p w14:paraId="3D263597">
      <w:pPr>
        <w:spacing w:line="360" w:lineRule="exact"/>
        <w:ind w:firstLine="420" w:firstLineChars="200"/>
        <w:rPr>
          <w:rFonts w:hint="eastAsia" w:ascii="宋体" w:hAnsi="宋体"/>
          <w:color w:val="auto"/>
          <w:highlight w:val="none"/>
        </w:rPr>
      </w:pPr>
      <w:r>
        <w:rPr>
          <w:rFonts w:hint="eastAsia" w:ascii="宋体" w:hAnsi="宋体"/>
          <w:color w:val="auto"/>
          <w:highlight w:val="none"/>
        </w:rPr>
        <w:t>B1.5</w:t>
      </w:r>
      <w:r>
        <w:rPr>
          <w:rFonts w:hint="eastAsia"/>
          <w:color w:val="auto"/>
          <w:highlight w:val="none"/>
        </w:rPr>
        <w:t>未如实填写近年发生的诉讼及仲裁情况，隐瞒真实情况的。</w:t>
      </w:r>
    </w:p>
    <w:p w14:paraId="67E21873">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w:t>
      </w:r>
      <w:r>
        <w:rPr>
          <w:rFonts w:hint="eastAsia"/>
          <w:color w:val="auto"/>
          <w:kern w:val="0"/>
          <w:szCs w:val="21"/>
          <w:highlight w:val="none"/>
          <w:lang w:bidi="ar"/>
        </w:rPr>
        <w:t>6</w:t>
      </w:r>
      <w:r>
        <w:rPr>
          <w:color w:val="auto"/>
          <w:kern w:val="0"/>
          <w:szCs w:val="21"/>
          <w:highlight w:val="none"/>
          <w:lang w:bidi="ar"/>
        </w:rPr>
        <w:t>未按招标文件要求进行实名身份认证的或同一标段实名身份认证中存在不同投标人之间身份证识别器码一致的。</w:t>
      </w:r>
    </w:p>
    <w:p w14:paraId="50B8CA09">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B1</w:t>
      </w:r>
      <w:r>
        <w:rPr>
          <w:color w:val="auto"/>
          <w:kern w:val="0"/>
          <w:szCs w:val="21"/>
          <w:highlight w:val="none"/>
          <w:lang w:bidi="ar"/>
        </w:rPr>
        <w:t>.</w:t>
      </w:r>
      <w:r>
        <w:rPr>
          <w:rFonts w:hint="eastAsia"/>
          <w:color w:val="auto"/>
          <w:kern w:val="0"/>
          <w:szCs w:val="21"/>
          <w:highlight w:val="none"/>
          <w:lang w:bidi="ar"/>
        </w:rPr>
        <w:t>7</w:t>
      </w:r>
      <w:r>
        <w:rPr>
          <w:color w:val="auto"/>
          <w:kern w:val="0"/>
          <w:szCs w:val="21"/>
          <w:highlight w:val="none"/>
          <w:lang w:bidi="ar"/>
        </w:rPr>
        <w:t>投标报价明显低于企业成本可能影响履约的。</w:t>
      </w:r>
    </w:p>
    <w:p w14:paraId="48C7775F">
      <w:pPr>
        <w:spacing w:line="430" w:lineRule="exact"/>
        <w:ind w:firstLine="420" w:firstLineChars="200"/>
        <w:rPr>
          <w:color w:val="auto"/>
          <w:highlight w:val="none"/>
        </w:rPr>
      </w:pPr>
      <w:r>
        <w:rPr>
          <w:rFonts w:hint="eastAsia"/>
          <w:color w:val="auto"/>
          <w:kern w:val="0"/>
          <w:szCs w:val="21"/>
          <w:highlight w:val="none"/>
          <w:lang w:bidi="ar"/>
        </w:rPr>
        <w:t>B1</w:t>
      </w:r>
      <w:r>
        <w:rPr>
          <w:color w:val="auto"/>
          <w:highlight w:val="none"/>
        </w:rPr>
        <w:t>.</w:t>
      </w:r>
      <w:r>
        <w:rPr>
          <w:rFonts w:hint="eastAsia"/>
          <w:color w:val="auto"/>
          <w:highlight w:val="none"/>
        </w:rPr>
        <w:t>8</w:t>
      </w:r>
      <w:r>
        <w:rPr>
          <w:color w:val="auto"/>
          <w:highlight w:val="none"/>
        </w:rPr>
        <w:t>未按招标文件要求采用建筑信息模型技术的（如有）。</w:t>
      </w:r>
    </w:p>
    <w:p w14:paraId="5D06E4C9">
      <w:pPr>
        <w:spacing w:line="430" w:lineRule="exact"/>
        <w:ind w:firstLine="420" w:firstLineChars="200"/>
        <w:rPr>
          <w:color w:val="auto"/>
          <w:highlight w:val="none"/>
        </w:rPr>
      </w:pPr>
      <w:r>
        <w:rPr>
          <w:rFonts w:hint="eastAsia"/>
          <w:color w:val="auto"/>
          <w:highlight w:val="none"/>
        </w:rPr>
        <w:t>B1.9技术标不同模块赋分点之间多个模块固定位置存在内容表述非必要性雷同的。</w:t>
      </w:r>
    </w:p>
    <w:p w14:paraId="268E0DD1">
      <w:pPr>
        <w:widowControl/>
        <w:spacing w:line="43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bookmarkEnd w:id="632"/>
    <w:p w14:paraId="46E662C1">
      <w:pPr>
        <w:spacing w:line="430" w:lineRule="exact"/>
        <w:ind w:firstLine="420" w:firstLineChars="200"/>
        <w:rPr>
          <w:rFonts w:hint="eastAsia"/>
          <w:color w:val="auto"/>
          <w:highlight w:val="none"/>
        </w:rPr>
        <w:sectPr>
          <w:headerReference r:id="rId12" w:type="default"/>
          <w:footerReference r:id="rId13"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468150F9">
      <w:pPr>
        <w:pStyle w:val="32"/>
        <w:ind w:firstLine="118"/>
        <w:rPr>
          <w:color w:val="auto"/>
          <w:highlight w:val="none"/>
        </w:rPr>
      </w:pPr>
      <w:bookmarkStart w:id="858" w:name="_Toc148860657"/>
      <w:bookmarkStart w:id="859" w:name="_Toc164716303"/>
      <w:bookmarkStart w:id="860" w:name="_Toc256000133"/>
      <w:bookmarkStart w:id="861" w:name="_Toc19270"/>
      <w:r>
        <w:rPr>
          <w:rFonts w:hint="eastAsia"/>
          <w:color w:val="auto"/>
          <w:highlight w:val="none"/>
        </w:rPr>
        <w:t>附表A-1：评标委员会签到表</w:t>
      </w:r>
      <w:bookmarkEnd w:id="858"/>
      <w:bookmarkEnd w:id="859"/>
      <w:bookmarkEnd w:id="860"/>
      <w:bookmarkEnd w:id="861"/>
    </w:p>
    <w:p w14:paraId="57BCEEA3">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122B7D82">
      <w:pPr>
        <w:ind w:firstLine="210" w:firstLineChars="100"/>
        <w:rPr>
          <w:color w:val="auto"/>
          <w:szCs w:val="44"/>
          <w:highlight w:val="none"/>
        </w:rPr>
      </w:pPr>
      <w:r>
        <w:rPr>
          <w:rFonts w:hint="eastAsia"/>
          <w:color w:val="auto"/>
          <w:szCs w:val="44"/>
          <w:highlight w:val="none"/>
        </w:rPr>
        <w:t>标段名称：</w:t>
      </w:r>
    </w:p>
    <w:p w14:paraId="5D2291D2">
      <w:pPr>
        <w:ind w:firstLine="210" w:firstLineChars="100"/>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23"/>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04EE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0D7B31B">
            <w:pPr>
              <w:spacing w:line="420" w:lineRule="exact"/>
              <w:jc w:val="center"/>
              <w:rPr>
                <w:rFonts w:ascii="宋体" w:hAnsi="宋体"/>
                <w:b/>
                <w:bCs/>
                <w:color w:val="auto"/>
                <w:szCs w:val="21"/>
                <w:highlight w:val="none"/>
              </w:rPr>
            </w:pPr>
            <w:bookmarkStart w:id="862" w:name="_Hlk165802750"/>
            <w:r>
              <w:rPr>
                <w:rFonts w:hint="eastAsia" w:ascii="宋体" w:hAnsi="宋体"/>
                <w:b/>
                <w:bCs/>
                <w:color w:val="auto"/>
                <w:szCs w:val="21"/>
                <w:highlight w:val="none"/>
              </w:rPr>
              <w:t>序号</w:t>
            </w:r>
          </w:p>
        </w:tc>
        <w:tc>
          <w:tcPr>
            <w:tcW w:w="1169" w:type="dxa"/>
            <w:vAlign w:val="center"/>
          </w:tcPr>
          <w:p w14:paraId="5BB1B240">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091F585D">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0FD32CE2">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4D962B9A">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5CB0D608">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07A137F1">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39EEC2E7">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7A22FCE0">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签名</w:t>
            </w:r>
          </w:p>
        </w:tc>
      </w:tr>
      <w:tr w14:paraId="4C9E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D4CAFA5">
            <w:pPr>
              <w:spacing w:line="420" w:lineRule="exact"/>
              <w:jc w:val="center"/>
              <w:rPr>
                <w:rFonts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00CB466B">
            <w:pPr>
              <w:spacing w:line="420" w:lineRule="exact"/>
              <w:jc w:val="center"/>
              <w:rPr>
                <w:rFonts w:ascii="宋体" w:hAnsi="宋体"/>
                <w:color w:val="auto"/>
                <w:szCs w:val="21"/>
                <w:highlight w:val="none"/>
              </w:rPr>
            </w:pPr>
          </w:p>
        </w:tc>
        <w:tc>
          <w:tcPr>
            <w:tcW w:w="1797" w:type="dxa"/>
            <w:vAlign w:val="center"/>
          </w:tcPr>
          <w:p w14:paraId="172ABCAC">
            <w:pPr>
              <w:spacing w:line="420" w:lineRule="exact"/>
              <w:jc w:val="center"/>
              <w:rPr>
                <w:rFonts w:ascii="宋体" w:hAnsi="宋体"/>
                <w:color w:val="auto"/>
                <w:szCs w:val="21"/>
                <w:highlight w:val="none"/>
              </w:rPr>
            </w:pPr>
          </w:p>
        </w:tc>
        <w:tc>
          <w:tcPr>
            <w:tcW w:w="1930" w:type="dxa"/>
            <w:vAlign w:val="center"/>
          </w:tcPr>
          <w:p w14:paraId="2AEF631E">
            <w:pPr>
              <w:spacing w:line="420" w:lineRule="exact"/>
              <w:jc w:val="center"/>
              <w:rPr>
                <w:rFonts w:ascii="宋体" w:hAnsi="宋体"/>
                <w:color w:val="auto"/>
                <w:szCs w:val="21"/>
                <w:highlight w:val="none"/>
              </w:rPr>
            </w:pPr>
          </w:p>
        </w:tc>
        <w:tc>
          <w:tcPr>
            <w:tcW w:w="1793" w:type="dxa"/>
            <w:vAlign w:val="center"/>
          </w:tcPr>
          <w:p w14:paraId="4F5FBAA2">
            <w:pPr>
              <w:spacing w:line="420" w:lineRule="exact"/>
              <w:jc w:val="center"/>
              <w:rPr>
                <w:rFonts w:ascii="宋体" w:hAnsi="宋体"/>
                <w:color w:val="auto"/>
                <w:szCs w:val="21"/>
                <w:highlight w:val="none"/>
              </w:rPr>
            </w:pPr>
          </w:p>
        </w:tc>
        <w:tc>
          <w:tcPr>
            <w:tcW w:w="1431" w:type="dxa"/>
            <w:vAlign w:val="center"/>
          </w:tcPr>
          <w:p w14:paraId="6CE28F6B">
            <w:pPr>
              <w:spacing w:line="420" w:lineRule="exact"/>
              <w:jc w:val="center"/>
              <w:rPr>
                <w:rFonts w:ascii="宋体" w:hAnsi="宋体"/>
                <w:color w:val="auto"/>
                <w:szCs w:val="21"/>
                <w:highlight w:val="none"/>
              </w:rPr>
            </w:pPr>
          </w:p>
        </w:tc>
        <w:tc>
          <w:tcPr>
            <w:tcW w:w="1520" w:type="dxa"/>
            <w:vAlign w:val="center"/>
          </w:tcPr>
          <w:p w14:paraId="61F4697C">
            <w:pPr>
              <w:spacing w:line="420" w:lineRule="exact"/>
              <w:jc w:val="center"/>
              <w:rPr>
                <w:rFonts w:ascii="宋体" w:hAnsi="宋体"/>
                <w:color w:val="auto"/>
                <w:szCs w:val="21"/>
                <w:highlight w:val="none"/>
              </w:rPr>
            </w:pPr>
          </w:p>
        </w:tc>
        <w:tc>
          <w:tcPr>
            <w:tcW w:w="1706" w:type="dxa"/>
            <w:vAlign w:val="center"/>
          </w:tcPr>
          <w:p w14:paraId="26731A9A">
            <w:pPr>
              <w:spacing w:line="420" w:lineRule="exact"/>
              <w:jc w:val="center"/>
              <w:rPr>
                <w:rFonts w:ascii="宋体" w:hAnsi="宋体"/>
                <w:color w:val="auto"/>
                <w:szCs w:val="21"/>
                <w:highlight w:val="none"/>
              </w:rPr>
            </w:pPr>
          </w:p>
        </w:tc>
        <w:tc>
          <w:tcPr>
            <w:tcW w:w="1697" w:type="dxa"/>
          </w:tcPr>
          <w:p w14:paraId="7B26F024">
            <w:pPr>
              <w:spacing w:line="420" w:lineRule="exact"/>
              <w:jc w:val="center"/>
              <w:rPr>
                <w:rFonts w:ascii="宋体" w:hAnsi="宋体"/>
                <w:color w:val="auto"/>
                <w:szCs w:val="21"/>
                <w:highlight w:val="none"/>
              </w:rPr>
            </w:pPr>
          </w:p>
        </w:tc>
      </w:tr>
      <w:tr w14:paraId="12AF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4F0DFF9">
            <w:pPr>
              <w:spacing w:line="420" w:lineRule="exact"/>
              <w:jc w:val="center"/>
              <w:rPr>
                <w:rFonts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53E29AEF">
            <w:pPr>
              <w:spacing w:line="420" w:lineRule="exact"/>
              <w:jc w:val="center"/>
              <w:rPr>
                <w:rFonts w:ascii="宋体" w:hAnsi="宋体"/>
                <w:color w:val="auto"/>
                <w:szCs w:val="21"/>
                <w:highlight w:val="none"/>
              </w:rPr>
            </w:pPr>
          </w:p>
        </w:tc>
        <w:tc>
          <w:tcPr>
            <w:tcW w:w="1797" w:type="dxa"/>
            <w:vAlign w:val="center"/>
          </w:tcPr>
          <w:p w14:paraId="78FF1742">
            <w:pPr>
              <w:spacing w:line="420" w:lineRule="exact"/>
              <w:jc w:val="center"/>
              <w:rPr>
                <w:rFonts w:ascii="宋体" w:hAnsi="宋体"/>
                <w:color w:val="auto"/>
                <w:szCs w:val="21"/>
                <w:highlight w:val="none"/>
              </w:rPr>
            </w:pPr>
          </w:p>
        </w:tc>
        <w:tc>
          <w:tcPr>
            <w:tcW w:w="1930" w:type="dxa"/>
            <w:vAlign w:val="center"/>
          </w:tcPr>
          <w:p w14:paraId="17DB8082">
            <w:pPr>
              <w:spacing w:line="420" w:lineRule="exact"/>
              <w:jc w:val="center"/>
              <w:rPr>
                <w:rFonts w:ascii="宋体" w:hAnsi="宋体"/>
                <w:color w:val="auto"/>
                <w:szCs w:val="21"/>
                <w:highlight w:val="none"/>
              </w:rPr>
            </w:pPr>
          </w:p>
        </w:tc>
        <w:tc>
          <w:tcPr>
            <w:tcW w:w="1793" w:type="dxa"/>
            <w:vAlign w:val="center"/>
          </w:tcPr>
          <w:p w14:paraId="235C65FE">
            <w:pPr>
              <w:spacing w:line="420" w:lineRule="exact"/>
              <w:jc w:val="center"/>
              <w:rPr>
                <w:rFonts w:ascii="宋体" w:hAnsi="宋体"/>
                <w:color w:val="auto"/>
                <w:szCs w:val="21"/>
                <w:highlight w:val="none"/>
              </w:rPr>
            </w:pPr>
          </w:p>
        </w:tc>
        <w:tc>
          <w:tcPr>
            <w:tcW w:w="1431" w:type="dxa"/>
            <w:vAlign w:val="center"/>
          </w:tcPr>
          <w:p w14:paraId="353A6634">
            <w:pPr>
              <w:spacing w:line="420" w:lineRule="exact"/>
              <w:jc w:val="center"/>
              <w:rPr>
                <w:rFonts w:ascii="宋体" w:hAnsi="宋体"/>
                <w:color w:val="auto"/>
                <w:szCs w:val="21"/>
                <w:highlight w:val="none"/>
              </w:rPr>
            </w:pPr>
          </w:p>
        </w:tc>
        <w:tc>
          <w:tcPr>
            <w:tcW w:w="1520" w:type="dxa"/>
            <w:vAlign w:val="center"/>
          </w:tcPr>
          <w:p w14:paraId="15CFCEE8">
            <w:pPr>
              <w:spacing w:line="420" w:lineRule="exact"/>
              <w:jc w:val="center"/>
              <w:rPr>
                <w:rFonts w:ascii="宋体" w:hAnsi="宋体"/>
                <w:color w:val="auto"/>
                <w:szCs w:val="21"/>
                <w:highlight w:val="none"/>
              </w:rPr>
            </w:pPr>
          </w:p>
        </w:tc>
        <w:tc>
          <w:tcPr>
            <w:tcW w:w="1706" w:type="dxa"/>
            <w:vAlign w:val="center"/>
          </w:tcPr>
          <w:p w14:paraId="3499A18F">
            <w:pPr>
              <w:spacing w:line="420" w:lineRule="exact"/>
              <w:jc w:val="center"/>
              <w:rPr>
                <w:rFonts w:ascii="宋体" w:hAnsi="宋体"/>
                <w:color w:val="auto"/>
                <w:szCs w:val="21"/>
                <w:highlight w:val="none"/>
              </w:rPr>
            </w:pPr>
          </w:p>
        </w:tc>
        <w:tc>
          <w:tcPr>
            <w:tcW w:w="1697" w:type="dxa"/>
          </w:tcPr>
          <w:p w14:paraId="787BB981">
            <w:pPr>
              <w:spacing w:line="420" w:lineRule="exact"/>
              <w:jc w:val="center"/>
              <w:rPr>
                <w:rFonts w:ascii="宋体" w:hAnsi="宋体"/>
                <w:color w:val="auto"/>
                <w:szCs w:val="21"/>
                <w:highlight w:val="none"/>
              </w:rPr>
            </w:pPr>
          </w:p>
        </w:tc>
      </w:tr>
      <w:tr w14:paraId="7261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A143A89">
            <w:pPr>
              <w:spacing w:line="420" w:lineRule="exact"/>
              <w:jc w:val="center"/>
              <w:rPr>
                <w:rFonts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22F11A02">
            <w:pPr>
              <w:spacing w:line="420" w:lineRule="exact"/>
              <w:jc w:val="center"/>
              <w:rPr>
                <w:rFonts w:ascii="宋体" w:hAnsi="宋体"/>
                <w:color w:val="auto"/>
                <w:szCs w:val="21"/>
                <w:highlight w:val="none"/>
              </w:rPr>
            </w:pPr>
          </w:p>
        </w:tc>
        <w:tc>
          <w:tcPr>
            <w:tcW w:w="1797" w:type="dxa"/>
            <w:vAlign w:val="center"/>
          </w:tcPr>
          <w:p w14:paraId="15013177">
            <w:pPr>
              <w:spacing w:line="420" w:lineRule="exact"/>
              <w:jc w:val="center"/>
              <w:rPr>
                <w:rFonts w:ascii="宋体" w:hAnsi="宋体"/>
                <w:color w:val="auto"/>
                <w:szCs w:val="21"/>
                <w:highlight w:val="none"/>
              </w:rPr>
            </w:pPr>
          </w:p>
        </w:tc>
        <w:tc>
          <w:tcPr>
            <w:tcW w:w="1930" w:type="dxa"/>
            <w:vAlign w:val="center"/>
          </w:tcPr>
          <w:p w14:paraId="66C61248">
            <w:pPr>
              <w:spacing w:line="420" w:lineRule="exact"/>
              <w:jc w:val="center"/>
              <w:rPr>
                <w:rFonts w:ascii="宋体" w:hAnsi="宋体"/>
                <w:color w:val="auto"/>
                <w:szCs w:val="21"/>
                <w:highlight w:val="none"/>
              </w:rPr>
            </w:pPr>
          </w:p>
        </w:tc>
        <w:tc>
          <w:tcPr>
            <w:tcW w:w="1793" w:type="dxa"/>
            <w:vAlign w:val="center"/>
          </w:tcPr>
          <w:p w14:paraId="54ABE42D">
            <w:pPr>
              <w:spacing w:line="420" w:lineRule="exact"/>
              <w:jc w:val="center"/>
              <w:rPr>
                <w:rFonts w:ascii="宋体" w:hAnsi="宋体"/>
                <w:color w:val="auto"/>
                <w:szCs w:val="21"/>
                <w:highlight w:val="none"/>
              </w:rPr>
            </w:pPr>
          </w:p>
        </w:tc>
        <w:tc>
          <w:tcPr>
            <w:tcW w:w="1431" w:type="dxa"/>
            <w:vAlign w:val="center"/>
          </w:tcPr>
          <w:p w14:paraId="7E7F02B3">
            <w:pPr>
              <w:spacing w:line="420" w:lineRule="exact"/>
              <w:jc w:val="center"/>
              <w:rPr>
                <w:rFonts w:ascii="宋体" w:hAnsi="宋体"/>
                <w:color w:val="auto"/>
                <w:szCs w:val="21"/>
                <w:highlight w:val="none"/>
              </w:rPr>
            </w:pPr>
          </w:p>
        </w:tc>
        <w:tc>
          <w:tcPr>
            <w:tcW w:w="1520" w:type="dxa"/>
            <w:vAlign w:val="center"/>
          </w:tcPr>
          <w:p w14:paraId="58F3032B">
            <w:pPr>
              <w:spacing w:line="420" w:lineRule="exact"/>
              <w:jc w:val="center"/>
              <w:rPr>
                <w:rFonts w:ascii="宋体" w:hAnsi="宋体"/>
                <w:color w:val="auto"/>
                <w:szCs w:val="21"/>
                <w:highlight w:val="none"/>
              </w:rPr>
            </w:pPr>
          </w:p>
        </w:tc>
        <w:tc>
          <w:tcPr>
            <w:tcW w:w="1706" w:type="dxa"/>
            <w:vAlign w:val="center"/>
          </w:tcPr>
          <w:p w14:paraId="4C4566EB">
            <w:pPr>
              <w:spacing w:line="420" w:lineRule="exact"/>
              <w:jc w:val="center"/>
              <w:rPr>
                <w:rFonts w:ascii="宋体" w:hAnsi="宋体"/>
                <w:color w:val="auto"/>
                <w:szCs w:val="21"/>
                <w:highlight w:val="none"/>
              </w:rPr>
            </w:pPr>
          </w:p>
        </w:tc>
        <w:tc>
          <w:tcPr>
            <w:tcW w:w="1697" w:type="dxa"/>
          </w:tcPr>
          <w:p w14:paraId="59CB7B82">
            <w:pPr>
              <w:spacing w:line="420" w:lineRule="exact"/>
              <w:jc w:val="center"/>
              <w:rPr>
                <w:rFonts w:ascii="宋体" w:hAnsi="宋体"/>
                <w:color w:val="auto"/>
                <w:szCs w:val="21"/>
                <w:highlight w:val="none"/>
              </w:rPr>
            </w:pPr>
          </w:p>
        </w:tc>
      </w:tr>
      <w:tr w14:paraId="43BD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896F5FC">
            <w:pPr>
              <w:spacing w:line="420" w:lineRule="exact"/>
              <w:jc w:val="center"/>
              <w:rPr>
                <w:rFonts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7F1B3938">
            <w:pPr>
              <w:spacing w:line="420" w:lineRule="exact"/>
              <w:jc w:val="center"/>
              <w:rPr>
                <w:rFonts w:ascii="宋体" w:hAnsi="宋体"/>
                <w:color w:val="auto"/>
                <w:szCs w:val="21"/>
                <w:highlight w:val="none"/>
              </w:rPr>
            </w:pPr>
          </w:p>
        </w:tc>
        <w:tc>
          <w:tcPr>
            <w:tcW w:w="1797" w:type="dxa"/>
            <w:vAlign w:val="center"/>
          </w:tcPr>
          <w:p w14:paraId="2056AF33">
            <w:pPr>
              <w:spacing w:line="420" w:lineRule="exact"/>
              <w:jc w:val="center"/>
              <w:rPr>
                <w:rFonts w:ascii="宋体" w:hAnsi="宋体"/>
                <w:color w:val="auto"/>
                <w:szCs w:val="21"/>
                <w:highlight w:val="none"/>
              </w:rPr>
            </w:pPr>
          </w:p>
        </w:tc>
        <w:tc>
          <w:tcPr>
            <w:tcW w:w="1930" w:type="dxa"/>
            <w:vAlign w:val="center"/>
          </w:tcPr>
          <w:p w14:paraId="12EF0790">
            <w:pPr>
              <w:spacing w:line="420" w:lineRule="exact"/>
              <w:jc w:val="center"/>
              <w:rPr>
                <w:rFonts w:ascii="宋体" w:hAnsi="宋体"/>
                <w:color w:val="auto"/>
                <w:szCs w:val="21"/>
                <w:highlight w:val="none"/>
              </w:rPr>
            </w:pPr>
          </w:p>
        </w:tc>
        <w:tc>
          <w:tcPr>
            <w:tcW w:w="1793" w:type="dxa"/>
            <w:vAlign w:val="center"/>
          </w:tcPr>
          <w:p w14:paraId="47479310">
            <w:pPr>
              <w:spacing w:line="420" w:lineRule="exact"/>
              <w:jc w:val="center"/>
              <w:rPr>
                <w:rFonts w:ascii="宋体" w:hAnsi="宋体"/>
                <w:color w:val="auto"/>
                <w:szCs w:val="21"/>
                <w:highlight w:val="none"/>
              </w:rPr>
            </w:pPr>
          </w:p>
        </w:tc>
        <w:tc>
          <w:tcPr>
            <w:tcW w:w="1431" w:type="dxa"/>
            <w:vAlign w:val="center"/>
          </w:tcPr>
          <w:p w14:paraId="6731EA4F">
            <w:pPr>
              <w:spacing w:line="420" w:lineRule="exact"/>
              <w:jc w:val="center"/>
              <w:rPr>
                <w:rFonts w:ascii="宋体" w:hAnsi="宋体"/>
                <w:color w:val="auto"/>
                <w:szCs w:val="21"/>
                <w:highlight w:val="none"/>
              </w:rPr>
            </w:pPr>
          </w:p>
        </w:tc>
        <w:tc>
          <w:tcPr>
            <w:tcW w:w="1520" w:type="dxa"/>
            <w:vAlign w:val="center"/>
          </w:tcPr>
          <w:p w14:paraId="4954C1B0">
            <w:pPr>
              <w:spacing w:line="420" w:lineRule="exact"/>
              <w:jc w:val="center"/>
              <w:rPr>
                <w:rFonts w:ascii="宋体" w:hAnsi="宋体"/>
                <w:color w:val="auto"/>
                <w:szCs w:val="21"/>
                <w:highlight w:val="none"/>
              </w:rPr>
            </w:pPr>
          </w:p>
        </w:tc>
        <w:tc>
          <w:tcPr>
            <w:tcW w:w="1706" w:type="dxa"/>
            <w:vAlign w:val="center"/>
          </w:tcPr>
          <w:p w14:paraId="1CCE5377">
            <w:pPr>
              <w:spacing w:line="420" w:lineRule="exact"/>
              <w:jc w:val="center"/>
              <w:rPr>
                <w:rFonts w:ascii="宋体" w:hAnsi="宋体"/>
                <w:color w:val="auto"/>
                <w:szCs w:val="21"/>
                <w:highlight w:val="none"/>
              </w:rPr>
            </w:pPr>
          </w:p>
        </w:tc>
        <w:tc>
          <w:tcPr>
            <w:tcW w:w="1697" w:type="dxa"/>
          </w:tcPr>
          <w:p w14:paraId="74777D18">
            <w:pPr>
              <w:spacing w:line="420" w:lineRule="exact"/>
              <w:jc w:val="center"/>
              <w:rPr>
                <w:rFonts w:ascii="宋体" w:hAnsi="宋体"/>
                <w:color w:val="auto"/>
                <w:szCs w:val="21"/>
                <w:highlight w:val="none"/>
              </w:rPr>
            </w:pPr>
          </w:p>
        </w:tc>
      </w:tr>
      <w:tr w14:paraId="54A7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6D6A6FD">
            <w:pPr>
              <w:spacing w:line="420" w:lineRule="exact"/>
              <w:jc w:val="center"/>
              <w:rPr>
                <w:rFonts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363EB0EA">
            <w:pPr>
              <w:spacing w:line="420" w:lineRule="exact"/>
              <w:jc w:val="center"/>
              <w:rPr>
                <w:rFonts w:ascii="宋体" w:hAnsi="宋体"/>
                <w:color w:val="auto"/>
                <w:szCs w:val="21"/>
                <w:highlight w:val="none"/>
              </w:rPr>
            </w:pPr>
          </w:p>
        </w:tc>
        <w:tc>
          <w:tcPr>
            <w:tcW w:w="1797" w:type="dxa"/>
            <w:vAlign w:val="center"/>
          </w:tcPr>
          <w:p w14:paraId="74D22B16">
            <w:pPr>
              <w:spacing w:line="420" w:lineRule="exact"/>
              <w:jc w:val="center"/>
              <w:rPr>
                <w:rFonts w:ascii="宋体" w:hAnsi="宋体"/>
                <w:color w:val="auto"/>
                <w:szCs w:val="21"/>
                <w:highlight w:val="none"/>
              </w:rPr>
            </w:pPr>
          </w:p>
        </w:tc>
        <w:tc>
          <w:tcPr>
            <w:tcW w:w="1930" w:type="dxa"/>
            <w:vAlign w:val="center"/>
          </w:tcPr>
          <w:p w14:paraId="200EBD3B">
            <w:pPr>
              <w:spacing w:line="420" w:lineRule="exact"/>
              <w:jc w:val="center"/>
              <w:rPr>
                <w:rFonts w:ascii="宋体" w:hAnsi="宋体"/>
                <w:color w:val="auto"/>
                <w:szCs w:val="21"/>
                <w:highlight w:val="none"/>
              </w:rPr>
            </w:pPr>
          </w:p>
        </w:tc>
        <w:tc>
          <w:tcPr>
            <w:tcW w:w="1793" w:type="dxa"/>
            <w:vAlign w:val="center"/>
          </w:tcPr>
          <w:p w14:paraId="1BAC490E">
            <w:pPr>
              <w:spacing w:line="420" w:lineRule="exact"/>
              <w:jc w:val="center"/>
              <w:rPr>
                <w:rFonts w:ascii="宋体" w:hAnsi="宋体"/>
                <w:color w:val="auto"/>
                <w:szCs w:val="21"/>
                <w:highlight w:val="none"/>
              </w:rPr>
            </w:pPr>
          </w:p>
        </w:tc>
        <w:tc>
          <w:tcPr>
            <w:tcW w:w="1431" w:type="dxa"/>
            <w:vAlign w:val="center"/>
          </w:tcPr>
          <w:p w14:paraId="0FB8CB74">
            <w:pPr>
              <w:spacing w:line="420" w:lineRule="exact"/>
              <w:jc w:val="center"/>
              <w:rPr>
                <w:rFonts w:ascii="宋体" w:hAnsi="宋体"/>
                <w:color w:val="auto"/>
                <w:szCs w:val="21"/>
                <w:highlight w:val="none"/>
              </w:rPr>
            </w:pPr>
          </w:p>
        </w:tc>
        <w:tc>
          <w:tcPr>
            <w:tcW w:w="1520" w:type="dxa"/>
            <w:vAlign w:val="center"/>
          </w:tcPr>
          <w:p w14:paraId="797F71E9">
            <w:pPr>
              <w:spacing w:line="420" w:lineRule="exact"/>
              <w:jc w:val="center"/>
              <w:rPr>
                <w:rFonts w:ascii="宋体" w:hAnsi="宋体"/>
                <w:color w:val="auto"/>
                <w:szCs w:val="21"/>
                <w:highlight w:val="none"/>
              </w:rPr>
            </w:pPr>
          </w:p>
        </w:tc>
        <w:tc>
          <w:tcPr>
            <w:tcW w:w="1706" w:type="dxa"/>
            <w:vAlign w:val="center"/>
          </w:tcPr>
          <w:p w14:paraId="6B82C0B2">
            <w:pPr>
              <w:spacing w:line="420" w:lineRule="exact"/>
              <w:jc w:val="center"/>
              <w:rPr>
                <w:rFonts w:ascii="宋体" w:hAnsi="宋体"/>
                <w:color w:val="auto"/>
                <w:szCs w:val="21"/>
                <w:highlight w:val="none"/>
              </w:rPr>
            </w:pPr>
          </w:p>
        </w:tc>
        <w:tc>
          <w:tcPr>
            <w:tcW w:w="1697" w:type="dxa"/>
          </w:tcPr>
          <w:p w14:paraId="2FC572A5">
            <w:pPr>
              <w:spacing w:line="420" w:lineRule="exact"/>
              <w:jc w:val="center"/>
              <w:rPr>
                <w:rFonts w:ascii="宋体" w:hAnsi="宋体"/>
                <w:color w:val="auto"/>
                <w:szCs w:val="21"/>
                <w:highlight w:val="none"/>
              </w:rPr>
            </w:pPr>
          </w:p>
        </w:tc>
      </w:tr>
      <w:tr w14:paraId="5F55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8451FE1">
            <w:pPr>
              <w:spacing w:line="420" w:lineRule="exact"/>
              <w:jc w:val="center"/>
              <w:rPr>
                <w:rFonts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172CD46D">
            <w:pPr>
              <w:spacing w:line="420" w:lineRule="exact"/>
              <w:jc w:val="center"/>
              <w:rPr>
                <w:rFonts w:ascii="宋体" w:hAnsi="宋体"/>
                <w:color w:val="auto"/>
                <w:szCs w:val="21"/>
                <w:highlight w:val="none"/>
              </w:rPr>
            </w:pPr>
          </w:p>
        </w:tc>
        <w:tc>
          <w:tcPr>
            <w:tcW w:w="1797" w:type="dxa"/>
            <w:vAlign w:val="center"/>
          </w:tcPr>
          <w:p w14:paraId="4A2CF1BB">
            <w:pPr>
              <w:spacing w:line="420" w:lineRule="exact"/>
              <w:jc w:val="center"/>
              <w:rPr>
                <w:rFonts w:ascii="宋体" w:hAnsi="宋体"/>
                <w:color w:val="auto"/>
                <w:szCs w:val="21"/>
                <w:highlight w:val="none"/>
              </w:rPr>
            </w:pPr>
          </w:p>
        </w:tc>
        <w:tc>
          <w:tcPr>
            <w:tcW w:w="1930" w:type="dxa"/>
            <w:vAlign w:val="center"/>
          </w:tcPr>
          <w:p w14:paraId="2F5D28BF">
            <w:pPr>
              <w:spacing w:line="420" w:lineRule="exact"/>
              <w:jc w:val="center"/>
              <w:rPr>
                <w:rFonts w:ascii="宋体" w:hAnsi="宋体"/>
                <w:color w:val="auto"/>
                <w:szCs w:val="21"/>
                <w:highlight w:val="none"/>
              </w:rPr>
            </w:pPr>
          </w:p>
        </w:tc>
        <w:tc>
          <w:tcPr>
            <w:tcW w:w="1793" w:type="dxa"/>
            <w:vAlign w:val="center"/>
          </w:tcPr>
          <w:p w14:paraId="12A0D79B">
            <w:pPr>
              <w:spacing w:line="420" w:lineRule="exact"/>
              <w:jc w:val="center"/>
              <w:rPr>
                <w:rFonts w:ascii="宋体" w:hAnsi="宋体"/>
                <w:color w:val="auto"/>
                <w:szCs w:val="21"/>
                <w:highlight w:val="none"/>
              </w:rPr>
            </w:pPr>
          </w:p>
        </w:tc>
        <w:tc>
          <w:tcPr>
            <w:tcW w:w="1431" w:type="dxa"/>
            <w:vAlign w:val="center"/>
          </w:tcPr>
          <w:p w14:paraId="260EEEF2">
            <w:pPr>
              <w:spacing w:line="420" w:lineRule="exact"/>
              <w:jc w:val="center"/>
              <w:rPr>
                <w:rFonts w:ascii="宋体" w:hAnsi="宋体"/>
                <w:color w:val="auto"/>
                <w:szCs w:val="21"/>
                <w:highlight w:val="none"/>
              </w:rPr>
            </w:pPr>
          </w:p>
        </w:tc>
        <w:tc>
          <w:tcPr>
            <w:tcW w:w="1520" w:type="dxa"/>
            <w:vAlign w:val="center"/>
          </w:tcPr>
          <w:p w14:paraId="5138144A">
            <w:pPr>
              <w:spacing w:line="420" w:lineRule="exact"/>
              <w:jc w:val="center"/>
              <w:rPr>
                <w:rFonts w:ascii="宋体" w:hAnsi="宋体"/>
                <w:color w:val="auto"/>
                <w:szCs w:val="21"/>
                <w:highlight w:val="none"/>
              </w:rPr>
            </w:pPr>
          </w:p>
        </w:tc>
        <w:tc>
          <w:tcPr>
            <w:tcW w:w="1706" w:type="dxa"/>
            <w:vAlign w:val="center"/>
          </w:tcPr>
          <w:p w14:paraId="35C0BB03">
            <w:pPr>
              <w:spacing w:line="420" w:lineRule="exact"/>
              <w:jc w:val="center"/>
              <w:rPr>
                <w:rFonts w:ascii="宋体" w:hAnsi="宋体"/>
                <w:color w:val="auto"/>
                <w:szCs w:val="21"/>
                <w:highlight w:val="none"/>
              </w:rPr>
            </w:pPr>
          </w:p>
        </w:tc>
        <w:tc>
          <w:tcPr>
            <w:tcW w:w="1697" w:type="dxa"/>
          </w:tcPr>
          <w:p w14:paraId="2E742AF0">
            <w:pPr>
              <w:spacing w:line="420" w:lineRule="exact"/>
              <w:jc w:val="center"/>
              <w:rPr>
                <w:rFonts w:ascii="宋体" w:hAnsi="宋体"/>
                <w:color w:val="auto"/>
                <w:szCs w:val="21"/>
                <w:highlight w:val="none"/>
              </w:rPr>
            </w:pPr>
          </w:p>
        </w:tc>
      </w:tr>
      <w:tr w14:paraId="2BB7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0BB97982">
            <w:pPr>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3BF636FD">
            <w:pPr>
              <w:spacing w:line="420" w:lineRule="exact"/>
              <w:jc w:val="center"/>
              <w:rPr>
                <w:rFonts w:ascii="宋体" w:hAnsi="宋体"/>
                <w:color w:val="auto"/>
                <w:szCs w:val="21"/>
                <w:highlight w:val="none"/>
              </w:rPr>
            </w:pPr>
          </w:p>
        </w:tc>
        <w:tc>
          <w:tcPr>
            <w:tcW w:w="1797" w:type="dxa"/>
            <w:vAlign w:val="center"/>
          </w:tcPr>
          <w:p w14:paraId="1210ECBC">
            <w:pPr>
              <w:spacing w:line="420" w:lineRule="exact"/>
              <w:jc w:val="center"/>
              <w:rPr>
                <w:rFonts w:ascii="宋体" w:hAnsi="宋体"/>
                <w:color w:val="auto"/>
                <w:szCs w:val="21"/>
                <w:highlight w:val="none"/>
              </w:rPr>
            </w:pPr>
          </w:p>
        </w:tc>
        <w:tc>
          <w:tcPr>
            <w:tcW w:w="1930" w:type="dxa"/>
            <w:vAlign w:val="center"/>
          </w:tcPr>
          <w:p w14:paraId="4CC6B65F">
            <w:pPr>
              <w:spacing w:line="420" w:lineRule="exact"/>
              <w:jc w:val="center"/>
              <w:rPr>
                <w:rFonts w:ascii="宋体" w:hAnsi="宋体"/>
                <w:color w:val="auto"/>
                <w:szCs w:val="21"/>
                <w:highlight w:val="none"/>
              </w:rPr>
            </w:pPr>
          </w:p>
        </w:tc>
        <w:tc>
          <w:tcPr>
            <w:tcW w:w="1793" w:type="dxa"/>
            <w:vAlign w:val="center"/>
          </w:tcPr>
          <w:p w14:paraId="4D6DF9B0">
            <w:pPr>
              <w:spacing w:line="420" w:lineRule="exact"/>
              <w:jc w:val="center"/>
              <w:rPr>
                <w:rFonts w:ascii="宋体" w:hAnsi="宋体"/>
                <w:color w:val="auto"/>
                <w:szCs w:val="21"/>
                <w:highlight w:val="none"/>
              </w:rPr>
            </w:pPr>
          </w:p>
        </w:tc>
        <w:tc>
          <w:tcPr>
            <w:tcW w:w="1431" w:type="dxa"/>
            <w:vAlign w:val="center"/>
          </w:tcPr>
          <w:p w14:paraId="1E528140">
            <w:pPr>
              <w:spacing w:line="420" w:lineRule="exact"/>
              <w:jc w:val="center"/>
              <w:rPr>
                <w:rFonts w:ascii="宋体" w:hAnsi="宋体"/>
                <w:color w:val="auto"/>
                <w:szCs w:val="21"/>
                <w:highlight w:val="none"/>
              </w:rPr>
            </w:pPr>
          </w:p>
        </w:tc>
        <w:tc>
          <w:tcPr>
            <w:tcW w:w="1520" w:type="dxa"/>
            <w:vAlign w:val="center"/>
          </w:tcPr>
          <w:p w14:paraId="3C362B88">
            <w:pPr>
              <w:spacing w:line="420" w:lineRule="exact"/>
              <w:jc w:val="center"/>
              <w:rPr>
                <w:rFonts w:ascii="宋体" w:hAnsi="宋体"/>
                <w:color w:val="auto"/>
                <w:szCs w:val="21"/>
                <w:highlight w:val="none"/>
              </w:rPr>
            </w:pPr>
          </w:p>
        </w:tc>
        <w:tc>
          <w:tcPr>
            <w:tcW w:w="1706" w:type="dxa"/>
            <w:vAlign w:val="center"/>
          </w:tcPr>
          <w:p w14:paraId="232F9C9B">
            <w:pPr>
              <w:spacing w:line="420" w:lineRule="exact"/>
              <w:jc w:val="center"/>
              <w:rPr>
                <w:rFonts w:ascii="宋体" w:hAnsi="宋体"/>
                <w:color w:val="auto"/>
                <w:szCs w:val="21"/>
                <w:highlight w:val="none"/>
              </w:rPr>
            </w:pPr>
          </w:p>
        </w:tc>
        <w:tc>
          <w:tcPr>
            <w:tcW w:w="1697" w:type="dxa"/>
          </w:tcPr>
          <w:p w14:paraId="604ADCC6">
            <w:pPr>
              <w:spacing w:line="420" w:lineRule="exact"/>
              <w:jc w:val="center"/>
              <w:rPr>
                <w:rFonts w:ascii="宋体" w:hAnsi="宋体"/>
                <w:color w:val="auto"/>
                <w:szCs w:val="21"/>
                <w:highlight w:val="none"/>
              </w:rPr>
            </w:pPr>
          </w:p>
        </w:tc>
      </w:tr>
      <w:bookmarkEnd w:id="862"/>
    </w:tbl>
    <w:p w14:paraId="36CC0484">
      <w:pPr>
        <w:spacing w:after="240" w:afterLines="100"/>
        <w:rPr>
          <w:color w:val="auto"/>
          <w:szCs w:val="44"/>
          <w:highlight w:val="none"/>
        </w:rPr>
      </w:pPr>
    </w:p>
    <w:p w14:paraId="15838D9A">
      <w:pPr>
        <w:adjustRightInd w:val="0"/>
        <w:snapToGrid w:val="0"/>
        <w:spacing w:line="440" w:lineRule="exact"/>
        <w:rPr>
          <w:rFonts w:ascii="黑体" w:eastAsia="黑体"/>
          <w:color w:val="auto"/>
          <w:sz w:val="24"/>
          <w:highlight w:val="none"/>
        </w:rPr>
      </w:pPr>
    </w:p>
    <w:p w14:paraId="79ECAD68">
      <w:pPr>
        <w:adjustRightInd w:val="0"/>
        <w:snapToGrid w:val="0"/>
        <w:spacing w:line="440" w:lineRule="exact"/>
        <w:rPr>
          <w:rFonts w:ascii="黑体" w:eastAsia="黑体"/>
          <w:color w:val="auto"/>
          <w:sz w:val="24"/>
          <w:highlight w:val="none"/>
        </w:rPr>
        <w:sectPr>
          <w:footerReference r:id="rId14" w:type="default"/>
          <w:footerReference r:id="rId15" w:type="even"/>
          <w:pgSz w:w="16838" w:h="11906" w:orient="landscape"/>
          <w:pgMar w:top="1797" w:right="1440" w:bottom="1797" w:left="1440" w:header="851" w:footer="851" w:gutter="0"/>
          <w:pgBorders>
            <w:top w:val="none" w:sz="0" w:space="0"/>
            <w:left w:val="none" w:sz="0" w:space="0"/>
            <w:bottom w:val="none" w:sz="0" w:space="0"/>
            <w:right w:val="none" w:sz="0" w:space="0"/>
          </w:pgBorders>
          <w:cols w:space="720" w:num="1"/>
          <w:docGrid w:linePitch="312" w:charSpace="0"/>
        </w:sectPr>
      </w:pPr>
    </w:p>
    <w:p w14:paraId="64A43547">
      <w:pPr>
        <w:adjustRightInd w:val="0"/>
        <w:snapToGrid w:val="0"/>
        <w:spacing w:line="440" w:lineRule="exact"/>
        <w:rPr>
          <w:rFonts w:ascii="黑体" w:eastAsia="黑体"/>
          <w:color w:val="auto"/>
          <w:sz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457B9DBF">
      <w:pPr>
        <w:pStyle w:val="32"/>
        <w:ind w:firstLine="118"/>
        <w:rPr>
          <w:color w:val="auto"/>
          <w:highlight w:val="none"/>
        </w:rPr>
      </w:pPr>
      <w:bookmarkStart w:id="863" w:name="_Toc21203"/>
      <w:bookmarkStart w:id="864" w:name="_Toc148860658"/>
      <w:bookmarkStart w:id="865" w:name="_Toc164716304"/>
      <w:bookmarkStart w:id="866" w:name="_Toc256000134"/>
      <w:r>
        <w:rPr>
          <w:color w:val="auto"/>
          <w:highlight w:val="none"/>
        </w:rPr>
        <w:t>附表A-2：评标专家</w:t>
      </w:r>
      <w:r>
        <w:rPr>
          <w:rFonts w:hint="eastAsia"/>
          <w:color w:val="auto"/>
          <w:highlight w:val="none"/>
        </w:rPr>
        <w:t>告知承诺函</w:t>
      </w:r>
      <w:bookmarkEnd w:id="863"/>
      <w:bookmarkEnd w:id="864"/>
      <w:bookmarkEnd w:id="865"/>
      <w:bookmarkEnd w:id="866"/>
    </w:p>
    <w:p w14:paraId="5AD6D088">
      <w:pPr>
        <w:adjustRightInd w:val="0"/>
        <w:snapToGrid w:val="0"/>
        <w:spacing w:line="440" w:lineRule="exact"/>
        <w:rPr>
          <w:rFonts w:ascii="黑体" w:eastAsia="黑体"/>
          <w:color w:val="auto"/>
          <w:sz w:val="24"/>
          <w:highlight w:val="none"/>
        </w:rPr>
      </w:pPr>
    </w:p>
    <w:p w14:paraId="39645D58">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5A31909F">
      <w:pPr>
        <w:spacing w:line="360" w:lineRule="auto"/>
        <w:ind w:firstLine="420" w:firstLineChars="200"/>
        <w:rPr>
          <w:color w:val="auto"/>
          <w:highlight w:val="none"/>
        </w:rPr>
      </w:pPr>
    </w:p>
    <w:p w14:paraId="6BCE304F">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53BD00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46D775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一、尽职承诺</w:t>
      </w:r>
    </w:p>
    <w:p w14:paraId="5E6E2A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0F8C5D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7FD5C3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1798CA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（四）对依法应当否决的投标提出否决意见。</w:t>
      </w:r>
    </w:p>
    <w:p w14:paraId="2553FD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二、回避承诺</w:t>
      </w:r>
    </w:p>
    <w:p w14:paraId="65F4B0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372ABA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（二）非项目主管部门或者行政监督部门的人员。</w:t>
      </w:r>
    </w:p>
    <w:p w14:paraId="3C1103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0067A0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220281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三、保密承诺</w:t>
      </w:r>
    </w:p>
    <w:p w14:paraId="7EABB6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6B9DF8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24D2CC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四、廉洁承诺</w:t>
      </w:r>
    </w:p>
    <w:p w14:paraId="2BC748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1A3F15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470820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60A904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1B55C7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五、不参与串通投标承诺</w:t>
      </w:r>
    </w:p>
    <w:p w14:paraId="34F2EA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7F8259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31ABB3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25632E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六、本承诺函由我本人亲自签字确认。</w:t>
      </w:r>
    </w:p>
    <w:p w14:paraId="7CAE7ECE">
      <w:pPr>
        <w:spacing w:line="360" w:lineRule="auto"/>
        <w:ind w:firstLine="420" w:firstLineChars="200"/>
        <w:rPr>
          <w:rFonts w:ascii="宋体" w:hAnsi="宋体"/>
          <w:color w:val="auto"/>
          <w:szCs w:val="21"/>
          <w:highlight w:val="none"/>
        </w:rPr>
      </w:pPr>
    </w:p>
    <w:p w14:paraId="5A62607F">
      <w:pPr>
        <w:spacing w:line="360" w:lineRule="auto"/>
        <w:ind w:firstLine="420" w:firstLineChars="200"/>
        <w:rPr>
          <w:rFonts w:ascii="宋体" w:hAnsi="宋体"/>
          <w:color w:val="auto"/>
          <w:szCs w:val="21"/>
          <w:highlight w:val="none"/>
        </w:rPr>
      </w:pPr>
    </w:p>
    <w:p w14:paraId="58E9EE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本人是□ 否□ 为中共党员 </w:t>
      </w:r>
    </w:p>
    <w:p w14:paraId="1E0DD623">
      <w:pPr>
        <w:spacing w:line="360" w:lineRule="auto"/>
        <w:ind w:firstLine="1680" w:firstLineChars="800"/>
        <w:rPr>
          <w:rFonts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6DDEC9ED">
      <w:pPr>
        <w:spacing w:line="360" w:lineRule="auto"/>
        <w:ind w:firstLine="1260" w:firstLineChars="600"/>
        <w:rPr>
          <w:rFonts w:ascii="宋体" w:hAnsi="宋体"/>
          <w:color w:val="auto"/>
          <w:szCs w:val="21"/>
          <w:highlight w:val="none"/>
        </w:rPr>
      </w:pPr>
    </w:p>
    <w:p w14:paraId="79755695">
      <w:pPr>
        <w:spacing w:line="360" w:lineRule="auto"/>
        <w:ind w:firstLine="1260" w:firstLineChars="600"/>
        <w:rPr>
          <w:rFonts w:ascii="宋体" w:hAnsi="宋体"/>
          <w:color w:val="auto"/>
          <w:szCs w:val="21"/>
          <w:highlight w:val="none"/>
        </w:rPr>
      </w:pPr>
    </w:p>
    <w:p w14:paraId="05D19B42">
      <w:pPr>
        <w:spacing w:line="360" w:lineRule="auto"/>
        <w:ind w:firstLine="1260" w:firstLineChars="600"/>
        <w:rPr>
          <w:rFonts w:ascii="宋体" w:hAnsi="宋体"/>
          <w:color w:val="auto"/>
          <w:szCs w:val="21"/>
          <w:highlight w:val="none"/>
        </w:rPr>
      </w:pPr>
    </w:p>
    <w:p w14:paraId="2666F8A5">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3E4C781B">
      <w:pPr>
        <w:spacing w:line="360" w:lineRule="auto"/>
        <w:ind w:firstLine="1260" w:firstLineChars="600"/>
        <w:rPr>
          <w:rFonts w:ascii="宋体" w:hAnsi="宋体"/>
          <w:color w:val="auto"/>
          <w:szCs w:val="21"/>
          <w:highlight w:val="none"/>
        </w:rPr>
      </w:pPr>
    </w:p>
    <w:p w14:paraId="525A3B8F">
      <w:pPr>
        <w:spacing w:line="360" w:lineRule="auto"/>
        <w:ind w:right="840"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7E5347FB">
      <w:pPr>
        <w:widowControl/>
        <w:jc w:val="left"/>
        <w:rPr>
          <w:rFonts w:ascii="宋体" w:hAnsi="宋体"/>
          <w:color w:val="auto"/>
          <w:szCs w:val="21"/>
          <w:highlight w:val="none"/>
        </w:rPr>
      </w:pPr>
      <w:r>
        <w:rPr>
          <w:rFonts w:ascii="宋体" w:hAnsi="宋体"/>
          <w:color w:val="auto"/>
          <w:szCs w:val="21"/>
          <w:highlight w:val="none"/>
        </w:rPr>
        <w:br w:type="page"/>
      </w:r>
    </w:p>
    <w:p w14:paraId="5F41FF9F">
      <w:pPr>
        <w:spacing w:line="360" w:lineRule="auto"/>
        <w:ind w:right="840" w:firstLine="420" w:firstLineChars="200"/>
        <w:jc w:val="center"/>
        <w:rPr>
          <w:rFonts w:ascii="宋体" w:hAnsi="宋体"/>
          <w:color w:val="auto"/>
          <w:szCs w:val="21"/>
          <w:highlight w:val="none"/>
        </w:rPr>
      </w:pPr>
    </w:p>
    <w:p w14:paraId="7E93C886">
      <w:pPr>
        <w:pStyle w:val="32"/>
        <w:ind w:firstLine="118"/>
        <w:rPr>
          <w:color w:val="auto"/>
          <w:highlight w:val="none"/>
        </w:rPr>
      </w:pPr>
      <w:bookmarkStart w:id="867" w:name="_Toc256000135"/>
      <w:bookmarkStart w:id="868" w:name="_Toc148860659"/>
      <w:bookmarkStart w:id="869" w:name="_Toc164716305"/>
      <w:bookmarkStart w:id="870" w:name="_Toc14254"/>
      <w:bookmarkStart w:id="871" w:name="_Toc145516052"/>
      <w:r>
        <w:rPr>
          <w:color w:val="auto"/>
          <w:highlight w:val="none"/>
        </w:rPr>
        <w:t>附表A-3：技术暗标编号确认表</w:t>
      </w:r>
      <w:bookmarkEnd w:id="867"/>
      <w:bookmarkEnd w:id="868"/>
      <w:bookmarkEnd w:id="869"/>
      <w:bookmarkEnd w:id="870"/>
    </w:p>
    <w:p w14:paraId="5922792D">
      <w:pPr>
        <w:rPr>
          <w:color w:val="auto"/>
          <w:highlight w:val="none"/>
        </w:rPr>
      </w:pPr>
    </w:p>
    <w:p w14:paraId="1A274B7E">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872" w:name="_Toc1156"/>
      <w:bookmarkStart w:id="873" w:name="_Toc149054700"/>
      <w:bookmarkStart w:id="874" w:name="_Toc149060933"/>
      <w:bookmarkStart w:id="875" w:name="_Toc148860660"/>
      <w:r>
        <w:rPr>
          <w:rFonts w:hint="eastAsia" w:ascii="黑体" w:hAnsi="黑体" w:eastAsia="黑体"/>
          <w:bCs/>
          <w:color w:val="auto"/>
          <w:sz w:val="36"/>
          <w:szCs w:val="36"/>
          <w:highlight w:val="none"/>
        </w:rPr>
        <w:t>技术暗标</w:t>
      </w:r>
      <w:r>
        <w:rPr>
          <w:rFonts w:hint="eastAsia" w:ascii="黑体" w:hAnsi="宋体" w:eastAsia="黑体"/>
          <w:color w:val="auto"/>
          <w:sz w:val="36"/>
          <w:szCs w:val="36"/>
          <w:highlight w:val="none"/>
        </w:rPr>
        <w:t>编号</w:t>
      </w:r>
      <w:r>
        <w:rPr>
          <w:rFonts w:hint="eastAsia" w:ascii="黑体" w:hAnsi="黑体" w:eastAsia="黑体"/>
          <w:bCs/>
          <w:color w:val="auto"/>
          <w:sz w:val="36"/>
          <w:szCs w:val="36"/>
          <w:highlight w:val="none"/>
        </w:rPr>
        <w:t>确认表</w:t>
      </w:r>
      <w:bookmarkEnd w:id="871"/>
      <w:bookmarkEnd w:id="872"/>
      <w:bookmarkEnd w:id="873"/>
      <w:bookmarkEnd w:id="874"/>
      <w:bookmarkEnd w:id="875"/>
    </w:p>
    <w:p w14:paraId="1D2CA03D">
      <w:pPr>
        <w:rPr>
          <w:rFonts w:ascii="宋体" w:hAnsi="宋体"/>
          <w:color w:val="auto"/>
          <w:szCs w:val="44"/>
          <w:highlight w:val="none"/>
        </w:rPr>
      </w:pPr>
      <w:r>
        <w:rPr>
          <w:rFonts w:hint="eastAsia" w:ascii="宋体" w:hAnsi="宋体"/>
          <w:color w:val="auto"/>
          <w:szCs w:val="44"/>
          <w:highlight w:val="none"/>
        </w:rPr>
        <w:t>标段名称：</w:t>
      </w:r>
    </w:p>
    <w:p w14:paraId="770055BD">
      <w:pPr>
        <w:rPr>
          <w:color w:val="auto"/>
          <w:szCs w:val="44"/>
          <w:highlight w:val="none"/>
        </w:rPr>
      </w:pPr>
      <w:r>
        <w:rPr>
          <w:rFonts w:hint="eastAsia"/>
          <w:color w:val="auto"/>
          <w:szCs w:val="44"/>
          <w:highlight w:val="none"/>
        </w:rPr>
        <w:t>标段唯一标识码：</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993"/>
        <w:gridCol w:w="771"/>
        <w:gridCol w:w="772"/>
        <w:gridCol w:w="772"/>
        <w:gridCol w:w="772"/>
        <w:gridCol w:w="771"/>
        <w:gridCol w:w="772"/>
        <w:gridCol w:w="772"/>
        <w:gridCol w:w="772"/>
        <w:gridCol w:w="772"/>
      </w:tblGrid>
      <w:tr w14:paraId="4FF6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1" w:type="dxa"/>
            <w:vMerge w:val="restart"/>
            <w:vAlign w:val="center"/>
          </w:tcPr>
          <w:p w14:paraId="55517CC3">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93" w:type="dxa"/>
            <w:vMerge w:val="restart"/>
            <w:vAlign w:val="center"/>
          </w:tcPr>
          <w:p w14:paraId="6D685FA3">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6946" w:type="dxa"/>
            <w:gridSpan w:val="9"/>
          </w:tcPr>
          <w:p w14:paraId="4E596331">
            <w:pPr>
              <w:jc w:val="center"/>
              <w:rPr>
                <w:rFonts w:ascii="宋体" w:hAnsi="宋体"/>
                <w:b/>
                <w:bCs/>
                <w:color w:val="auto"/>
                <w:szCs w:val="21"/>
                <w:highlight w:val="none"/>
              </w:rPr>
            </w:pPr>
            <w:r>
              <w:rPr>
                <w:rFonts w:hint="eastAsia" w:ascii="宋体" w:hAnsi="宋体"/>
                <w:b/>
                <w:bCs/>
                <w:color w:val="auto"/>
                <w:szCs w:val="21"/>
                <w:highlight w:val="none"/>
              </w:rPr>
              <w:t>评审因素及暗标编号</w:t>
            </w:r>
          </w:p>
        </w:tc>
      </w:tr>
      <w:tr w14:paraId="63A9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21" w:type="dxa"/>
            <w:vMerge w:val="continue"/>
            <w:vAlign w:val="center"/>
          </w:tcPr>
          <w:p w14:paraId="5AC80268">
            <w:pPr>
              <w:jc w:val="center"/>
              <w:rPr>
                <w:rFonts w:ascii="宋体" w:hAnsi="宋体"/>
                <w:b/>
                <w:bCs/>
                <w:color w:val="auto"/>
                <w:szCs w:val="21"/>
                <w:highlight w:val="none"/>
              </w:rPr>
            </w:pPr>
          </w:p>
        </w:tc>
        <w:tc>
          <w:tcPr>
            <w:tcW w:w="1993" w:type="dxa"/>
            <w:vMerge w:val="continue"/>
          </w:tcPr>
          <w:p w14:paraId="2D99C8DA">
            <w:pPr>
              <w:jc w:val="center"/>
              <w:rPr>
                <w:rFonts w:ascii="宋体" w:hAnsi="宋体"/>
                <w:b/>
                <w:bCs/>
                <w:color w:val="auto"/>
                <w:szCs w:val="21"/>
                <w:highlight w:val="none"/>
              </w:rPr>
            </w:pPr>
          </w:p>
        </w:tc>
        <w:tc>
          <w:tcPr>
            <w:tcW w:w="771" w:type="dxa"/>
            <w:vAlign w:val="center"/>
          </w:tcPr>
          <w:p w14:paraId="26D9D29B">
            <w:pPr>
              <w:jc w:val="center"/>
              <w:rPr>
                <w:rFonts w:ascii="宋体" w:hAnsi="宋体"/>
                <w:b/>
                <w:bCs/>
                <w:color w:val="auto"/>
                <w:szCs w:val="21"/>
                <w:highlight w:val="none"/>
              </w:rPr>
            </w:pPr>
          </w:p>
        </w:tc>
        <w:tc>
          <w:tcPr>
            <w:tcW w:w="772" w:type="dxa"/>
            <w:vAlign w:val="center"/>
          </w:tcPr>
          <w:p w14:paraId="540D0A83">
            <w:pPr>
              <w:jc w:val="center"/>
              <w:rPr>
                <w:rFonts w:ascii="宋体" w:hAnsi="宋体"/>
                <w:b/>
                <w:bCs/>
                <w:color w:val="auto"/>
                <w:szCs w:val="21"/>
                <w:highlight w:val="none"/>
              </w:rPr>
            </w:pPr>
          </w:p>
        </w:tc>
        <w:tc>
          <w:tcPr>
            <w:tcW w:w="772" w:type="dxa"/>
            <w:vAlign w:val="center"/>
          </w:tcPr>
          <w:p w14:paraId="2F06531B">
            <w:pPr>
              <w:jc w:val="center"/>
              <w:rPr>
                <w:rFonts w:ascii="宋体" w:hAnsi="宋体"/>
                <w:b/>
                <w:bCs/>
                <w:color w:val="auto"/>
                <w:szCs w:val="21"/>
                <w:highlight w:val="none"/>
              </w:rPr>
            </w:pPr>
          </w:p>
        </w:tc>
        <w:tc>
          <w:tcPr>
            <w:tcW w:w="772" w:type="dxa"/>
            <w:vAlign w:val="center"/>
          </w:tcPr>
          <w:p w14:paraId="500C0D54">
            <w:pPr>
              <w:jc w:val="center"/>
              <w:rPr>
                <w:rFonts w:ascii="宋体" w:hAnsi="宋体"/>
                <w:b/>
                <w:bCs/>
                <w:color w:val="auto"/>
                <w:szCs w:val="21"/>
                <w:highlight w:val="none"/>
              </w:rPr>
            </w:pPr>
          </w:p>
        </w:tc>
        <w:tc>
          <w:tcPr>
            <w:tcW w:w="771" w:type="dxa"/>
            <w:vAlign w:val="center"/>
          </w:tcPr>
          <w:p w14:paraId="404B6678">
            <w:pPr>
              <w:jc w:val="center"/>
              <w:rPr>
                <w:rFonts w:ascii="宋体" w:hAnsi="宋体"/>
                <w:b/>
                <w:bCs/>
                <w:color w:val="auto"/>
                <w:szCs w:val="21"/>
                <w:highlight w:val="none"/>
              </w:rPr>
            </w:pPr>
          </w:p>
        </w:tc>
        <w:tc>
          <w:tcPr>
            <w:tcW w:w="772" w:type="dxa"/>
            <w:vAlign w:val="center"/>
          </w:tcPr>
          <w:p w14:paraId="3F803AE5">
            <w:pPr>
              <w:jc w:val="center"/>
              <w:rPr>
                <w:rFonts w:ascii="宋体" w:hAnsi="宋体"/>
                <w:b/>
                <w:bCs/>
                <w:color w:val="auto"/>
                <w:szCs w:val="21"/>
                <w:highlight w:val="none"/>
              </w:rPr>
            </w:pPr>
          </w:p>
        </w:tc>
        <w:tc>
          <w:tcPr>
            <w:tcW w:w="772" w:type="dxa"/>
            <w:vAlign w:val="center"/>
          </w:tcPr>
          <w:p w14:paraId="715D2243">
            <w:pPr>
              <w:jc w:val="center"/>
              <w:rPr>
                <w:rFonts w:ascii="宋体" w:hAnsi="宋体"/>
                <w:b/>
                <w:bCs/>
                <w:color w:val="auto"/>
                <w:szCs w:val="21"/>
                <w:highlight w:val="none"/>
              </w:rPr>
            </w:pPr>
          </w:p>
        </w:tc>
        <w:tc>
          <w:tcPr>
            <w:tcW w:w="772" w:type="dxa"/>
            <w:vAlign w:val="center"/>
          </w:tcPr>
          <w:p w14:paraId="770656B7">
            <w:pPr>
              <w:jc w:val="center"/>
              <w:rPr>
                <w:rFonts w:ascii="宋体" w:hAnsi="宋体"/>
                <w:b/>
                <w:bCs/>
                <w:color w:val="auto"/>
                <w:szCs w:val="21"/>
                <w:highlight w:val="none"/>
              </w:rPr>
            </w:pPr>
          </w:p>
        </w:tc>
        <w:tc>
          <w:tcPr>
            <w:tcW w:w="772" w:type="dxa"/>
            <w:vAlign w:val="center"/>
          </w:tcPr>
          <w:p w14:paraId="7CC3FF56">
            <w:pPr>
              <w:jc w:val="center"/>
              <w:rPr>
                <w:rFonts w:ascii="宋体" w:hAnsi="宋体"/>
                <w:b/>
                <w:bCs/>
                <w:color w:val="auto"/>
                <w:szCs w:val="21"/>
                <w:highlight w:val="none"/>
              </w:rPr>
            </w:pPr>
          </w:p>
        </w:tc>
      </w:tr>
      <w:tr w14:paraId="5018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CFBB855">
            <w:pPr>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14:paraId="273EE9B1">
            <w:pPr>
              <w:jc w:val="center"/>
              <w:rPr>
                <w:rFonts w:ascii="宋体" w:hAnsi="宋体"/>
                <w:color w:val="auto"/>
                <w:szCs w:val="21"/>
                <w:highlight w:val="none"/>
              </w:rPr>
            </w:pPr>
          </w:p>
        </w:tc>
        <w:tc>
          <w:tcPr>
            <w:tcW w:w="771" w:type="dxa"/>
            <w:vAlign w:val="center"/>
          </w:tcPr>
          <w:p w14:paraId="23096EFE">
            <w:pPr>
              <w:jc w:val="center"/>
              <w:rPr>
                <w:rFonts w:ascii="宋体" w:hAnsi="宋体"/>
                <w:color w:val="auto"/>
                <w:szCs w:val="21"/>
                <w:highlight w:val="none"/>
              </w:rPr>
            </w:pPr>
          </w:p>
        </w:tc>
        <w:tc>
          <w:tcPr>
            <w:tcW w:w="772" w:type="dxa"/>
            <w:vAlign w:val="center"/>
          </w:tcPr>
          <w:p w14:paraId="548790CB">
            <w:pPr>
              <w:jc w:val="center"/>
              <w:rPr>
                <w:rFonts w:ascii="宋体" w:hAnsi="宋体"/>
                <w:color w:val="auto"/>
                <w:szCs w:val="21"/>
                <w:highlight w:val="none"/>
              </w:rPr>
            </w:pPr>
          </w:p>
        </w:tc>
        <w:tc>
          <w:tcPr>
            <w:tcW w:w="772" w:type="dxa"/>
            <w:vAlign w:val="center"/>
          </w:tcPr>
          <w:p w14:paraId="382668EE">
            <w:pPr>
              <w:jc w:val="center"/>
              <w:rPr>
                <w:rFonts w:ascii="宋体" w:hAnsi="宋体"/>
                <w:color w:val="auto"/>
                <w:szCs w:val="21"/>
                <w:highlight w:val="none"/>
              </w:rPr>
            </w:pPr>
          </w:p>
        </w:tc>
        <w:tc>
          <w:tcPr>
            <w:tcW w:w="772" w:type="dxa"/>
            <w:vAlign w:val="center"/>
          </w:tcPr>
          <w:p w14:paraId="032929DE">
            <w:pPr>
              <w:jc w:val="center"/>
              <w:rPr>
                <w:rFonts w:ascii="宋体" w:hAnsi="宋体"/>
                <w:color w:val="auto"/>
                <w:szCs w:val="21"/>
                <w:highlight w:val="none"/>
              </w:rPr>
            </w:pPr>
          </w:p>
        </w:tc>
        <w:tc>
          <w:tcPr>
            <w:tcW w:w="771" w:type="dxa"/>
            <w:vAlign w:val="center"/>
          </w:tcPr>
          <w:p w14:paraId="5B5EA7AA">
            <w:pPr>
              <w:jc w:val="center"/>
              <w:rPr>
                <w:rFonts w:ascii="宋体" w:hAnsi="宋体"/>
                <w:color w:val="auto"/>
                <w:szCs w:val="21"/>
                <w:highlight w:val="none"/>
              </w:rPr>
            </w:pPr>
          </w:p>
        </w:tc>
        <w:tc>
          <w:tcPr>
            <w:tcW w:w="772" w:type="dxa"/>
            <w:vAlign w:val="center"/>
          </w:tcPr>
          <w:p w14:paraId="4FAF2D7B">
            <w:pPr>
              <w:jc w:val="center"/>
              <w:rPr>
                <w:rFonts w:ascii="宋体" w:hAnsi="宋体"/>
                <w:color w:val="auto"/>
                <w:szCs w:val="21"/>
                <w:highlight w:val="none"/>
              </w:rPr>
            </w:pPr>
          </w:p>
        </w:tc>
        <w:tc>
          <w:tcPr>
            <w:tcW w:w="772" w:type="dxa"/>
            <w:vAlign w:val="center"/>
          </w:tcPr>
          <w:p w14:paraId="5088BA1F">
            <w:pPr>
              <w:jc w:val="center"/>
              <w:rPr>
                <w:rFonts w:ascii="宋体" w:hAnsi="宋体"/>
                <w:color w:val="auto"/>
                <w:szCs w:val="21"/>
                <w:highlight w:val="none"/>
              </w:rPr>
            </w:pPr>
          </w:p>
        </w:tc>
        <w:tc>
          <w:tcPr>
            <w:tcW w:w="772" w:type="dxa"/>
          </w:tcPr>
          <w:p w14:paraId="79C96DF6">
            <w:pPr>
              <w:jc w:val="center"/>
              <w:rPr>
                <w:rFonts w:ascii="宋体" w:hAnsi="宋体"/>
                <w:color w:val="auto"/>
                <w:szCs w:val="21"/>
                <w:highlight w:val="none"/>
              </w:rPr>
            </w:pPr>
          </w:p>
        </w:tc>
        <w:tc>
          <w:tcPr>
            <w:tcW w:w="772" w:type="dxa"/>
            <w:vAlign w:val="center"/>
          </w:tcPr>
          <w:p w14:paraId="41241248">
            <w:pPr>
              <w:jc w:val="center"/>
              <w:rPr>
                <w:rFonts w:ascii="宋体" w:hAnsi="宋体"/>
                <w:color w:val="auto"/>
                <w:szCs w:val="21"/>
                <w:highlight w:val="none"/>
              </w:rPr>
            </w:pPr>
          </w:p>
        </w:tc>
      </w:tr>
      <w:tr w14:paraId="6F4F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2E964393">
            <w:pPr>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14:paraId="5DD09947">
            <w:pPr>
              <w:jc w:val="center"/>
              <w:rPr>
                <w:rFonts w:ascii="宋体" w:hAnsi="宋体"/>
                <w:color w:val="auto"/>
                <w:szCs w:val="21"/>
                <w:highlight w:val="none"/>
              </w:rPr>
            </w:pPr>
          </w:p>
        </w:tc>
        <w:tc>
          <w:tcPr>
            <w:tcW w:w="771" w:type="dxa"/>
            <w:vAlign w:val="center"/>
          </w:tcPr>
          <w:p w14:paraId="7EF94EB7">
            <w:pPr>
              <w:jc w:val="center"/>
              <w:rPr>
                <w:rFonts w:ascii="宋体" w:hAnsi="宋体"/>
                <w:color w:val="auto"/>
                <w:szCs w:val="21"/>
                <w:highlight w:val="none"/>
              </w:rPr>
            </w:pPr>
          </w:p>
        </w:tc>
        <w:tc>
          <w:tcPr>
            <w:tcW w:w="772" w:type="dxa"/>
            <w:vAlign w:val="center"/>
          </w:tcPr>
          <w:p w14:paraId="4FCF5804">
            <w:pPr>
              <w:jc w:val="center"/>
              <w:rPr>
                <w:rFonts w:ascii="宋体" w:hAnsi="宋体"/>
                <w:color w:val="auto"/>
                <w:szCs w:val="21"/>
                <w:highlight w:val="none"/>
              </w:rPr>
            </w:pPr>
          </w:p>
        </w:tc>
        <w:tc>
          <w:tcPr>
            <w:tcW w:w="772" w:type="dxa"/>
            <w:vAlign w:val="center"/>
          </w:tcPr>
          <w:p w14:paraId="4BA839D9">
            <w:pPr>
              <w:jc w:val="center"/>
              <w:rPr>
                <w:rFonts w:ascii="宋体" w:hAnsi="宋体"/>
                <w:color w:val="auto"/>
                <w:szCs w:val="21"/>
                <w:highlight w:val="none"/>
              </w:rPr>
            </w:pPr>
          </w:p>
        </w:tc>
        <w:tc>
          <w:tcPr>
            <w:tcW w:w="772" w:type="dxa"/>
            <w:vAlign w:val="center"/>
          </w:tcPr>
          <w:p w14:paraId="77865BCC">
            <w:pPr>
              <w:jc w:val="center"/>
              <w:rPr>
                <w:rFonts w:ascii="宋体" w:hAnsi="宋体"/>
                <w:color w:val="auto"/>
                <w:szCs w:val="21"/>
                <w:highlight w:val="none"/>
              </w:rPr>
            </w:pPr>
          </w:p>
        </w:tc>
        <w:tc>
          <w:tcPr>
            <w:tcW w:w="771" w:type="dxa"/>
            <w:vAlign w:val="center"/>
          </w:tcPr>
          <w:p w14:paraId="42AFAA69">
            <w:pPr>
              <w:jc w:val="center"/>
              <w:rPr>
                <w:rFonts w:ascii="宋体" w:hAnsi="宋体"/>
                <w:color w:val="auto"/>
                <w:szCs w:val="21"/>
                <w:highlight w:val="none"/>
              </w:rPr>
            </w:pPr>
          </w:p>
        </w:tc>
        <w:tc>
          <w:tcPr>
            <w:tcW w:w="772" w:type="dxa"/>
            <w:vAlign w:val="center"/>
          </w:tcPr>
          <w:p w14:paraId="4EBF60DC">
            <w:pPr>
              <w:jc w:val="center"/>
              <w:rPr>
                <w:rFonts w:ascii="宋体" w:hAnsi="宋体"/>
                <w:color w:val="auto"/>
                <w:szCs w:val="21"/>
                <w:highlight w:val="none"/>
              </w:rPr>
            </w:pPr>
          </w:p>
        </w:tc>
        <w:tc>
          <w:tcPr>
            <w:tcW w:w="772" w:type="dxa"/>
            <w:vAlign w:val="center"/>
          </w:tcPr>
          <w:p w14:paraId="78518E58">
            <w:pPr>
              <w:jc w:val="center"/>
              <w:rPr>
                <w:rFonts w:ascii="宋体" w:hAnsi="宋体"/>
                <w:color w:val="auto"/>
                <w:szCs w:val="21"/>
                <w:highlight w:val="none"/>
              </w:rPr>
            </w:pPr>
          </w:p>
        </w:tc>
        <w:tc>
          <w:tcPr>
            <w:tcW w:w="772" w:type="dxa"/>
          </w:tcPr>
          <w:p w14:paraId="1E1D5B28">
            <w:pPr>
              <w:jc w:val="center"/>
              <w:rPr>
                <w:rFonts w:ascii="宋体" w:hAnsi="宋体"/>
                <w:color w:val="auto"/>
                <w:szCs w:val="21"/>
                <w:highlight w:val="none"/>
              </w:rPr>
            </w:pPr>
          </w:p>
        </w:tc>
        <w:tc>
          <w:tcPr>
            <w:tcW w:w="772" w:type="dxa"/>
            <w:vAlign w:val="center"/>
          </w:tcPr>
          <w:p w14:paraId="35434025">
            <w:pPr>
              <w:jc w:val="center"/>
              <w:rPr>
                <w:rFonts w:ascii="宋体" w:hAnsi="宋体"/>
                <w:color w:val="auto"/>
                <w:szCs w:val="21"/>
                <w:highlight w:val="none"/>
              </w:rPr>
            </w:pPr>
          </w:p>
        </w:tc>
      </w:tr>
      <w:tr w14:paraId="0736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5C0046E">
            <w:pPr>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14:paraId="227BD1E1">
            <w:pPr>
              <w:jc w:val="center"/>
              <w:rPr>
                <w:rFonts w:ascii="宋体" w:hAnsi="宋体"/>
                <w:color w:val="auto"/>
                <w:szCs w:val="21"/>
                <w:highlight w:val="none"/>
              </w:rPr>
            </w:pPr>
          </w:p>
        </w:tc>
        <w:tc>
          <w:tcPr>
            <w:tcW w:w="771" w:type="dxa"/>
            <w:vAlign w:val="center"/>
          </w:tcPr>
          <w:p w14:paraId="66597316">
            <w:pPr>
              <w:jc w:val="center"/>
              <w:rPr>
                <w:rFonts w:ascii="宋体" w:hAnsi="宋体"/>
                <w:color w:val="auto"/>
                <w:szCs w:val="21"/>
                <w:highlight w:val="none"/>
              </w:rPr>
            </w:pPr>
          </w:p>
        </w:tc>
        <w:tc>
          <w:tcPr>
            <w:tcW w:w="772" w:type="dxa"/>
            <w:vAlign w:val="center"/>
          </w:tcPr>
          <w:p w14:paraId="2B3C9949">
            <w:pPr>
              <w:jc w:val="center"/>
              <w:rPr>
                <w:rFonts w:ascii="宋体" w:hAnsi="宋体"/>
                <w:color w:val="auto"/>
                <w:szCs w:val="21"/>
                <w:highlight w:val="none"/>
              </w:rPr>
            </w:pPr>
          </w:p>
        </w:tc>
        <w:tc>
          <w:tcPr>
            <w:tcW w:w="772" w:type="dxa"/>
            <w:vAlign w:val="center"/>
          </w:tcPr>
          <w:p w14:paraId="33C6EB57">
            <w:pPr>
              <w:jc w:val="center"/>
              <w:rPr>
                <w:rFonts w:ascii="宋体" w:hAnsi="宋体"/>
                <w:color w:val="auto"/>
                <w:szCs w:val="21"/>
                <w:highlight w:val="none"/>
              </w:rPr>
            </w:pPr>
          </w:p>
        </w:tc>
        <w:tc>
          <w:tcPr>
            <w:tcW w:w="772" w:type="dxa"/>
            <w:vAlign w:val="center"/>
          </w:tcPr>
          <w:p w14:paraId="1941FD91">
            <w:pPr>
              <w:jc w:val="center"/>
              <w:rPr>
                <w:rFonts w:ascii="宋体" w:hAnsi="宋体"/>
                <w:color w:val="auto"/>
                <w:szCs w:val="21"/>
                <w:highlight w:val="none"/>
              </w:rPr>
            </w:pPr>
          </w:p>
        </w:tc>
        <w:tc>
          <w:tcPr>
            <w:tcW w:w="771" w:type="dxa"/>
            <w:vAlign w:val="center"/>
          </w:tcPr>
          <w:p w14:paraId="4BE9C2F3">
            <w:pPr>
              <w:jc w:val="center"/>
              <w:rPr>
                <w:rFonts w:ascii="宋体" w:hAnsi="宋体"/>
                <w:color w:val="auto"/>
                <w:szCs w:val="21"/>
                <w:highlight w:val="none"/>
              </w:rPr>
            </w:pPr>
          </w:p>
        </w:tc>
        <w:tc>
          <w:tcPr>
            <w:tcW w:w="772" w:type="dxa"/>
            <w:vAlign w:val="center"/>
          </w:tcPr>
          <w:p w14:paraId="19977AC9">
            <w:pPr>
              <w:jc w:val="center"/>
              <w:rPr>
                <w:rFonts w:ascii="宋体" w:hAnsi="宋体"/>
                <w:color w:val="auto"/>
                <w:szCs w:val="21"/>
                <w:highlight w:val="none"/>
              </w:rPr>
            </w:pPr>
          </w:p>
        </w:tc>
        <w:tc>
          <w:tcPr>
            <w:tcW w:w="772" w:type="dxa"/>
            <w:vAlign w:val="center"/>
          </w:tcPr>
          <w:p w14:paraId="382103CE">
            <w:pPr>
              <w:jc w:val="center"/>
              <w:rPr>
                <w:rFonts w:ascii="宋体" w:hAnsi="宋体"/>
                <w:color w:val="auto"/>
                <w:szCs w:val="21"/>
                <w:highlight w:val="none"/>
              </w:rPr>
            </w:pPr>
          </w:p>
        </w:tc>
        <w:tc>
          <w:tcPr>
            <w:tcW w:w="772" w:type="dxa"/>
          </w:tcPr>
          <w:p w14:paraId="3AA331C1">
            <w:pPr>
              <w:jc w:val="center"/>
              <w:rPr>
                <w:rFonts w:ascii="宋体" w:hAnsi="宋体"/>
                <w:color w:val="auto"/>
                <w:szCs w:val="21"/>
                <w:highlight w:val="none"/>
              </w:rPr>
            </w:pPr>
          </w:p>
        </w:tc>
        <w:tc>
          <w:tcPr>
            <w:tcW w:w="772" w:type="dxa"/>
            <w:vAlign w:val="center"/>
          </w:tcPr>
          <w:p w14:paraId="614F6E5A">
            <w:pPr>
              <w:jc w:val="center"/>
              <w:rPr>
                <w:rFonts w:ascii="宋体" w:hAnsi="宋体"/>
                <w:color w:val="auto"/>
                <w:szCs w:val="21"/>
                <w:highlight w:val="none"/>
              </w:rPr>
            </w:pPr>
          </w:p>
        </w:tc>
      </w:tr>
      <w:tr w14:paraId="4B91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26EDCF31">
            <w:pPr>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14:paraId="3FB394D0">
            <w:pPr>
              <w:jc w:val="center"/>
              <w:rPr>
                <w:rFonts w:ascii="宋体" w:hAnsi="宋体"/>
                <w:color w:val="auto"/>
                <w:szCs w:val="21"/>
                <w:highlight w:val="none"/>
              </w:rPr>
            </w:pPr>
          </w:p>
        </w:tc>
        <w:tc>
          <w:tcPr>
            <w:tcW w:w="771" w:type="dxa"/>
            <w:vAlign w:val="center"/>
          </w:tcPr>
          <w:p w14:paraId="029F4EC7">
            <w:pPr>
              <w:jc w:val="center"/>
              <w:rPr>
                <w:rFonts w:ascii="宋体" w:hAnsi="宋体"/>
                <w:color w:val="auto"/>
                <w:szCs w:val="21"/>
                <w:highlight w:val="none"/>
              </w:rPr>
            </w:pPr>
          </w:p>
        </w:tc>
        <w:tc>
          <w:tcPr>
            <w:tcW w:w="772" w:type="dxa"/>
            <w:vAlign w:val="center"/>
          </w:tcPr>
          <w:p w14:paraId="57F97048">
            <w:pPr>
              <w:jc w:val="center"/>
              <w:rPr>
                <w:rFonts w:ascii="宋体" w:hAnsi="宋体"/>
                <w:color w:val="auto"/>
                <w:szCs w:val="21"/>
                <w:highlight w:val="none"/>
              </w:rPr>
            </w:pPr>
          </w:p>
        </w:tc>
        <w:tc>
          <w:tcPr>
            <w:tcW w:w="772" w:type="dxa"/>
            <w:vAlign w:val="center"/>
          </w:tcPr>
          <w:p w14:paraId="79D6B80F">
            <w:pPr>
              <w:jc w:val="center"/>
              <w:rPr>
                <w:rFonts w:ascii="宋体" w:hAnsi="宋体"/>
                <w:color w:val="auto"/>
                <w:szCs w:val="21"/>
                <w:highlight w:val="none"/>
              </w:rPr>
            </w:pPr>
          </w:p>
        </w:tc>
        <w:tc>
          <w:tcPr>
            <w:tcW w:w="772" w:type="dxa"/>
            <w:vAlign w:val="center"/>
          </w:tcPr>
          <w:p w14:paraId="0BF314AF">
            <w:pPr>
              <w:jc w:val="center"/>
              <w:rPr>
                <w:rFonts w:ascii="宋体" w:hAnsi="宋体"/>
                <w:color w:val="auto"/>
                <w:szCs w:val="21"/>
                <w:highlight w:val="none"/>
              </w:rPr>
            </w:pPr>
          </w:p>
        </w:tc>
        <w:tc>
          <w:tcPr>
            <w:tcW w:w="771" w:type="dxa"/>
            <w:vAlign w:val="center"/>
          </w:tcPr>
          <w:p w14:paraId="00235155">
            <w:pPr>
              <w:jc w:val="center"/>
              <w:rPr>
                <w:rFonts w:ascii="宋体" w:hAnsi="宋体"/>
                <w:color w:val="auto"/>
                <w:szCs w:val="21"/>
                <w:highlight w:val="none"/>
              </w:rPr>
            </w:pPr>
          </w:p>
        </w:tc>
        <w:tc>
          <w:tcPr>
            <w:tcW w:w="772" w:type="dxa"/>
            <w:vAlign w:val="center"/>
          </w:tcPr>
          <w:p w14:paraId="2BBEE6AB">
            <w:pPr>
              <w:jc w:val="center"/>
              <w:rPr>
                <w:rFonts w:ascii="宋体" w:hAnsi="宋体"/>
                <w:color w:val="auto"/>
                <w:szCs w:val="21"/>
                <w:highlight w:val="none"/>
              </w:rPr>
            </w:pPr>
          </w:p>
        </w:tc>
        <w:tc>
          <w:tcPr>
            <w:tcW w:w="772" w:type="dxa"/>
            <w:vAlign w:val="center"/>
          </w:tcPr>
          <w:p w14:paraId="25C6EE2F">
            <w:pPr>
              <w:jc w:val="center"/>
              <w:rPr>
                <w:rFonts w:ascii="宋体" w:hAnsi="宋体"/>
                <w:color w:val="auto"/>
                <w:szCs w:val="21"/>
                <w:highlight w:val="none"/>
              </w:rPr>
            </w:pPr>
          </w:p>
        </w:tc>
        <w:tc>
          <w:tcPr>
            <w:tcW w:w="772" w:type="dxa"/>
          </w:tcPr>
          <w:p w14:paraId="790DE1DE">
            <w:pPr>
              <w:jc w:val="center"/>
              <w:rPr>
                <w:rFonts w:ascii="宋体" w:hAnsi="宋体"/>
                <w:color w:val="auto"/>
                <w:szCs w:val="21"/>
                <w:highlight w:val="none"/>
              </w:rPr>
            </w:pPr>
          </w:p>
        </w:tc>
        <w:tc>
          <w:tcPr>
            <w:tcW w:w="772" w:type="dxa"/>
            <w:vAlign w:val="center"/>
          </w:tcPr>
          <w:p w14:paraId="18BCFADE">
            <w:pPr>
              <w:jc w:val="center"/>
              <w:rPr>
                <w:rFonts w:ascii="宋体" w:hAnsi="宋体"/>
                <w:color w:val="auto"/>
                <w:szCs w:val="21"/>
                <w:highlight w:val="none"/>
              </w:rPr>
            </w:pPr>
          </w:p>
        </w:tc>
      </w:tr>
      <w:tr w14:paraId="6016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E239BE5">
            <w:pPr>
              <w:jc w:val="center"/>
              <w:rPr>
                <w:rFonts w:ascii="宋体" w:hAnsi="宋体"/>
                <w:color w:val="auto"/>
                <w:szCs w:val="21"/>
                <w:highlight w:val="none"/>
              </w:rPr>
            </w:pPr>
            <w:r>
              <w:rPr>
                <w:rFonts w:hint="eastAsia" w:ascii="宋体" w:hAnsi="宋体"/>
                <w:color w:val="auto"/>
                <w:szCs w:val="21"/>
                <w:highlight w:val="none"/>
              </w:rPr>
              <w:t>5</w:t>
            </w:r>
          </w:p>
        </w:tc>
        <w:tc>
          <w:tcPr>
            <w:tcW w:w="1993" w:type="dxa"/>
            <w:vAlign w:val="center"/>
          </w:tcPr>
          <w:p w14:paraId="6494940A">
            <w:pPr>
              <w:jc w:val="center"/>
              <w:rPr>
                <w:rFonts w:ascii="宋体" w:hAnsi="宋体"/>
                <w:color w:val="auto"/>
                <w:szCs w:val="21"/>
                <w:highlight w:val="none"/>
              </w:rPr>
            </w:pPr>
          </w:p>
        </w:tc>
        <w:tc>
          <w:tcPr>
            <w:tcW w:w="771" w:type="dxa"/>
            <w:vAlign w:val="center"/>
          </w:tcPr>
          <w:p w14:paraId="09A224BC">
            <w:pPr>
              <w:jc w:val="center"/>
              <w:rPr>
                <w:rFonts w:ascii="宋体" w:hAnsi="宋体"/>
                <w:color w:val="auto"/>
                <w:szCs w:val="21"/>
                <w:highlight w:val="none"/>
              </w:rPr>
            </w:pPr>
          </w:p>
        </w:tc>
        <w:tc>
          <w:tcPr>
            <w:tcW w:w="772" w:type="dxa"/>
            <w:vAlign w:val="center"/>
          </w:tcPr>
          <w:p w14:paraId="7CB8C206">
            <w:pPr>
              <w:jc w:val="center"/>
              <w:rPr>
                <w:rFonts w:ascii="宋体" w:hAnsi="宋体"/>
                <w:color w:val="auto"/>
                <w:szCs w:val="21"/>
                <w:highlight w:val="none"/>
              </w:rPr>
            </w:pPr>
          </w:p>
        </w:tc>
        <w:tc>
          <w:tcPr>
            <w:tcW w:w="772" w:type="dxa"/>
            <w:vAlign w:val="center"/>
          </w:tcPr>
          <w:p w14:paraId="34C521DB">
            <w:pPr>
              <w:jc w:val="center"/>
              <w:rPr>
                <w:rFonts w:ascii="宋体" w:hAnsi="宋体"/>
                <w:color w:val="auto"/>
                <w:szCs w:val="21"/>
                <w:highlight w:val="none"/>
              </w:rPr>
            </w:pPr>
          </w:p>
        </w:tc>
        <w:tc>
          <w:tcPr>
            <w:tcW w:w="772" w:type="dxa"/>
            <w:vAlign w:val="center"/>
          </w:tcPr>
          <w:p w14:paraId="1553B4AF">
            <w:pPr>
              <w:jc w:val="center"/>
              <w:rPr>
                <w:rFonts w:ascii="宋体" w:hAnsi="宋体"/>
                <w:color w:val="auto"/>
                <w:szCs w:val="21"/>
                <w:highlight w:val="none"/>
              </w:rPr>
            </w:pPr>
          </w:p>
        </w:tc>
        <w:tc>
          <w:tcPr>
            <w:tcW w:w="771" w:type="dxa"/>
            <w:vAlign w:val="center"/>
          </w:tcPr>
          <w:p w14:paraId="386C0A48">
            <w:pPr>
              <w:jc w:val="center"/>
              <w:rPr>
                <w:rFonts w:ascii="宋体" w:hAnsi="宋体"/>
                <w:color w:val="auto"/>
                <w:szCs w:val="21"/>
                <w:highlight w:val="none"/>
              </w:rPr>
            </w:pPr>
          </w:p>
        </w:tc>
        <w:tc>
          <w:tcPr>
            <w:tcW w:w="772" w:type="dxa"/>
            <w:vAlign w:val="center"/>
          </w:tcPr>
          <w:p w14:paraId="101A7E54">
            <w:pPr>
              <w:jc w:val="center"/>
              <w:rPr>
                <w:rFonts w:ascii="宋体" w:hAnsi="宋体"/>
                <w:color w:val="auto"/>
                <w:szCs w:val="21"/>
                <w:highlight w:val="none"/>
              </w:rPr>
            </w:pPr>
          </w:p>
        </w:tc>
        <w:tc>
          <w:tcPr>
            <w:tcW w:w="772" w:type="dxa"/>
            <w:vAlign w:val="center"/>
          </w:tcPr>
          <w:p w14:paraId="495E2E32">
            <w:pPr>
              <w:jc w:val="center"/>
              <w:rPr>
                <w:rFonts w:ascii="宋体" w:hAnsi="宋体"/>
                <w:color w:val="auto"/>
                <w:szCs w:val="21"/>
                <w:highlight w:val="none"/>
              </w:rPr>
            </w:pPr>
          </w:p>
        </w:tc>
        <w:tc>
          <w:tcPr>
            <w:tcW w:w="772" w:type="dxa"/>
          </w:tcPr>
          <w:p w14:paraId="40A2261F">
            <w:pPr>
              <w:jc w:val="center"/>
              <w:rPr>
                <w:rFonts w:ascii="宋体" w:hAnsi="宋体"/>
                <w:color w:val="auto"/>
                <w:szCs w:val="21"/>
                <w:highlight w:val="none"/>
              </w:rPr>
            </w:pPr>
          </w:p>
        </w:tc>
        <w:tc>
          <w:tcPr>
            <w:tcW w:w="772" w:type="dxa"/>
            <w:vAlign w:val="center"/>
          </w:tcPr>
          <w:p w14:paraId="03ACDA1E">
            <w:pPr>
              <w:jc w:val="center"/>
              <w:rPr>
                <w:rFonts w:ascii="宋体" w:hAnsi="宋体"/>
                <w:color w:val="auto"/>
                <w:szCs w:val="21"/>
                <w:highlight w:val="none"/>
              </w:rPr>
            </w:pPr>
          </w:p>
        </w:tc>
      </w:tr>
      <w:tr w14:paraId="26D9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7B5C7CCA">
            <w:pPr>
              <w:jc w:val="center"/>
              <w:rPr>
                <w:rFonts w:ascii="宋体" w:hAnsi="宋体"/>
                <w:color w:val="auto"/>
                <w:szCs w:val="21"/>
                <w:highlight w:val="none"/>
              </w:rPr>
            </w:pPr>
            <w:r>
              <w:rPr>
                <w:rFonts w:hint="eastAsia" w:ascii="黑体" w:hAnsi="黑体" w:eastAsia="黑体"/>
                <w:color w:val="auto"/>
                <w:szCs w:val="44"/>
                <w:highlight w:val="none"/>
              </w:rPr>
              <w:t>…</w:t>
            </w:r>
          </w:p>
        </w:tc>
        <w:tc>
          <w:tcPr>
            <w:tcW w:w="1993" w:type="dxa"/>
            <w:vAlign w:val="center"/>
          </w:tcPr>
          <w:p w14:paraId="72395873">
            <w:pPr>
              <w:jc w:val="center"/>
              <w:rPr>
                <w:rFonts w:ascii="宋体" w:hAnsi="宋体"/>
                <w:color w:val="auto"/>
                <w:szCs w:val="21"/>
                <w:highlight w:val="none"/>
              </w:rPr>
            </w:pPr>
          </w:p>
        </w:tc>
        <w:tc>
          <w:tcPr>
            <w:tcW w:w="771" w:type="dxa"/>
            <w:vAlign w:val="center"/>
          </w:tcPr>
          <w:p w14:paraId="471BE4CF">
            <w:pPr>
              <w:jc w:val="center"/>
              <w:rPr>
                <w:rFonts w:ascii="宋体" w:hAnsi="宋体"/>
                <w:color w:val="auto"/>
                <w:szCs w:val="21"/>
                <w:highlight w:val="none"/>
              </w:rPr>
            </w:pPr>
          </w:p>
        </w:tc>
        <w:tc>
          <w:tcPr>
            <w:tcW w:w="772" w:type="dxa"/>
            <w:vAlign w:val="center"/>
          </w:tcPr>
          <w:p w14:paraId="5D372464">
            <w:pPr>
              <w:jc w:val="center"/>
              <w:rPr>
                <w:rFonts w:ascii="宋体" w:hAnsi="宋体"/>
                <w:color w:val="auto"/>
                <w:szCs w:val="21"/>
                <w:highlight w:val="none"/>
              </w:rPr>
            </w:pPr>
          </w:p>
        </w:tc>
        <w:tc>
          <w:tcPr>
            <w:tcW w:w="772" w:type="dxa"/>
            <w:vAlign w:val="center"/>
          </w:tcPr>
          <w:p w14:paraId="4556BF74">
            <w:pPr>
              <w:jc w:val="center"/>
              <w:rPr>
                <w:rFonts w:ascii="宋体" w:hAnsi="宋体"/>
                <w:color w:val="auto"/>
                <w:szCs w:val="21"/>
                <w:highlight w:val="none"/>
              </w:rPr>
            </w:pPr>
          </w:p>
        </w:tc>
        <w:tc>
          <w:tcPr>
            <w:tcW w:w="772" w:type="dxa"/>
            <w:vAlign w:val="center"/>
          </w:tcPr>
          <w:p w14:paraId="2931CB3E">
            <w:pPr>
              <w:jc w:val="center"/>
              <w:rPr>
                <w:rFonts w:ascii="宋体" w:hAnsi="宋体"/>
                <w:color w:val="auto"/>
                <w:szCs w:val="21"/>
                <w:highlight w:val="none"/>
              </w:rPr>
            </w:pPr>
          </w:p>
        </w:tc>
        <w:tc>
          <w:tcPr>
            <w:tcW w:w="771" w:type="dxa"/>
            <w:vAlign w:val="center"/>
          </w:tcPr>
          <w:p w14:paraId="54F94979">
            <w:pPr>
              <w:jc w:val="center"/>
              <w:rPr>
                <w:rFonts w:ascii="宋体" w:hAnsi="宋体"/>
                <w:color w:val="auto"/>
                <w:szCs w:val="21"/>
                <w:highlight w:val="none"/>
              </w:rPr>
            </w:pPr>
          </w:p>
        </w:tc>
        <w:tc>
          <w:tcPr>
            <w:tcW w:w="772" w:type="dxa"/>
            <w:vAlign w:val="center"/>
          </w:tcPr>
          <w:p w14:paraId="05CB54C8">
            <w:pPr>
              <w:jc w:val="center"/>
              <w:rPr>
                <w:rFonts w:ascii="宋体" w:hAnsi="宋体"/>
                <w:color w:val="auto"/>
                <w:szCs w:val="21"/>
                <w:highlight w:val="none"/>
              </w:rPr>
            </w:pPr>
          </w:p>
        </w:tc>
        <w:tc>
          <w:tcPr>
            <w:tcW w:w="772" w:type="dxa"/>
            <w:vAlign w:val="center"/>
          </w:tcPr>
          <w:p w14:paraId="0AE0BF45">
            <w:pPr>
              <w:jc w:val="center"/>
              <w:rPr>
                <w:rFonts w:ascii="宋体" w:hAnsi="宋体"/>
                <w:color w:val="auto"/>
                <w:szCs w:val="21"/>
                <w:highlight w:val="none"/>
              </w:rPr>
            </w:pPr>
          </w:p>
        </w:tc>
        <w:tc>
          <w:tcPr>
            <w:tcW w:w="772" w:type="dxa"/>
          </w:tcPr>
          <w:p w14:paraId="18952328">
            <w:pPr>
              <w:jc w:val="center"/>
              <w:rPr>
                <w:rFonts w:ascii="宋体" w:hAnsi="宋体"/>
                <w:color w:val="auto"/>
                <w:szCs w:val="21"/>
                <w:highlight w:val="none"/>
              </w:rPr>
            </w:pPr>
          </w:p>
        </w:tc>
        <w:tc>
          <w:tcPr>
            <w:tcW w:w="772" w:type="dxa"/>
            <w:vAlign w:val="center"/>
          </w:tcPr>
          <w:p w14:paraId="3809459D">
            <w:pPr>
              <w:jc w:val="center"/>
              <w:rPr>
                <w:rFonts w:ascii="宋体" w:hAnsi="宋体"/>
                <w:color w:val="auto"/>
                <w:szCs w:val="21"/>
                <w:highlight w:val="none"/>
              </w:rPr>
            </w:pPr>
          </w:p>
        </w:tc>
      </w:tr>
    </w:tbl>
    <w:p w14:paraId="43CE3E27">
      <w:pPr>
        <w:rPr>
          <w:color w:val="auto"/>
          <w:highlight w:val="none"/>
        </w:rPr>
      </w:pPr>
    </w:p>
    <w:p w14:paraId="63B6D21F">
      <w:pPr>
        <w:jc w:val="right"/>
        <w:rPr>
          <w:color w:val="auto"/>
          <w:highlight w:val="none"/>
        </w:rPr>
      </w:pPr>
      <w:r>
        <w:rPr>
          <w:rFonts w:hint="eastAsia"/>
          <w:color w:val="auto"/>
          <w:highlight w:val="none"/>
        </w:rPr>
        <w:t>日期：   　　 年    月　  日</w:t>
      </w:r>
    </w:p>
    <w:p w14:paraId="633D56B7">
      <w:pPr>
        <w:widowControl/>
        <w:jc w:val="left"/>
        <w:rPr>
          <w:color w:val="auto"/>
          <w:highlight w:val="none"/>
        </w:rPr>
      </w:pPr>
      <w:r>
        <w:rPr>
          <w:color w:val="auto"/>
          <w:highlight w:val="none"/>
        </w:rPr>
        <w:br w:type="page"/>
      </w:r>
    </w:p>
    <w:p w14:paraId="398F2BE2">
      <w:pPr>
        <w:jc w:val="right"/>
        <w:rPr>
          <w:color w:val="auto"/>
          <w:highlight w:val="none"/>
        </w:rPr>
      </w:pPr>
    </w:p>
    <w:p w14:paraId="167C9DFE">
      <w:pPr>
        <w:pStyle w:val="32"/>
        <w:ind w:firstLine="118"/>
        <w:rPr>
          <w:color w:val="auto"/>
          <w:highlight w:val="none"/>
        </w:rPr>
      </w:pPr>
      <w:bookmarkStart w:id="876" w:name="_Toc164716306"/>
      <w:bookmarkStart w:id="877" w:name="_Toc8699"/>
      <w:bookmarkStart w:id="878" w:name="_Toc148860661"/>
      <w:bookmarkStart w:id="879" w:name="_Toc256000136"/>
      <w:r>
        <w:rPr>
          <w:rFonts w:hint="eastAsia"/>
          <w:color w:val="auto"/>
          <w:highlight w:val="none"/>
        </w:rPr>
        <w:t>附表A-4：形式评审记录表</w:t>
      </w:r>
      <w:bookmarkEnd w:id="876"/>
      <w:bookmarkEnd w:id="877"/>
      <w:bookmarkEnd w:id="878"/>
      <w:bookmarkEnd w:id="879"/>
    </w:p>
    <w:p w14:paraId="1BF90E26">
      <w:pPr>
        <w:rPr>
          <w:color w:val="auto"/>
          <w:highlight w:val="none"/>
        </w:rPr>
      </w:pPr>
      <w:bookmarkStart w:id="880" w:name="_Hlk145501909"/>
      <w:bookmarkStart w:id="881" w:name="_Toc145516055"/>
    </w:p>
    <w:p w14:paraId="00483512">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882" w:name="_Toc148860662"/>
      <w:bookmarkStart w:id="883" w:name="_Toc149060935"/>
      <w:bookmarkStart w:id="884" w:name="_Toc149054702"/>
      <w:bookmarkStart w:id="885" w:name="_Toc6942"/>
      <w:r>
        <w:rPr>
          <w:rFonts w:hint="eastAsia" w:ascii="黑体" w:hAnsi="黑体" w:eastAsia="黑体"/>
          <w:bCs/>
          <w:color w:val="auto"/>
          <w:sz w:val="36"/>
          <w:szCs w:val="36"/>
          <w:highlight w:val="none"/>
        </w:rPr>
        <w:t>形式评审</w:t>
      </w:r>
      <w:bookmarkEnd w:id="880"/>
      <w:r>
        <w:rPr>
          <w:rFonts w:hint="eastAsia" w:ascii="黑体" w:hAnsi="黑体" w:eastAsia="黑体"/>
          <w:bCs/>
          <w:color w:val="auto"/>
          <w:sz w:val="36"/>
          <w:szCs w:val="36"/>
          <w:highlight w:val="none"/>
        </w:rPr>
        <w:t>记录表</w:t>
      </w:r>
      <w:bookmarkEnd w:id="881"/>
      <w:bookmarkEnd w:id="882"/>
      <w:bookmarkEnd w:id="883"/>
      <w:bookmarkEnd w:id="884"/>
      <w:bookmarkEnd w:id="885"/>
    </w:p>
    <w:p w14:paraId="2A370438">
      <w:pPr>
        <w:rPr>
          <w:rFonts w:ascii="宋体" w:hAnsi="宋体"/>
          <w:color w:val="auto"/>
          <w:szCs w:val="44"/>
          <w:highlight w:val="none"/>
        </w:rPr>
      </w:pPr>
      <w:r>
        <w:rPr>
          <w:rFonts w:hint="eastAsia" w:ascii="宋体" w:hAnsi="宋体"/>
          <w:color w:val="auto"/>
          <w:szCs w:val="44"/>
          <w:highlight w:val="none"/>
        </w:rPr>
        <w:t>标段名称：</w:t>
      </w:r>
    </w:p>
    <w:p w14:paraId="7B7BA591">
      <w:pPr>
        <w:rPr>
          <w:rFonts w:ascii="宋体" w:hAnsi="宋体"/>
          <w:color w:val="auto"/>
          <w:szCs w:val="44"/>
          <w:highlight w:val="none"/>
        </w:rPr>
      </w:pPr>
      <w:r>
        <w:rPr>
          <w:rFonts w:hint="eastAsia"/>
          <w:color w:val="auto"/>
          <w:szCs w:val="44"/>
          <w:highlight w:val="none"/>
        </w:rPr>
        <w:t>标段唯一标识码：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65"/>
        <w:gridCol w:w="596"/>
        <w:gridCol w:w="595"/>
        <w:gridCol w:w="595"/>
        <w:gridCol w:w="595"/>
        <w:gridCol w:w="595"/>
        <w:gridCol w:w="595"/>
        <w:gridCol w:w="595"/>
        <w:gridCol w:w="595"/>
        <w:gridCol w:w="596"/>
        <w:gridCol w:w="734"/>
      </w:tblGrid>
      <w:tr w14:paraId="691D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restart"/>
            <w:vAlign w:val="center"/>
          </w:tcPr>
          <w:p w14:paraId="2E8EB273">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65" w:type="dxa"/>
            <w:vMerge w:val="restart"/>
            <w:vAlign w:val="center"/>
          </w:tcPr>
          <w:p w14:paraId="643F32A4">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57" w:type="dxa"/>
            <w:gridSpan w:val="9"/>
            <w:vAlign w:val="center"/>
          </w:tcPr>
          <w:p w14:paraId="58716DAC">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34" w:type="dxa"/>
            <w:vMerge w:val="restart"/>
            <w:vAlign w:val="center"/>
          </w:tcPr>
          <w:p w14:paraId="58189F15">
            <w:pPr>
              <w:jc w:val="center"/>
              <w:rPr>
                <w:rFonts w:ascii="宋体" w:hAnsi="宋体"/>
                <w:b/>
                <w:bCs/>
                <w:color w:val="auto"/>
                <w:szCs w:val="44"/>
                <w:highlight w:val="none"/>
              </w:rPr>
            </w:pPr>
            <w:r>
              <w:rPr>
                <w:rFonts w:ascii="宋体" w:hAnsi="宋体"/>
                <w:b/>
                <w:bCs/>
                <w:color w:val="auto"/>
                <w:szCs w:val="21"/>
                <w:highlight w:val="none"/>
              </w:rPr>
              <w:t>评审结论</w:t>
            </w:r>
          </w:p>
        </w:tc>
      </w:tr>
      <w:tr w14:paraId="08DA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continue"/>
            <w:vAlign w:val="center"/>
          </w:tcPr>
          <w:p w14:paraId="7E79A9D5">
            <w:pPr>
              <w:jc w:val="center"/>
              <w:rPr>
                <w:rFonts w:ascii="宋体" w:hAnsi="宋体"/>
                <w:color w:val="auto"/>
                <w:szCs w:val="44"/>
                <w:highlight w:val="none"/>
              </w:rPr>
            </w:pPr>
          </w:p>
        </w:tc>
        <w:tc>
          <w:tcPr>
            <w:tcW w:w="1365" w:type="dxa"/>
            <w:vMerge w:val="continue"/>
          </w:tcPr>
          <w:p w14:paraId="5EE7EF91">
            <w:pPr>
              <w:jc w:val="center"/>
              <w:rPr>
                <w:rFonts w:ascii="宋体" w:hAnsi="宋体"/>
                <w:color w:val="auto"/>
                <w:szCs w:val="44"/>
                <w:highlight w:val="none"/>
              </w:rPr>
            </w:pPr>
          </w:p>
        </w:tc>
        <w:tc>
          <w:tcPr>
            <w:tcW w:w="596" w:type="dxa"/>
            <w:vAlign w:val="center"/>
          </w:tcPr>
          <w:p w14:paraId="2465E208">
            <w:pPr>
              <w:jc w:val="center"/>
              <w:rPr>
                <w:rFonts w:ascii="宋体" w:hAnsi="宋体"/>
                <w:color w:val="auto"/>
                <w:szCs w:val="44"/>
                <w:highlight w:val="none"/>
              </w:rPr>
            </w:pPr>
          </w:p>
        </w:tc>
        <w:tc>
          <w:tcPr>
            <w:tcW w:w="595" w:type="dxa"/>
            <w:vAlign w:val="center"/>
          </w:tcPr>
          <w:p w14:paraId="675EDCDA">
            <w:pPr>
              <w:jc w:val="center"/>
              <w:rPr>
                <w:rFonts w:ascii="宋体" w:hAnsi="宋体"/>
                <w:color w:val="auto"/>
                <w:szCs w:val="44"/>
                <w:highlight w:val="none"/>
              </w:rPr>
            </w:pPr>
          </w:p>
        </w:tc>
        <w:tc>
          <w:tcPr>
            <w:tcW w:w="595" w:type="dxa"/>
            <w:vAlign w:val="center"/>
          </w:tcPr>
          <w:p w14:paraId="2F04A3DB">
            <w:pPr>
              <w:jc w:val="center"/>
              <w:rPr>
                <w:rFonts w:ascii="宋体" w:hAnsi="宋体"/>
                <w:color w:val="auto"/>
                <w:szCs w:val="44"/>
                <w:highlight w:val="none"/>
              </w:rPr>
            </w:pPr>
          </w:p>
        </w:tc>
        <w:tc>
          <w:tcPr>
            <w:tcW w:w="595" w:type="dxa"/>
            <w:vAlign w:val="center"/>
          </w:tcPr>
          <w:p w14:paraId="78E98A6C">
            <w:pPr>
              <w:jc w:val="center"/>
              <w:rPr>
                <w:rFonts w:ascii="宋体" w:hAnsi="宋体"/>
                <w:color w:val="auto"/>
                <w:szCs w:val="44"/>
                <w:highlight w:val="none"/>
              </w:rPr>
            </w:pPr>
          </w:p>
        </w:tc>
        <w:tc>
          <w:tcPr>
            <w:tcW w:w="595" w:type="dxa"/>
            <w:vAlign w:val="center"/>
          </w:tcPr>
          <w:p w14:paraId="39492C32">
            <w:pPr>
              <w:jc w:val="center"/>
              <w:rPr>
                <w:rFonts w:ascii="宋体" w:hAnsi="宋体"/>
                <w:color w:val="auto"/>
                <w:szCs w:val="44"/>
                <w:highlight w:val="none"/>
              </w:rPr>
            </w:pPr>
          </w:p>
        </w:tc>
        <w:tc>
          <w:tcPr>
            <w:tcW w:w="595" w:type="dxa"/>
            <w:vAlign w:val="center"/>
          </w:tcPr>
          <w:p w14:paraId="1C458A8C">
            <w:pPr>
              <w:jc w:val="center"/>
              <w:rPr>
                <w:rFonts w:ascii="宋体" w:hAnsi="宋体"/>
                <w:color w:val="auto"/>
                <w:szCs w:val="44"/>
                <w:highlight w:val="none"/>
              </w:rPr>
            </w:pPr>
          </w:p>
        </w:tc>
        <w:tc>
          <w:tcPr>
            <w:tcW w:w="595" w:type="dxa"/>
            <w:vAlign w:val="center"/>
          </w:tcPr>
          <w:p w14:paraId="2066E72B">
            <w:pPr>
              <w:jc w:val="center"/>
              <w:rPr>
                <w:rFonts w:ascii="宋体" w:hAnsi="宋体"/>
                <w:color w:val="auto"/>
                <w:szCs w:val="44"/>
                <w:highlight w:val="none"/>
              </w:rPr>
            </w:pPr>
          </w:p>
        </w:tc>
        <w:tc>
          <w:tcPr>
            <w:tcW w:w="595" w:type="dxa"/>
            <w:vAlign w:val="center"/>
          </w:tcPr>
          <w:p w14:paraId="5523BA0E">
            <w:pPr>
              <w:jc w:val="center"/>
              <w:rPr>
                <w:rFonts w:ascii="宋体" w:hAnsi="宋体"/>
                <w:color w:val="auto"/>
                <w:szCs w:val="44"/>
                <w:highlight w:val="none"/>
              </w:rPr>
            </w:pPr>
          </w:p>
        </w:tc>
        <w:tc>
          <w:tcPr>
            <w:tcW w:w="596" w:type="dxa"/>
            <w:vAlign w:val="center"/>
          </w:tcPr>
          <w:p w14:paraId="7FDC06FF">
            <w:pPr>
              <w:jc w:val="center"/>
              <w:rPr>
                <w:rFonts w:ascii="宋体" w:hAnsi="宋体"/>
                <w:color w:val="auto"/>
                <w:szCs w:val="44"/>
                <w:highlight w:val="none"/>
              </w:rPr>
            </w:pPr>
          </w:p>
        </w:tc>
        <w:tc>
          <w:tcPr>
            <w:tcW w:w="734" w:type="dxa"/>
            <w:vMerge w:val="continue"/>
            <w:vAlign w:val="center"/>
          </w:tcPr>
          <w:p w14:paraId="30207AE9">
            <w:pPr>
              <w:jc w:val="center"/>
              <w:rPr>
                <w:rFonts w:ascii="宋体" w:hAnsi="宋体"/>
                <w:color w:val="auto"/>
                <w:szCs w:val="44"/>
                <w:highlight w:val="none"/>
              </w:rPr>
            </w:pPr>
          </w:p>
        </w:tc>
      </w:tr>
      <w:tr w14:paraId="097D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6F21F314">
            <w:pPr>
              <w:jc w:val="center"/>
              <w:rPr>
                <w:rFonts w:ascii="宋体" w:hAnsi="宋体"/>
                <w:color w:val="auto"/>
                <w:szCs w:val="44"/>
                <w:highlight w:val="none"/>
              </w:rPr>
            </w:pPr>
            <w:r>
              <w:rPr>
                <w:rFonts w:hint="eastAsia" w:ascii="宋体" w:hAnsi="宋体"/>
                <w:color w:val="auto"/>
                <w:szCs w:val="44"/>
                <w:highlight w:val="none"/>
              </w:rPr>
              <w:t>1</w:t>
            </w:r>
          </w:p>
        </w:tc>
        <w:tc>
          <w:tcPr>
            <w:tcW w:w="1365" w:type="dxa"/>
            <w:vAlign w:val="center"/>
          </w:tcPr>
          <w:p w14:paraId="47BB6D30">
            <w:pPr>
              <w:jc w:val="center"/>
              <w:rPr>
                <w:rFonts w:ascii="宋体" w:hAnsi="宋体"/>
                <w:color w:val="auto"/>
                <w:szCs w:val="21"/>
                <w:highlight w:val="none"/>
              </w:rPr>
            </w:pPr>
          </w:p>
        </w:tc>
        <w:tc>
          <w:tcPr>
            <w:tcW w:w="596" w:type="dxa"/>
            <w:vAlign w:val="center"/>
          </w:tcPr>
          <w:p w14:paraId="617DC787">
            <w:pPr>
              <w:jc w:val="center"/>
              <w:rPr>
                <w:rFonts w:ascii="宋体" w:hAnsi="宋体"/>
                <w:color w:val="auto"/>
                <w:szCs w:val="21"/>
                <w:highlight w:val="none"/>
              </w:rPr>
            </w:pPr>
          </w:p>
        </w:tc>
        <w:tc>
          <w:tcPr>
            <w:tcW w:w="595" w:type="dxa"/>
            <w:vAlign w:val="center"/>
          </w:tcPr>
          <w:p w14:paraId="356981BB">
            <w:pPr>
              <w:jc w:val="center"/>
              <w:rPr>
                <w:rFonts w:ascii="宋体" w:hAnsi="宋体"/>
                <w:color w:val="auto"/>
                <w:szCs w:val="44"/>
                <w:highlight w:val="none"/>
              </w:rPr>
            </w:pPr>
          </w:p>
        </w:tc>
        <w:tc>
          <w:tcPr>
            <w:tcW w:w="595" w:type="dxa"/>
            <w:vAlign w:val="center"/>
          </w:tcPr>
          <w:p w14:paraId="6702CB71">
            <w:pPr>
              <w:jc w:val="center"/>
              <w:rPr>
                <w:rFonts w:ascii="宋体" w:hAnsi="宋体"/>
                <w:color w:val="auto"/>
                <w:szCs w:val="44"/>
                <w:highlight w:val="none"/>
              </w:rPr>
            </w:pPr>
          </w:p>
        </w:tc>
        <w:tc>
          <w:tcPr>
            <w:tcW w:w="595" w:type="dxa"/>
            <w:vAlign w:val="center"/>
          </w:tcPr>
          <w:p w14:paraId="3AC99A88">
            <w:pPr>
              <w:jc w:val="center"/>
              <w:rPr>
                <w:rFonts w:ascii="宋体" w:hAnsi="宋体"/>
                <w:color w:val="auto"/>
                <w:szCs w:val="44"/>
                <w:highlight w:val="none"/>
              </w:rPr>
            </w:pPr>
          </w:p>
        </w:tc>
        <w:tc>
          <w:tcPr>
            <w:tcW w:w="595" w:type="dxa"/>
            <w:vAlign w:val="center"/>
          </w:tcPr>
          <w:p w14:paraId="15A7A8F7">
            <w:pPr>
              <w:jc w:val="center"/>
              <w:rPr>
                <w:rFonts w:ascii="宋体" w:hAnsi="宋体"/>
                <w:color w:val="auto"/>
                <w:szCs w:val="44"/>
                <w:highlight w:val="none"/>
              </w:rPr>
            </w:pPr>
          </w:p>
        </w:tc>
        <w:tc>
          <w:tcPr>
            <w:tcW w:w="595" w:type="dxa"/>
            <w:vAlign w:val="center"/>
          </w:tcPr>
          <w:p w14:paraId="5CD20BAA">
            <w:pPr>
              <w:jc w:val="center"/>
              <w:rPr>
                <w:rFonts w:ascii="宋体" w:hAnsi="宋体"/>
                <w:color w:val="auto"/>
                <w:szCs w:val="44"/>
                <w:highlight w:val="none"/>
              </w:rPr>
            </w:pPr>
          </w:p>
        </w:tc>
        <w:tc>
          <w:tcPr>
            <w:tcW w:w="595" w:type="dxa"/>
            <w:vAlign w:val="center"/>
          </w:tcPr>
          <w:p w14:paraId="16FD3660">
            <w:pPr>
              <w:jc w:val="center"/>
              <w:rPr>
                <w:rFonts w:ascii="宋体" w:hAnsi="宋体"/>
                <w:color w:val="auto"/>
                <w:szCs w:val="44"/>
                <w:highlight w:val="none"/>
              </w:rPr>
            </w:pPr>
          </w:p>
        </w:tc>
        <w:tc>
          <w:tcPr>
            <w:tcW w:w="595" w:type="dxa"/>
            <w:vAlign w:val="center"/>
          </w:tcPr>
          <w:p w14:paraId="1359742C">
            <w:pPr>
              <w:jc w:val="center"/>
              <w:rPr>
                <w:rFonts w:ascii="宋体" w:hAnsi="宋体"/>
                <w:color w:val="auto"/>
                <w:szCs w:val="44"/>
                <w:highlight w:val="none"/>
              </w:rPr>
            </w:pPr>
          </w:p>
        </w:tc>
        <w:tc>
          <w:tcPr>
            <w:tcW w:w="596" w:type="dxa"/>
            <w:vAlign w:val="center"/>
          </w:tcPr>
          <w:p w14:paraId="43E4A29D">
            <w:pPr>
              <w:jc w:val="center"/>
              <w:rPr>
                <w:rFonts w:ascii="宋体" w:hAnsi="宋体"/>
                <w:color w:val="auto"/>
                <w:szCs w:val="44"/>
                <w:highlight w:val="none"/>
              </w:rPr>
            </w:pPr>
          </w:p>
        </w:tc>
        <w:tc>
          <w:tcPr>
            <w:tcW w:w="734" w:type="dxa"/>
            <w:vAlign w:val="center"/>
          </w:tcPr>
          <w:p w14:paraId="3922A5A6">
            <w:pPr>
              <w:jc w:val="center"/>
              <w:rPr>
                <w:rFonts w:ascii="宋体" w:hAnsi="宋体"/>
                <w:color w:val="auto"/>
                <w:szCs w:val="44"/>
                <w:highlight w:val="none"/>
              </w:rPr>
            </w:pPr>
          </w:p>
        </w:tc>
      </w:tr>
      <w:tr w14:paraId="4553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D231033">
            <w:pPr>
              <w:jc w:val="center"/>
              <w:rPr>
                <w:rFonts w:ascii="宋体" w:hAnsi="宋体"/>
                <w:color w:val="auto"/>
                <w:szCs w:val="44"/>
                <w:highlight w:val="none"/>
              </w:rPr>
            </w:pPr>
            <w:r>
              <w:rPr>
                <w:rFonts w:hint="eastAsia" w:ascii="宋体" w:hAnsi="宋体"/>
                <w:color w:val="auto"/>
                <w:szCs w:val="44"/>
                <w:highlight w:val="none"/>
              </w:rPr>
              <w:t>2</w:t>
            </w:r>
          </w:p>
        </w:tc>
        <w:tc>
          <w:tcPr>
            <w:tcW w:w="1365" w:type="dxa"/>
            <w:vAlign w:val="center"/>
          </w:tcPr>
          <w:p w14:paraId="786FA208">
            <w:pPr>
              <w:jc w:val="center"/>
              <w:rPr>
                <w:rFonts w:ascii="宋体" w:hAnsi="宋体"/>
                <w:color w:val="auto"/>
                <w:szCs w:val="44"/>
                <w:highlight w:val="none"/>
              </w:rPr>
            </w:pPr>
          </w:p>
        </w:tc>
        <w:tc>
          <w:tcPr>
            <w:tcW w:w="596" w:type="dxa"/>
            <w:vAlign w:val="center"/>
          </w:tcPr>
          <w:p w14:paraId="5B57C08E">
            <w:pPr>
              <w:jc w:val="center"/>
              <w:rPr>
                <w:color w:val="auto"/>
                <w:highlight w:val="none"/>
              </w:rPr>
            </w:pPr>
          </w:p>
        </w:tc>
        <w:tc>
          <w:tcPr>
            <w:tcW w:w="595" w:type="dxa"/>
            <w:vAlign w:val="center"/>
          </w:tcPr>
          <w:p w14:paraId="5FA516CD">
            <w:pPr>
              <w:jc w:val="center"/>
              <w:rPr>
                <w:rFonts w:ascii="宋体" w:hAnsi="宋体"/>
                <w:color w:val="auto"/>
                <w:szCs w:val="44"/>
                <w:highlight w:val="none"/>
              </w:rPr>
            </w:pPr>
          </w:p>
        </w:tc>
        <w:tc>
          <w:tcPr>
            <w:tcW w:w="595" w:type="dxa"/>
            <w:vAlign w:val="center"/>
          </w:tcPr>
          <w:p w14:paraId="20687A14">
            <w:pPr>
              <w:jc w:val="center"/>
              <w:rPr>
                <w:rFonts w:ascii="宋体" w:hAnsi="宋体"/>
                <w:color w:val="auto"/>
                <w:szCs w:val="44"/>
                <w:highlight w:val="none"/>
              </w:rPr>
            </w:pPr>
          </w:p>
        </w:tc>
        <w:tc>
          <w:tcPr>
            <w:tcW w:w="595" w:type="dxa"/>
            <w:vAlign w:val="center"/>
          </w:tcPr>
          <w:p w14:paraId="187F4234">
            <w:pPr>
              <w:jc w:val="center"/>
              <w:rPr>
                <w:rFonts w:ascii="宋体" w:hAnsi="宋体"/>
                <w:color w:val="auto"/>
                <w:szCs w:val="44"/>
                <w:highlight w:val="none"/>
              </w:rPr>
            </w:pPr>
          </w:p>
        </w:tc>
        <w:tc>
          <w:tcPr>
            <w:tcW w:w="595" w:type="dxa"/>
            <w:vAlign w:val="center"/>
          </w:tcPr>
          <w:p w14:paraId="0B60D914">
            <w:pPr>
              <w:jc w:val="center"/>
              <w:rPr>
                <w:rFonts w:ascii="宋体" w:hAnsi="宋体"/>
                <w:color w:val="auto"/>
                <w:szCs w:val="44"/>
                <w:highlight w:val="none"/>
              </w:rPr>
            </w:pPr>
          </w:p>
        </w:tc>
        <w:tc>
          <w:tcPr>
            <w:tcW w:w="595" w:type="dxa"/>
            <w:vAlign w:val="center"/>
          </w:tcPr>
          <w:p w14:paraId="27CE5FBB">
            <w:pPr>
              <w:jc w:val="center"/>
              <w:rPr>
                <w:rFonts w:ascii="宋体" w:hAnsi="宋体"/>
                <w:color w:val="auto"/>
                <w:szCs w:val="44"/>
                <w:highlight w:val="none"/>
              </w:rPr>
            </w:pPr>
          </w:p>
        </w:tc>
        <w:tc>
          <w:tcPr>
            <w:tcW w:w="595" w:type="dxa"/>
            <w:vAlign w:val="center"/>
          </w:tcPr>
          <w:p w14:paraId="0B8552EA">
            <w:pPr>
              <w:jc w:val="center"/>
              <w:rPr>
                <w:rFonts w:ascii="宋体" w:hAnsi="宋体"/>
                <w:color w:val="auto"/>
                <w:szCs w:val="44"/>
                <w:highlight w:val="none"/>
              </w:rPr>
            </w:pPr>
          </w:p>
        </w:tc>
        <w:tc>
          <w:tcPr>
            <w:tcW w:w="595" w:type="dxa"/>
            <w:vAlign w:val="center"/>
          </w:tcPr>
          <w:p w14:paraId="0A759D79">
            <w:pPr>
              <w:jc w:val="center"/>
              <w:rPr>
                <w:rFonts w:ascii="宋体" w:hAnsi="宋体"/>
                <w:color w:val="auto"/>
                <w:szCs w:val="44"/>
                <w:highlight w:val="none"/>
              </w:rPr>
            </w:pPr>
          </w:p>
        </w:tc>
        <w:tc>
          <w:tcPr>
            <w:tcW w:w="596" w:type="dxa"/>
            <w:vAlign w:val="center"/>
          </w:tcPr>
          <w:p w14:paraId="1827B2CF">
            <w:pPr>
              <w:jc w:val="center"/>
              <w:rPr>
                <w:rFonts w:ascii="宋体" w:hAnsi="宋体"/>
                <w:color w:val="auto"/>
                <w:szCs w:val="44"/>
                <w:highlight w:val="none"/>
              </w:rPr>
            </w:pPr>
          </w:p>
        </w:tc>
        <w:tc>
          <w:tcPr>
            <w:tcW w:w="734" w:type="dxa"/>
            <w:vAlign w:val="center"/>
          </w:tcPr>
          <w:p w14:paraId="063EF124">
            <w:pPr>
              <w:jc w:val="center"/>
              <w:rPr>
                <w:rFonts w:ascii="宋体" w:hAnsi="宋体"/>
                <w:color w:val="auto"/>
                <w:szCs w:val="44"/>
                <w:highlight w:val="none"/>
              </w:rPr>
            </w:pPr>
          </w:p>
        </w:tc>
      </w:tr>
      <w:tr w14:paraId="793F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1A9BDC0">
            <w:pPr>
              <w:jc w:val="center"/>
              <w:rPr>
                <w:rFonts w:ascii="宋体" w:hAnsi="宋体"/>
                <w:color w:val="auto"/>
                <w:szCs w:val="44"/>
                <w:highlight w:val="none"/>
              </w:rPr>
            </w:pPr>
            <w:r>
              <w:rPr>
                <w:rFonts w:hint="eastAsia" w:ascii="宋体" w:hAnsi="宋体"/>
                <w:color w:val="auto"/>
                <w:szCs w:val="44"/>
                <w:highlight w:val="none"/>
              </w:rPr>
              <w:t>3</w:t>
            </w:r>
          </w:p>
        </w:tc>
        <w:tc>
          <w:tcPr>
            <w:tcW w:w="1365" w:type="dxa"/>
            <w:vAlign w:val="center"/>
          </w:tcPr>
          <w:p w14:paraId="2290812D">
            <w:pPr>
              <w:jc w:val="center"/>
              <w:rPr>
                <w:rFonts w:ascii="宋体" w:hAnsi="宋体"/>
                <w:color w:val="auto"/>
                <w:szCs w:val="44"/>
                <w:highlight w:val="none"/>
              </w:rPr>
            </w:pPr>
          </w:p>
        </w:tc>
        <w:tc>
          <w:tcPr>
            <w:tcW w:w="596" w:type="dxa"/>
            <w:vAlign w:val="center"/>
          </w:tcPr>
          <w:p w14:paraId="7D83EFBC">
            <w:pPr>
              <w:jc w:val="center"/>
              <w:rPr>
                <w:color w:val="auto"/>
                <w:highlight w:val="none"/>
              </w:rPr>
            </w:pPr>
          </w:p>
        </w:tc>
        <w:tc>
          <w:tcPr>
            <w:tcW w:w="595" w:type="dxa"/>
            <w:vAlign w:val="center"/>
          </w:tcPr>
          <w:p w14:paraId="0E8886A6">
            <w:pPr>
              <w:jc w:val="center"/>
              <w:rPr>
                <w:rFonts w:ascii="宋体" w:hAnsi="宋体"/>
                <w:color w:val="auto"/>
                <w:szCs w:val="44"/>
                <w:highlight w:val="none"/>
              </w:rPr>
            </w:pPr>
          </w:p>
        </w:tc>
        <w:tc>
          <w:tcPr>
            <w:tcW w:w="595" w:type="dxa"/>
            <w:vAlign w:val="center"/>
          </w:tcPr>
          <w:p w14:paraId="7CB18C77">
            <w:pPr>
              <w:jc w:val="center"/>
              <w:rPr>
                <w:rFonts w:ascii="宋体" w:hAnsi="宋体"/>
                <w:color w:val="auto"/>
                <w:szCs w:val="44"/>
                <w:highlight w:val="none"/>
              </w:rPr>
            </w:pPr>
          </w:p>
        </w:tc>
        <w:tc>
          <w:tcPr>
            <w:tcW w:w="595" w:type="dxa"/>
            <w:vAlign w:val="center"/>
          </w:tcPr>
          <w:p w14:paraId="37687A89">
            <w:pPr>
              <w:jc w:val="center"/>
              <w:rPr>
                <w:rFonts w:ascii="宋体" w:hAnsi="宋体"/>
                <w:color w:val="auto"/>
                <w:szCs w:val="44"/>
                <w:highlight w:val="none"/>
              </w:rPr>
            </w:pPr>
          </w:p>
        </w:tc>
        <w:tc>
          <w:tcPr>
            <w:tcW w:w="595" w:type="dxa"/>
            <w:vAlign w:val="center"/>
          </w:tcPr>
          <w:p w14:paraId="1DE3EF20">
            <w:pPr>
              <w:jc w:val="center"/>
              <w:rPr>
                <w:rFonts w:ascii="宋体" w:hAnsi="宋体"/>
                <w:color w:val="auto"/>
                <w:szCs w:val="44"/>
                <w:highlight w:val="none"/>
              </w:rPr>
            </w:pPr>
          </w:p>
        </w:tc>
        <w:tc>
          <w:tcPr>
            <w:tcW w:w="595" w:type="dxa"/>
            <w:vAlign w:val="center"/>
          </w:tcPr>
          <w:p w14:paraId="21651FFA">
            <w:pPr>
              <w:jc w:val="center"/>
              <w:rPr>
                <w:rFonts w:ascii="宋体" w:hAnsi="宋体"/>
                <w:color w:val="auto"/>
                <w:szCs w:val="44"/>
                <w:highlight w:val="none"/>
              </w:rPr>
            </w:pPr>
          </w:p>
        </w:tc>
        <w:tc>
          <w:tcPr>
            <w:tcW w:w="595" w:type="dxa"/>
            <w:vAlign w:val="center"/>
          </w:tcPr>
          <w:p w14:paraId="2850693E">
            <w:pPr>
              <w:jc w:val="center"/>
              <w:rPr>
                <w:rFonts w:ascii="宋体" w:hAnsi="宋体"/>
                <w:color w:val="auto"/>
                <w:szCs w:val="44"/>
                <w:highlight w:val="none"/>
              </w:rPr>
            </w:pPr>
          </w:p>
        </w:tc>
        <w:tc>
          <w:tcPr>
            <w:tcW w:w="595" w:type="dxa"/>
            <w:vAlign w:val="center"/>
          </w:tcPr>
          <w:p w14:paraId="6A2DCEA4">
            <w:pPr>
              <w:jc w:val="center"/>
              <w:rPr>
                <w:rFonts w:ascii="宋体" w:hAnsi="宋体"/>
                <w:color w:val="auto"/>
                <w:szCs w:val="44"/>
                <w:highlight w:val="none"/>
              </w:rPr>
            </w:pPr>
          </w:p>
        </w:tc>
        <w:tc>
          <w:tcPr>
            <w:tcW w:w="596" w:type="dxa"/>
            <w:vAlign w:val="center"/>
          </w:tcPr>
          <w:p w14:paraId="44892039">
            <w:pPr>
              <w:jc w:val="center"/>
              <w:rPr>
                <w:rFonts w:ascii="宋体" w:hAnsi="宋体"/>
                <w:color w:val="auto"/>
                <w:szCs w:val="44"/>
                <w:highlight w:val="none"/>
              </w:rPr>
            </w:pPr>
          </w:p>
        </w:tc>
        <w:tc>
          <w:tcPr>
            <w:tcW w:w="734" w:type="dxa"/>
            <w:vAlign w:val="center"/>
          </w:tcPr>
          <w:p w14:paraId="306DE09A">
            <w:pPr>
              <w:jc w:val="center"/>
              <w:rPr>
                <w:rFonts w:ascii="宋体" w:hAnsi="宋体"/>
                <w:color w:val="auto"/>
                <w:szCs w:val="44"/>
                <w:highlight w:val="none"/>
              </w:rPr>
            </w:pPr>
          </w:p>
        </w:tc>
      </w:tr>
      <w:tr w14:paraId="4A2D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F728011">
            <w:pPr>
              <w:jc w:val="center"/>
              <w:rPr>
                <w:rFonts w:ascii="宋体" w:hAnsi="宋体"/>
                <w:color w:val="auto"/>
                <w:szCs w:val="44"/>
                <w:highlight w:val="none"/>
              </w:rPr>
            </w:pPr>
            <w:r>
              <w:rPr>
                <w:rFonts w:hint="eastAsia" w:ascii="宋体" w:hAnsi="宋体"/>
                <w:color w:val="auto"/>
                <w:szCs w:val="44"/>
                <w:highlight w:val="none"/>
              </w:rPr>
              <w:t>4</w:t>
            </w:r>
          </w:p>
        </w:tc>
        <w:tc>
          <w:tcPr>
            <w:tcW w:w="1365" w:type="dxa"/>
            <w:vAlign w:val="center"/>
          </w:tcPr>
          <w:p w14:paraId="1E7A0D50">
            <w:pPr>
              <w:jc w:val="center"/>
              <w:rPr>
                <w:rFonts w:ascii="宋体" w:hAnsi="宋体"/>
                <w:color w:val="auto"/>
                <w:szCs w:val="44"/>
                <w:highlight w:val="none"/>
              </w:rPr>
            </w:pPr>
          </w:p>
        </w:tc>
        <w:tc>
          <w:tcPr>
            <w:tcW w:w="596" w:type="dxa"/>
            <w:vAlign w:val="center"/>
          </w:tcPr>
          <w:p w14:paraId="0D8366AD">
            <w:pPr>
              <w:jc w:val="center"/>
              <w:rPr>
                <w:color w:val="auto"/>
                <w:highlight w:val="none"/>
              </w:rPr>
            </w:pPr>
          </w:p>
        </w:tc>
        <w:tc>
          <w:tcPr>
            <w:tcW w:w="595" w:type="dxa"/>
            <w:vAlign w:val="center"/>
          </w:tcPr>
          <w:p w14:paraId="1DEAAD2E">
            <w:pPr>
              <w:jc w:val="center"/>
              <w:rPr>
                <w:rFonts w:ascii="宋体" w:hAnsi="宋体"/>
                <w:color w:val="auto"/>
                <w:szCs w:val="44"/>
                <w:highlight w:val="none"/>
              </w:rPr>
            </w:pPr>
          </w:p>
        </w:tc>
        <w:tc>
          <w:tcPr>
            <w:tcW w:w="595" w:type="dxa"/>
            <w:vAlign w:val="center"/>
          </w:tcPr>
          <w:p w14:paraId="02884010">
            <w:pPr>
              <w:jc w:val="center"/>
              <w:rPr>
                <w:rFonts w:ascii="宋体" w:hAnsi="宋体"/>
                <w:color w:val="auto"/>
                <w:szCs w:val="44"/>
                <w:highlight w:val="none"/>
              </w:rPr>
            </w:pPr>
          </w:p>
        </w:tc>
        <w:tc>
          <w:tcPr>
            <w:tcW w:w="595" w:type="dxa"/>
            <w:vAlign w:val="center"/>
          </w:tcPr>
          <w:p w14:paraId="4B7F9ED3">
            <w:pPr>
              <w:jc w:val="center"/>
              <w:rPr>
                <w:rFonts w:ascii="宋体" w:hAnsi="宋体"/>
                <w:color w:val="auto"/>
                <w:szCs w:val="44"/>
                <w:highlight w:val="none"/>
              </w:rPr>
            </w:pPr>
          </w:p>
        </w:tc>
        <w:tc>
          <w:tcPr>
            <w:tcW w:w="595" w:type="dxa"/>
            <w:vAlign w:val="center"/>
          </w:tcPr>
          <w:p w14:paraId="62907376">
            <w:pPr>
              <w:jc w:val="center"/>
              <w:rPr>
                <w:rFonts w:ascii="宋体" w:hAnsi="宋体"/>
                <w:color w:val="auto"/>
                <w:szCs w:val="44"/>
                <w:highlight w:val="none"/>
              </w:rPr>
            </w:pPr>
          </w:p>
        </w:tc>
        <w:tc>
          <w:tcPr>
            <w:tcW w:w="595" w:type="dxa"/>
            <w:vAlign w:val="center"/>
          </w:tcPr>
          <w:p w14:paraId="19F3F1C0">
            <w:pPr>
              <w:jc w:val="center"/>
              <w:rPr>
                <w:rFonts w:ascii="宋体" w:hAnsi="宋体"/>
                <w:color w:val="auto"/>
                <w:szCs w:val="44"/>
                <w:highlight w:val="none"/>
              </w:rPr>
            </w:pPr>
          </w:p>
        </w:tc>
        <w:tc>
          <w:tcPr>
            <w:tcW w:w="595" w:type="dxa"/>
            <w:vAlign w:val="center"/>
          </w:tcPr>
          <w:p w14:paraId="389E4A14">
            <w:pPr>
              <w:jc w:val="center"/>
              <w:rPr>
                <w:rFonts w:ascii="宋体" w:hAnsi="宋体"/>
                <w:color w:val="auto"/>
                <w:szCs w:val="44"/>
                <w:highlight w:val="none"/>
              </w:rPr>
            </w:pPr>
          </w:p>
        </w:tc>
        <w:tc>
          <w:tcPr>
            <w:tcW w:w="595" w:type="dxa"/>
            <w:vAlign w:val="center"/>
          </w:tcPr>
          <w:p w14:paraId="5CE569E2">
            <w:pPr>
              <w:jc w:val="center"/>
              <w:rPr>
                <w:rFonts w:ascii="宋体" w:hAnsi="宋体"/>
                <w:color w:val="auto"/>
                <w:szCs w:val="44"/>
                <w:highlight w:val="none"/>
              </w:rPr>
            </w:pPr>
          </w:p>
        </w:tc>
        <w:tc>
          <w:tcPr>
            <w:tcW w:w="596" w:type="dxa"/>
            <w:vAlign w:val="center"/>
          </w:tcPr>
          <w:p w14:paraId="7CD94A84">
            <w:pPr>
              <w:jc w:val="center"/>
              <w:rPr>
                <w:rFonts w:ascii="宋体" w:hAnsi="宋体"/>
                <w:color w:val="auto"/>
                <w:szCs w:val="44"/>
                <w:highlight w:val="none"/>
              </w:rPr>
            </w:pPr>
          </w:p>
        </w:tc>
        <w:tc>
          <w:tcPr>
            <w:tcW w:w="734" w:type="dxa"/>
            <w:vAlign w:val="center"/>
          </w:tcPr>
          <w:p w14:paraId="1EF7AF18">
            <w:pPr>
              <w:jc w:val="center"/>
              <w:rPr>
                <w:rFonts w:ascii="宋体" w:hAnsi="宋体"/>
                <w:color w:val="auto"/>
                <w:szCs w:val="44"/>
                <w:highlight w:val="none"/>
              </w:rPr>
            </w:pPr>
          </w:p>
        </w:tc>
      </w:tr>
      <w:tr w14:paraId="6785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AD8F262">
            <w:pPr>
              <w:jc w:val="center"/>
              <w:rPr>
                <w:rFonts w:ascii="宋体" w:hAnsi="宋体"/>
                <w:color w:val="auto"/>
                <w:szCs w:val="44"/>
                <w:highlight w:val="none"/>
              </w:rPr>
            </w:pPr>
            <w:r>
              <w:rPr>
                <w:rFonts w:hint="eastAsia" w:ascii="宋体" w:hAnsi="宋体"/>
                <w:color w:val="auto"/>
                <w:szCs w:val="44"/>
                <w:highlight w:val="none"/>
              </w:rPr>
              <w:t>5</w:t>
            </w:r>
          </w:p>
        </w:tc>
        <w:tc>
          <w:tcPr>
            <w:tcW w:w="1365" w:type="dxa"/>
            <w:vAlign w:val="center"/>
          </w:tcPr>
          <w:p w14:paraId="041C8EE9">
            <w:pPr>
              <w:jc w:val="center"/>
              <w:rPr>
                <w:rFonts w:ascii="宋体" w:hAnsi="宋体"/>
                <w:color w:val="auto"/>
                <w:szCs w:val="44"/>
                <w:highlight w:val="none"/>
              </w:rPr>
            </w:pPr>
          </w:p>
        </w:tc>
        <w:tc>
          <w:tcPr>
            <w:tcW w:w="596" w:type="dxa"/>
            <w:vAlign w:val="center"/>
          </w:tcPr>
          <w:p w14:paraId="786EBCD6">
            <w:pPr>
              <w:jc w:val="center"/>
              <w:rPr>
                <w:color w:val="auto"/>
                <w:highlight w:val="none"/>
              </w:rPr>
            </w:pPr>
          </w:p>
        </w:tc>
        <w:tc>
          <w:tcPr>
            <w:tcW w:w="595" w:type="dxa"/>
            <w:vAlign w:val="center"/>
          </w:tcPr>
          <w:p w14:paraId="2D8F8D3D">
            <w:pPr>
              <w:jc w:val="center"/>
              <w:rPr>
                <w:rFonts w:ascii="宋体" w:hAnsi="宋体"/>
                <w:color w:val="auto"/>
                <w:szCs w:val="44"/>
                <w:highlight w:val="none"/>
              </w:rPr>
            </w:pPr>
          </w:p>
        </w:tc>
        <w:tc>
          <w:tcPr>
            <w:tcW w:w="595" w:type="dxa"/>
            <w:vAlign w:val="center"/>
          </w:tcPr>
          <w:p w14:paraId="654E1A46">
            <w:pPr>
              <w:jc w:val="center"/>
              <w:rPr>
                <w:rFonts w:ascii="宋体" w:hAnsi="宋体"/>
                <w:color w:val="auto"/>
                <w:szCs w:val="44"/>
                <w:highlight w:val="none"/>
              </w:rPr>
            </w:pPr>
          </w:p>
        </w:tc>
        <w:tc>
          <w:tcPr>
            <w:tcW w:w="595" w:type="dxa"/>
            <w:vAlign w:val="center"/>
          </w:tcPr>
          <w:p w14:paraId="68148442">
            <w:pPr>
              <w:jc w:val="center"/>
              <w:rPr>
                <w:rFonts w:ascii="宋体" w:hAnsi="宋体"/>
                <w:color w:val="auto"/>
                <w:szCs w:val="44"/>
                <w:highlight w:val="none"/>
              </w:rPr>
            </w:pPr>
          </w:p>
        </w:tc>
        <w:tc>
          <w:tcPr>
            <w:tcW w:w="595" w:type="dxa"/>
            <w:vAlign w:val="center"/>
          </w:tcPr>
          <w:p w14:paraId="22B8D712">
            <w:pPr>
              <w:jc w:val="center"/>
              <w:rPr>
                <w:rFonts w:ascii="宋体" w:hAnsi="宋体"/>
                <w:color w:val="auto"/>
                <w:szCs w:val="44"/>
                <w:highlight w:val="none"/>
              </w:rPr>
            </w:pPr>
          </w:p>
        </w:tc>
        <w:tc>
          <w:tcPr>
            <w:tcW w:w="595" w:type="dxa"/>
            <w:vAlign w:val="center"/>
          </w:tcPr>
          <w:p w14:paraId="4362C829">
            <w:pPr>
              <w:jc w:val="center"/>
              <w:rPr>
                <w:rFonts w:ascii="宋体" w:hAnsi="宋体"/>
                <w:color w:val="auto"/>
                <w:szCs w:val="44"/>
                <w:highlight w:val="none"/>
              </w:rPr>
            </w:pPr>
          </w:p>
        </w:tc>
        <w:tc>
          <w:tcPr>
            <w:tcW w:w="595" w:type="dxa"/>
            <w:vAlign w:val="center"/>
          </w:tcPr>
          <w:p w14:paraId="3AF002C9">
            <w:pPr>
              <w:jc w:val="center"/>
              <w:rPr>
                <w:rFonts w:ascii="宋体" w:hAnsi="宋体"/>
                <w:color w:val="auto"/>
                <w:szCs w:val="44"/>
                <w:highlight w:val="none"/>
              </w:rPr>
            </w:pPr>
          </w:p>
        </w:tc>
        <w:tc>
          <w:tcPr>
            <w:tcW w:w="595" w:type="dxa"/>
            <w:vAlign w:val="center"/>
          </w:tcPr>
          <w:p w14:paraId="7B0AE193">
            <w:pPr>
              <w:jc w:val="center"/>
              <w:rPr>
                <w:rFonts w:ascii="宋体" w:hAnsi="宋体"/>
                <w:color w:val="auto"/>
                <w:szCs w:val="44"/>
                <w:highlight w:val="none"/>
              </w:rPr>
            </w:pPr>
          </w:p>
        </w:tc>
        <w:tc>
          <w:tcPr>
            <w:tcW w:w="596" w:type="dxa"/>
            <w:vAlign w:val="center"/>
          </w:tcPr>
          <w:p w14:paraId="30332539">
            <w:pPr>
              <w:jc w:val="center"/>
              <w:rPr>
                <w:rFonts w:ascii="宋体" w:hAnsi="宋体"/>
                <w:color w:val="auto"/>
                <w:szCs w:val="44"/>
                <w:highlight w:val="none"/>
              </w:rPr>
            </w:pPr>
          </w:p>
        </w:tc>
        <w:tc>
          <w:tcPr>
            <w:tcW w:w="734" w:type="dxa"/>
            <w:vAlign w:val="center"/>
          </w:tcPr>
          <w:p w14:paraId="19530BFE">
            <w:pPr>
              <w:jc w:val="center"/>
              <w:rPr>
                <w:rFonts w:ascii="宋体" w:hAnsi="宋体"/>
                <w:color w:val="auto"/>
                <w:szCs w:val="44"/>
                <w:highlight w:val="none"/>
              </w:rPr>
            </w:pPr>
          </w:p>
        </w:tc>
      </w:tr>
      <w:tr w14:paraId="5436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D0185E0">
            <w:pPr>
              <w:jc w:val="center"/>
              <w:rPr>
                <w:rFonts w:ascii="宋体" w:hAnsi="宋体"/>
                <w:color w:val="auto"/>
                <w:szCs w:val="44"/>
                <w:highlight w:val="none"/>
              </w:rPr>
            </w:pPr>
            <w:r>
              <w:rPr>
                <w:rFonts w:hint="eastAsia" w:ascii="宋体" w:hAnsi="宋体"/>
                <w:color w:val="auto"/>
                <w:szCs w:val="44"/>
                <w:highlight w:val="none"/>
              </w:rPr>
              <w:t>6</w:t>
            </w:r>
          </w:p>
        </w:tc>
        <w:tc>
          <w:tcPr>
            <w:tcW w:w="1365" w:type="dxa"/>
            <w:vAlign w:val="center"/>
          </w:tcPr>
          <w:p w14:paraId="29D5A99F">
            <w:pPr>
              <w:jc w:val="center"/>
              <w:rPr>
                <w:rFonts w:ascii="宋体" w:hAnsi="宋体"/>
                <w:color w:val="auto"/>
                <w:szCs w:val="44"/>
                <w:highlight w:val="none"/>
              </w:rPr>
            </w:pPr>
          </w:p>
        </w:tc>
        <w:tc>
          <w:tcPr>
            <w:tcW w:w="596" w:type="dxa"/>
            <w:vAlign w:val="center"/>
          </w:tcPr>
          <w:p w14:paraId="2730314C">
            <w:pPr>
              <w:jc w:val="center"/>
              <w:rPr>
                <w:color w:val="auto"/>
                <w:highlight w:val="none"/>
              </w:rPr>
            </w:pPr>
          </w:p>
        </w:tc>
        <w:tc>
          <w:tcPr>
            <w:tcW w:w="595" w:type="dxa"/>
            <w:vAlign w:val="center"/>
          </w:tcPr>
          <w:p w14:paraId="1E1D4901">
            <w:pPr>
              <w:jc w:val="center"/>
              <w:rPr>
                <w:rFonts w:ascii="宋体" w:hAnsi="宋体"/>
                <w:color w:val="auto"/>
                <w:szCs w:val="44"/>
                <w:highlight w:val="none"/>
              </w:rPr>
            </w:pPr>
          </w:p>
        </w:tc>
        <w:tc>
          <w:tcPr>
            <w:tcW w:w="595" w:type="dxa"/>
            <w:vAlign w:val="center"/>
          </w:tcPr>
          <w:p w14:paraId="319ABD33">
            <w:pPr>
              <w:jc w:val="center"/>
              <w:rPr>
                <w:rFonts w:ascii="宋体" w:hAnsi="宋体"/>
                <w:color w:val="auto"/>
                <w:szCs w:val="44"/>
                <w:highlight w:val="none"/>
              </w:rPr>
            </w:pPr>
          </w:p>
        </w:tc>
        <w:tc>
          <w:tcPr>
            <w:tcW w:w="595" w:type="dxa"/>
            <w:vAlign w:val="center"/>
          </w:tcPr>
          <w:p w14:paraId="7B592320">
            <w:pPr>
              <w:jc w:val="center"/>
              <w:rPr>
                <w:rFonts w:ascii="宋体" w:hAnsi="宋体"/>
                <w:color w:val="auto"/>
                <w:szCs w:val="44"/>
                <w:highlight w:val="none"/>
              </w:rPr>
            </w:pPr>
          </w:p>
        </w:tc>
        <w:tc>
          <w:tcPr>
            <w:tcW w:w="595" w:type="dxa"/>
            <w:vAlign w:val="center"/>
          </w:tcPr>
          <w:p w14:paraId="59CCE8F4">
            <w:pPr>
              <w:jc w:val="center"/>
              <w:rPr>
                <w:rFonts w:ascii="宋体" w:hAnsi="宋体"/>
                <w:color w:val="auto"/>
                <w:szCs w:val="44"/>
                <w:highlight w:val="none"/>
              </w:rPr>
            </w:pPr>
          </w:p>
        </w:tc>
        <w:tc>
          <w:tcPr>
            <w:tcW w:w="595" w:type="dxa"/>
            <w:vAlign w:val="center"/>
          </w:tcPr>
          <w:p w14:paraId="129A8C14">
            <w:pPr>
              <w:jc w:val="center"/>
              <w:rPr>
                <w:rFonts w:ascii="宋体" w:hAnsi="宋体"/>
                <w:color w:val="auto"/>
                <w:szCs w:val="44"/>
                <w:highlight w:val="none"/>
              </w:rPr>
            </w:pPr>
          </w:p>
        </w:tc>
        <w:tc>
          <w:tcPr>
            <w:tcW w:w="595" w:type="dxa"/>
            <w:vAlign w:val="center"/>
          </w:tcPr>
          <w:p w14:paraId="6886ED9B">
            <w:pPr>
              <w:jc w:val="center"/>
              <w:rPr>
                <w:rFonts w:ascii="宋体" w:hAnsi="宋体"/>
                <w:color w:val="auto"/>
                <w:szCs w:val="44"/>
                <w:highlight w:val="none"/>
              </w:rPr>
            </w:pPr>
          </w:p>
        </w:tc>
        <w:tc>
          <w:tcPr>
            <w:tcW w:w="595" w:type="dxa"/>
            <w:vAlign w:val="center"/>
          </w:tcPr>
          <w:p w14:paraId="39415BBC">
            <w:pPr>
              <w:jc w:val="center"/>
              <w:rPr>
                <w:rFonts w:ascii="宋体" w:hAnsi="宋体"/>
                <w:color w:val="auto"/>
                <w:szCs w:val="44"/>
                <w:highlight w:val="none"/>
              </w:rPr>
            </w:pPr>
          </w:p>
        </w:tc>
        <w:tc>
          <w:tcPr>
            <w:tcW w:w="596" w:type="dxa"/>
            <w:vAlign w:val="center"/>
          </w:tcPr>
          <w:p w14:paraId="7618A08C">
            <w:pPr>
              <w:jc w:val="center"/>
              <w:rPr>
                <w:rFonts w:ascii="宋体" w:hAnsi="宋体"/>
                <w:color w:val="auto"/>
                <w:szCs w:val="44"/>
                <w:highlight w:val="none"/>
              </w:rPr>
            </w:pPr>
          </w:p>
        </w:tc>
        <w:tc>
          <w:tcPr>
            <w:tcW w:w="734" w:type="dxa"/>
            <w:vAlign w:val="center"/>
          </w:tcPr>
          <w:p w14:paraId="1C6E3DE5">
            <w:pPr>
              <w:jc w:val="center"/>
              <w:rPr>
                <w:rFonts w:ascii="宋体" w:hAnsi="宋体"/>
                <w:color w:val="auto"/>
                <w:szCs w:val="44"/>
                <w:highlight w:val="none"/>
              </w:rPr>
            </w:pPr>
          </w:p>
        </w:tc>
      </w:tr>
      <w:tr w14:paraId="124A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D61434D">
            <w:pPr>
              <w:jc w:val="center"/>
              <w:rPr>
                <w:rFonts w:ascii="宋体" w:hAnsi="宋体"/>
                <w:color w:val="auto"/>
                <w:szCs w:val="44"/>
                <w:highlight w:val="none"/>
              </w:rPr>
            </w:pPr>
            <w:r>
              <w:rPr>
                <w:rFonts w:hint="eastAsia" w:ascii="宋体" w:hAnsi="宋体"/>
                <w:color w:val="auto"/>
                <w:szCs w:val="44"/>
                <w:highlight w:val="none"/>
              </w:rPr>
              <w:t>…</w:t>
            </w:r>
          </w:p>
        </w:tc>
        <w:tc>
          <w:tcPr>
            <w:tcW w:w="1365" w:type="dxa"/>
            <w:vAlign w:val="center"/>
          </w:tcPr>
          <w:p w14:paraId="1133928B">
            <w:pPr>
              <w:rPr>
                <w:rFonts w:ascii="宋体" w:hAnsi="宋体"/>
                <w:color w:val="auto"/>
                <w:szCs w:val="21"/>
                <w:highlight w:val="none"/>
              </w:rPr>
            </w:pPr>
          </w:p>
        </w:tc>
        <w:tc>
          <w:tcPr>
            <w:tcW w:w="596" w:type="dxa"/>
            <w:vAlign w:val="center"/>
          </w:tcPr>
          <w:p w14:paraId="22665D5C">
            <w:pPr>
              <w:jc w:val="center"/>
              <w:rPr>
                <w:color w:val="auto"/>
                <w:highlight w:val="none"/>
              </w:rPr>
            </w:pPr>
          </w:p>
        </w:tc>
        <w:tc>
          <w:tcPr>
            <w:tcW w:w="595" w:type="dxa"/>
            <w:vAlign w:val="center"/>
          </w:tcPr>
          <w:p w14:paraId="404CA271">
            <w:pPr>
              <w:jc w:val="center"/>
              <w:rPr>
                <w:rFonts w:ascii="宋体" w:hAnsi="宋体"/>
                <w:color w:val="auto"/>
                <w:szCs w:val="44"/>
                <w:highlight w:val="none"/>
              </w:rPr>
            </w:pPr>
          </w:p>
        </w:tc>
        <w:tc>
          <w:tcPr>
            <w:tcW w:w="595" w:type="dxa"/>
            <w:vAlign w:val="center"/>
          </w:tcPr>
          <w:p w14:paraId="13F049E2">
            <w:pPr>
              <w:jc w:val="center"/>
              <w:rPr>
                <w:rFonts w:ascii="宋体" w:hAnsi="宋体"/>
                <w:color w:val="auto"/>
                <w:szCs w:val="44"/>
                <w:highlight w:val="none"/>
              </w:rPr>
            </w:pPr>
          </w:p>
        </w:tc>
        <w:tc>
          <w:tcPr>
            <w:tcW w:w="595" w:type="dxa"/>
            <w:vAlign w:val="center"/>
          </w:tcPr>
          <w:p w14:paraId="1303B720">
            <w:pPr>
              <w:jc w:val="center"/>
              <w:rPr>
                <w:rFonts w:ascii="宋体" w:hAnsi="宋体"/>
                <w:color w:val="auto"/>
                <w:szCs w:val="44"/>
                <w:highlight w:val="none"/>
              </w:rPr>
            </w:pPr>
          </w:p>
        </w:tc>
        <w:tc>
          <w:tcPr>
            <w:tcW w:w="595" w:type="dxa"/>
            <w:vAlign w:val="center"/>
          </w:tcPr>
          <w:p w14:paraId="025A3846">
            <w:pPr>
              <w:jc w:val="center"/>
              <w:rPr>
                <w:rFonts w:ascii="宋体" w:hAnsi="宋体"/>
                <w:color w:val="auto"/>
                <w:szCs w:val="44"/>
                <w:highlight w:val="none"/>
              </w:rPr>
            </w:pPr>
          </w:p>
        </w:tc>
        <w:tc>
          <w:tcPr>
            <w:tcW w:w="595" w:type="dxa"/>
            <w:vAlign w:val="center"/>
          </w:tcPr>
          <w:p w14:paraId="16653E43">
            <w:pPr>
              <w:jc w:val="center"/>
              <w:rPr>
                <w:rFonts w:ascii="宋体" w:hAnsi="宋体"/>
                <w:color w:val="auto"/>
                <w:szCs w:val="44"/>
                <w:highlight w:val="none"/>
              </w:rPr>
            </w:pPr>
          </w:p>
        </w:tc>
        <w:tc>
          <w:tcPr>
            <w:tcW w:w="595" w:type="dxa"/>
            <w:vAlign w:val="center"/>
          </w:tcPr>
          <w:p w14:paraId="665712A5">
            <w:pPr>
              <w:jc w:val="center"/>
              <w:rPr>
                <w:rFonts w:ascii="宋体" w:hAnsi="宋体"/>
                <w:color w:val="auto"/>
                <w:szCs w:val="44"/>
                <w:highlight w:val="none"/>
              </w:rPr>
            </w:pPr>
          </w:p>
        </w:tc>
        <w:tc>
          <w:tcPr>
            <w:tcW w:w="595" w:type="dxa"/>
            <w:vAlign w:val="center"/>
          </w:tcPr>
          <w:p w14:paraId="4DFEC335">
            <w:pPr>
              <w:jc w:val="center"/>
              <w:rPr>
                <w:rFonts w:ascii="宋体" w:hAnsi="宋体"/>
                <w:color w:val="auto"/>
                <w:szCs w:val="44"/>
                <w:highlight w:val="none"/>
              </w:rPr>
            </w:pPr>
          </w:p>
        </w:tc>
        <w:tc>
          <w:tcPr>
            <w:tcW w:w="596" w:type="dxa"/>
            <w:vAlign w:val="center"/>
          </w:tcPr>
          <w:p w14:paraId="01128124">
            <w:pPr>
              <w:jc w:val="center"/>
              <w:rPr>
                <w:rFonts w:ascii="宋体" w:hAnsi="宋体"/>
                <w:color w:val="auto"/>
                <w:szCs w:val="44"/>
                <w:highlight w:val="none"/>
              </w:rPr>
            </w:pPr>
          </w:p>
        </w:tc>
        <w:tc>
          <w:tcPr>
            <w:tcW w:w="734" w:type="dxa"/>
            <w:vAlign w:val="center"/>
          </w:tcPr>
          <w:p w14:paraId="3F7F11D1">
            <w:pPr>
              <w:jc w:val="center"/>
              <w:rPr>
                <w:rFonts w:ascii="宋体" w:hAnsi="宋体"/>
                <w:color w:val="auto"/>
                <w:szCs w:val="44"/>
                <w:highlight w:val="none"/>
              </w:rPr>
            </w:pPr>
          </w:p>
        </w:tc>
      </w:tr>
      <w:tr w14:paraId="775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2594D0A9">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2A7E87C">
            <w:pPr>
              <w:jc w:val="left"/>
              <w:rPr>
                <w:rFonts w:ascii="宋体" w:hAnsi="宋体"/>
                <w:color w:val="auto"/>
                <w:szCs w:val="44"/>
                <w:highlight w:val="none"/>
              </w:rPr>
            </w:pPr>
          </w:p>
          <w:p w14:paraId="628DAFF8">
            <w:pPr>
              <w:jc w:val="left"/>
              <w:rPr>
                <w:rFonts w:ascii="宋体" w:hAnsi="宋体"/>
                <w:color w:val="auto"/>
                <w:szCs w:val="44"/>
                <w:highlight w:val="none"/>
              </w:rPr>
            </w:pPr>
          </w:p>
          <w:p w14:paraId="0717357F">
            <w:pPr>
              <w:jc w:val="left"/>
              <w:rPr>
                <w:rFonts w:ascii="宋体" w:hAnsi="宋体"/>
                <w:color w:val="auto"/>
                <w:szCs w:val="44"/>
                <w:highlight w:val="none"/>
              </w:rPr>
            </w:pPr>
          </w:p>
          <w:p w14:paraId="133E7656">
            <w:pPr>
              <w:jc w:val="left"/>
              <w:rPr>
                <w:rFonts w:ascii="宋体" w:hAnsi="宋体"/>
                <w:color w:val="auto"/>
                <w:szCs w:val="44"/>
                <w:highlight w:val="none"/>
              </w:rPr>
            </w:pPr>
          </w:p>
          <w:p w14:paraId="45F9C27E">
            <w:pPr>
              <w:jc w:val="left"/>
              <w:rPr>
                <w:rFonts w:ascii="宋体" w:hAnsi="宋体"/>
                <w:color w:val="auto"/>
                <w:szCs w:val="44"/>
                <w:highlight w:val="none"/>
              </w:rPr>
            </w:pPr>
          </w:p>
          <w:p w14:paraId="459261B1">
            <w:pPr>
              <w:jc w:val="center"/>
              <w:rPr>
                <w:rFonts w:ascii="宋体" w:hAnsi="宋体"/>
                <w:color w:val="auto"/>
                <w:szCs w:val="44"/>
                <w:highlight w:val="none"/>
              </w:rPr>
            </w:pPr>
          </w:p>
        </w:tc>
      </w:tr>
    </w:tbl>
    <w:p w14:paraId="3D55B37D">
      <w:pPr>
        <w:spacing w:line="400" w:lineRule="exact"/>
        <w:ind w:left="840" w:leftChars="400" w:firstLine="3780" w:firstLineChars="1800"/>
        <w:rPr>
          <w:rFonts w:ascii="宋体" w:hAnsi="宋体"/>
          <w:color w:val="auto"/>
          <w:szCs w:val="44"/>
          <w:highlight w:val="none"/>
        </w:rPr>
      </w:pPr>
      <w:r>
        <w:rPr>
          <w:rFonts w:hint="eastAsia" w:ascii="宋体" w:hAnsi="宋体"/>
          <w:color w:val="auto"/>
          <w:szCs w:val="44"/>
          <w:highlight w:val="none"/>
        </w:rPr>
        <w:t xml:space="preserve">          日期：    年    月    日</w:t>
      </w:r>
    </w:p>
    <w:p w14:paraId="4A563AD5">
      <w:pPr>
        <w:widowControl/>
        <w:jc w:val="left"/>
        <w:rPr>
          <w:rFonts w:ascii="宋体" w:hAnsi="宋体"/>
          <w:color w:val="auto"/>
          <w:szCs w:val="44"/>
          <w:highlight w:val="none"/>
        </w:rPr>
      </w:pPr>
      <w:r>
        <w:rPr>
          <w:rFonts w:ascii="宋体" w:hAnsi="宋体"/>
          <w:color w:val="auto"/>
          <w:szCs w:val="44"/>
          <w:highlight w:val="none"/>
        </w:rPr>
        <w:br w:type="page"/>
      </w:r>
    </w:p>
    <w:p w14:paraId="5EE5D572">
      <w:pPr>
        <w:pStyle w:val="32"/>
        <w:ind w:firstLine="118"/>
        <w:rPr>
          <w:color w:val="auto"/>
          <w:highlight w:val="none"/>
        </w:rPr>
      </w:pPr>
      <w:bookmarkStart w:id="886" w:name="_Toc256000137"/>
      <w:bookmarkStart w:id="887" w:name="_Toc25299"/>
      <w:bookmarkStart w:id="888" w:name="_Toc148860663"/>
      <w:bookmarkStart w:id="889" w:name="_Toc164716307"/>
      <w:r>
        <w:rPr>
          <w:rFonts w:hint="eastAsia"/>
          <w:color w:val="auto"/>
          <w:highlight w:val="none"/>
        </w:rPr>
        <w:t>附表A-5：资格评审记录表</w:t>
      </w:r>
      <w:bookmarkEnd w:id="886"/>
      <w:bookmarkEnd w:id="887"/>
      <w:bookmarkEnd w:id="888"/>
      <w:bookmarkEnd w:id="889"/>
    </w:p>
    <w:p w14:paraId="1420C5C4">
      <w:pPr>
        <w:rPr>
          <w:color w:val="auto"/>
          <w:highlight w:val="none"/>
        </w:rPr>
      </w:pPr>
      <w:bookmarkStart w:id="890" w:name="_Hlk145502887"/>
      <w:bookmarkStart w:id="891" w:name="_Toc145516058"/>
    </w:p>
    <w:p w14:paraId="31DD0046">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892" w:name="_Toc149060937"/>
      <w:bookmarkStart w:id="893" w:name="_Toc15179"/>
      <w:bookmarkStart w:id="894" w:name="_Toc149054704"/>
      <w:bookmarkStart w:id="895" w:name="_Toc148860664"/>
      <w:r>
        <w:rPr>
          <w:rFonts w:hint="eastAsia" w:ascii="黑体" w:hAnsi="黑体" w:eastAsia="黑体"/>
          <w:bCs/>
          <w:color w:val="auto"/>
          <w:sz w:val="36"/>
          <w:szCs w:val="36"/>
          <w:highlight w:val="none"/>
        </w:rPr>
        <w:t>资格评审</w:t>
      </w:r>
      <w:bookmarkEnd w:id="890"/>
      <w:r>
        <w:rPr>
          <w:rFonts w:hint="eastAsia" w:ascii="黑体" w:hAnsi="黑体" w:eastAsia="黑体"/>
          <w:bCs/>
          <w:color w:val="auto"/>
          <w:sz w:val="36"/>
          <w:szCs w:val="36"/>
          <w:highlight w:val="none"/>
        </w:rPr>
        <w:t>记录表</w:t>
      </w:r>
      <w:bookmarkEnd w:id="891"/>
      <w:bookmarkEnd w:id="892"/>
      <w:bookmarkEnd w:id="893"/>
      <w:bookmarkEnd w:id="894"/>
      <w:bookmarkEnd w:id="895"/>
    </w:p>
    <w:p w14:paraId="1E4D0D94">
      <w:pPr>
        <w:rPr>
          <w:rFonts w:ascii="宋体" w:hAnsi="宋体"/>
          <w:color w:val="auto"/>
          <w:szCs w:val="44"/>
          <w:highlight w:val="none"/>
        </w:rPr>
      </w:pPr>
      <w:r>
        <w:rPr>
          <w:rFonts w:hint="eastAsia" w:ascii="宋体" w:hAnsi="宋体"/>
          <w:color w:val="auto"/>
          <w:szCs w:val="44"/>
          <w:highlight w:val="none"/>
        </w:rPr>
        <w:t>标段名称：</w:t>
      </w:r>
    </w:p>
    <w:p w14:paraId="1F2185B1">
      <w:pPr>
        <w:rPr>
          <w:rFonts w:ascii="宋体" w:hAnsi="宋体"/>
          <w:color w:val="auto"/>
          <w:szCs w:val="44"/>
          <w:highlight w:val="none"/>
        </w:rPr>
      </w:pPr>
      <w:r>
        <w:rPr>
          <w:rFonts w:hint="eastAsia"/>
          <w:color w:val="auto"/>
          <w:szCs w:val="44"/>
          <w:highlight w:val="none"/>
        </w:rPr>
        <w:t>标段唯一标识码：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42"/>
        <w:gridCol w:w="627"/>
        <w:gridCol w:w="627"/>
        <w:gridCol w:w="627"/>
        <w:gridCol w:w="626"/>
        <w:gridCol w:w="626"/>
        <w:gridCol w:w="626"/>
        <w:gridCol w:w="626"/>
        <w:gridCol w:w="626"/>
        <w:gridCol w:w="627"/>
        <w:gridCol w:w="760"/>
      </w:tblGrid>
      <w:tr w14:paraId="153C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Merge w:val="restart"/>
            <w:vAlign w:val="center"/>
          </w:tcPr>
          <w:p w14:paraId="795E74D5">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42" w:type="dxa"/>
            <w:vMerge w:val="restart"/>
            <w:vAlign w:val="center"/>
          </w:tcPr>
          <w:p w14:paraId="542B2B5A">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638" w:type="dxa"/>
            <w:gridSpan w:val="9"/>
            <w:vAlign w:val="center"/>
          </w:tcPr>
          <w:p w14:paraId="5E7AA71C">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60" w:type="dxa"/>
            <w:vMerge w:val="restart"/>
            <w:vAlign w:val="center"/>
          </w:tcPr>
          <w:p w14:paraId="550117B6">
            <w:pPr>
              <w:jc w:val="center"/>
              <w:rPr>
                <w:rFonts w:ascii="宋体" w:hAnsi="宋体"/>
                <w:b/>
                <w:bCs/>
                <w:color w:val="auto"/>
                <w:szCs w:val="44"/>
                <w:highlight w:val="none"/>
              </w:rPr>
            </w:pPr>
            <w:r>
              <w:rPr>
                <w:rFonts w:ascii="宋体" w:hAnsi="宋体"/>
                <w:b/>
                <w:bCs/>
                <w:color w:val="auto"/>
                <w:szCs w:val="21"/>
                <w:highlight w:val="none"/>
              </w:rPr>
              <w:t>评审结论</w:t>
            </w:r>
          </w:p>
        </w:tc>
      </w:tr>
      <w:tr w14:paraId="611F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Merge w:val="continue"/>
            <w:vAlign w:val="center"/>
          </w:tcPr>
          <w:p w14:paraId="5560A43C">
            <w:pPr>
              <w:jc w:val="center"/>
              <w:rPr>
                <w:rFonts w:ascii="宋体" w:hAnsi="宋体"/>
                <w:color w:val="auto"/>
                <w:szCs w:val="44"/>
                <w:highlight w:val="none"/>
              </w:rPr>
            </w:pPr>
          </w:p>
        </w:tc>
        <w:tc>
          <w:tcPr>
            <w:tcW w:w="1342" w:type="dxa"/>
            <w:vMerge w:val="continue"/>
          </w:tcPr>
          <w:p w14:paraId="329D90C4">
            <w:pPr>
              <w:jc w:val="center"/>
              <w:rPr>
                <w:rFonts w:ascii="宋体" w:hAnsi="宋体"/>
                <w:color w:val="auto"/>
                <w:szCs w:val="44"/>
                <w:highlight w:val="none"/>
              </w:rPr>
            </w:pPr>
          </w:p>
        </w:tc>
        <w:tc>
          <w:tcPr>
            <w:tcW w:w="627" w:type="dxa"/>
            <w:vAlign w:val="center"/>
          </w:tcPr>
          <w:p w14:paraId="6AFF8904">
            <w:pPr>
              <w:jc w:val="center"/>
              <w:rPr>
                <w:rFonts w:ascii="宋体" w:hAnsi="宋体"/>
                <w:color w:val="auto"/>
                <w:szCs w:val="44"/>
                <w:highlight w:val="none"/>
              </w:rPr>
            </w:pPr>
          </w:p>
        </w:tc>
        <w:tc>
          <w:tcPr>
            <w:tcW w:w="627" w:type="dxa"/>
            <w:vAlign w:val="center"/>
          </w:tcPr>
          <w:p w14:paraId="3CB6F0F5">
            <w:pPr>
              <w:jc w:val="center"/>
              <w:rPr>
                <w:rFonts w:ascii="宋体" w:hAnsi="宋体"/>
                <w:color w:val="auto"/>
                <w:szCs w:val="44"/>
                <w:highlight w:val="none"/>
              </w:rPr>
            </w:pPr>
          </w:p>
        </w:tc>
        <w:tc>
          <w:tcPr>
            <w:tcW w:w="627" w:type="dxa"/>
            <w:vAlign w:val="center"/>
          </w:tcPr>
          <w:p w14:paraId="352A7CB3">
            <w:pPr>
              <w:jc w:val="center"/>
              <w:rPr>
                <w:rFonts w:ascii="宋体" w:hAnsi="宋体"/>
                <w:color w:val="auto"/>
                <w:szCs w:val="44"/>
                <w:highlight w:val="none"/>
              </w:rPr>
            </w:pPr>
          </w:p>
        </w:tc>
        <w:tc>
          <w:tcPr>
            <w:tcW w:w="626" w:type="dxa"/>
            <w:vAlign w:val="center"/>
          </w:tcPr>
          <w:p w14:paraId="711F6043">
            <w:pPr>
              <w:jc w:val="center"/>
              <w:rPr>
                <w:rFonts w:ascii="宋体" w:hAnsi="宋体"/>
                <w:color w:val="auto"/>
                <w:szCs w:val="44"/>
                <w:highlight w:val="none"/>
              </w:rPr>
            </w:pPr>
          </w:p>
        </w:tc>
        <w:tc>
          <w:tcPr>
            <w:tcW w:w="626" w:type="dxa"/>
            <w:vAlign w:val="center"/>
          </w:tcPr>
          <w:p w14:paraId="245FF64E">
            <w:pPr>
              <w:jc w:val="center"/>
              <w:rPr>
                <w:rFonts w:ascii="宋体" w:hAnsi="宋体"/>
                <w:color w:val="auto"/>
                <w:szCs w:val="44"/>
                <w:highlight w:val="none"/>
              </w:rPr>
            </w:pPr>
          </w:p>
        </w:tc>
        <w:tc>
          <w:tcPr>
            <w:tcW w:w="626" w:type="dxa"/>
            <w:vAlign w:val="center"/>
          </w:tcPr>
          <w:p w14:paraId="533C0DF7">
            <w:pPr>
              <w:jc w:val="center"/>
              <w:rPr>
                <w:rFonts w:ascii="宋体" w:hAnsi="宋体"/>
                <w:color w:val="auto"/>
                <w:szCs w:val="44"/>
                <w:highlight w:val="none"/>
              </w:rPr>
            </w:pPr>
          </w:p>
        </w:tc>
        <w:tc>
          <w:tcPr>
            <w:tcW w:w="626" w:type="dxa"/>
            <w:vAlign w:val="center"/>
          </w:tcPr>
          <w:p w14:paraId="5931E194">
            <w:pPr>
              <w:jc w:val="center"/>
              <w:rPr>
                <w:rFonts w:ascii="宋体" w:hAnsi="宋体"/>
                <w:color w:val="auto"/>
                <w:szCs w:val="44"/>
                <w:highlight w:val="none"/>
              </w:rPr>
            </w:pPr>
          </w:p>
        </w:tc>
        <w:tc>
          <w:tcPr>
            <w:tcW w:w="626" w:type="dxa"/>
            <w:vAlign w:val="center"/>
          </w:tcPr>
          <w:p w14:paraId="41B5E537">
            <w:pPr>
              <w:jc w:val="center"/>
              <w:rPr>
                <w:rFonts w:ascii="宋体" w:hAnsi="宋体"/>
                <w:color w:val="auto"/>
                <w:szCs w:val="44"/>
                <w:highlight w:val="none"/>
              </w:rPr>
            </w:pPr>
          </w:p>
        </w:tc>
        <w:tc>
          <w:tcPr>
            <w:tcW w:w="627" w:type="dxa"/>
            <w:vAlign w:val="center"/>
          </w:tcPr>
          <w:p w14:paraId="2F3EFDD1">
            <w:pPr>
              <w:jc w:val="center"/>
              <w:rPr>
                <w:rFonts w:ascii="宋体" w:hAnsi="宋体"/>
                <w:color w:val="auto"/>
                <w:szCs w:val="44"/>
                <w:highlight w:val="none"/>
              </w:rPr>
            </w:pPr>
          </w:p>
        </w:tc>
        <w:tc>
          <w:tcPr>
            <w:tcW w:w="760" w:type="dxa"/>
            <w:vMerge w:val="continue"/>
            <w:vAlign w:val="center"/>
          </w:tcPr>
          <w:p w14:paraId="25F2973E">
            <w:pPr>
              <w:jc w:val="center"/>
              <w:rPr>
                <w:rFonts w:ascii="宋体" w:hAnsi="宋体"/>
                <w:color w:val="auto"/>
                <w:szCs w:val="44"/>
                <w:highlight w:val="none"/>
              </w:rPr>
            </w:pPr>
          </w:p>
        </w:tc>
      </w:tr>
      <w:tr w14:paraId="7E99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5608973">
            <w:pPr>
              <w:jc w:val="center"/>
              <w:rPr>
                <w:rFonts w:ascii="宋体" w:hAnsi="宋体"/>
                <w:color w:val="auto"/>
                <w:szCs w:val="44"/>
                <w:highlight w:val="none"/>
              </w:rPr>
            </w:pPr>
            <w:r>
              <w:rPr>
                <w:rFonts w:hint="eastAsia" w:ascii="宋体" w:hAnsi="宋体"/>
                <w:color w:val="auto"/>
                <w:szCs w:val="44"/>
                <w:highlight w:val="none"/>
              </w:rPr>
              <w:t>1</w:t>
            </w:r>
          </w:p>
        </w:tc>
        <w:tc>
          <w:tcPr>
            <w:tcW w:w="1342" w:type="dxa"/>
            <w:vAlign w:val="center"/>
          </w:tcPr>
          <w:p w14:paraId="31AC7EEB">
            <w:pPr>
              <w:jc w:val="center"/>
              <w:rPr>
                <w:rFonts w:ascii="宋体" w:hAnsi="宋体"/>
                <w:color w:val="auto"/>
                <w:szCs w:val="21"/>
                <w:highlight w:val="none"/>
              </w:rPr>
            </w:pPr>
          </w:p>
        </w:tc>
        <w:tc>
          <w:tcPr>
            <w:tcW w:w="627" w:type="dxa"/>
            <w:vAlign w:val="center"/>
          </w:tcPr>
          <w:p w14:paraId="3C88240F">
            <w:pPr>
              <w:jc w:val="center"/>
              <w:rPr>
                <w:rFonts w:ascii="宋体" w:hAnsi="宋体"/>
                <w:color w:val="auto"/>
                <w:szCs w:val="21"/>
                <w:highlight w:val="none"/>
              </w:rPr>
            </w:pPr>
          </w:p>
        </w:tc>
        <w:tc>
          <w:tcPr>
            <w:tcW w:w="627" w:type="dxa"/>
            <w:vAlign w:val="center"/>
          </w:tcPr>
          <w:p w14:paraId="733DB7BB">
            <w:pPr>
              <w:jc w:val="center"/>
              <w:rPr>
                <w:rFonts w:ascii="宋体" w:hAnsi="宋体"/>
                <w:color w:val="auto"/>
                <w:szCs w:val="44"/>
                <w:highlight w:val="none"/>
              </w:rPr>
            </w:pPr>
          </w:p>
        </w:tc>
        <w:tc>
          <w:tcPr>
            <w:tcW w:w="627" w:type="dxa"/>
            <w:vAlign w:val="center"/>
          </w:tcPr>
          <w:p w14:paraId="7E242633">
            <w:pPr>
              <w:jc w:val="center"/>
              <w:rPr>
                <w:rFonts w:ascii="宋体" w:hAnsi="宋体"/>
                <w:color w:val="auto"/>
                <w:szCs w:val="44"/>
                <w:highlight w:val="none"/>
              </w:rPr>
            </w:pPr>
          </w:p>
        </w:tc>
        <w:tc>
          <w:tcPr>
            <w:tcW w:w="626" w:type="dxa"/>
            <w:vAlign w:val="center"/>
          </w:tcPr>
          <w:p w14:paraId="70811A08">
            <w:pPr>
              <w:jc w:val="center"/>
              <w:rPr>
                <w:rFonts w:ascii="宋体" w:hAnsi="宋体"/>
                <w:color w:val="auto"/>
                <w:szCs w:val="44"/>
                <w:highlight w:val="none"/>
              </w:rPr>
            </w:pPr>
          </w:p>
        </w:tc>
        <w:tc>
          <w:tcPr>
            <w:tcW w:w="626" w:type="dxa"/>
            <w:vAlign w:val="center"/>
          </w:tcPr>
          <w:p w14:paraId="75277DA3">
            <w:pPr>
              <w:jc w:val="center"/>
              <w:rPr>
                <w:rFonts w:ascii="宋体" w:hAnsi="宋体"/>
                <w:color w:val="auto"/>
                <w:szCs w:val="44"/>
                <w:highlight w:val="none"/>
              </w:rPr>
            </w:pPr>
          </w:p>
        </w:tc>
        <w:tc>
          <w:tcPr>
            <w:tcW w:w="626" w:type="dxa"/>
            <w:vAlign w:val="center"/>
          </w:tcPr>
          <w:p w14:paraId="373FA844">
            <w:pPr>
              <w:jc w:val="center"/>
              <w:rPr>
                <w:rFonts w:ascii="宋体" w:hAnsi="宋体"/>
                <w:color w:val="auto"/>
                <w:szCs w:val="44"/>
                <w:highlight w:val="none"/>
              </w:rPr>
            </w:pPr>
          </w:p>
        </w:tc>
        <w:tc>
          <w:tcPr>
            <w:tcW w:w="626" w:type="dxa"/>
            <w:vAlign w:val="center"/>
          </w:tcPr>
          <w:p w14:paraId="1857BE1A">
            <w:pPr>
              <w:jc w:val="center"/>
              <w:rPr>
                <w:rFonts w:ascii="宋体" w:hAnsi="宋体"/>
                <w:color w:val="auto"/>
                <w:szCs w:val="44"/>
                <w:highlight w:val="none"/>
              </w:rPr>
            </w:pPr>
          </w:p>
        </w:tc>
        <w:tc>
          <w:tcPr>
            <w:tcW w:w="626" w:type="dxa"/>
            <w:vAlign w:val="center"/>
          </w:tcPr>
          <w:p w14:paraId="4D95337A">
            <w:pPr>
              <w:jc w:val="center"/>
              <w:rPr>
                <w:rFonts w:ascii="宋体" w:hAnsi="宋体"/>
                <w:color w:val="auto"/>
                <w:szCs w:val="44"/>
                <w:highlight w:val="none"/>
              </w:rPr>
            </w:pPr>
          </w:p>
        </w:tc>
        <w:tc>
          <w:tcPr>
            <w:tcW w:w="627" w:type="dxa"/>
            <w:vAlign w:val="center"/>
          </w:tcPr>
          <w:p w14:paraId="4033DFF5">
            <w:pPr>
              <w:jc w:val="center"/>
              <w:rPr>
                <w:rFonts w:ascii="宋体" w:hAnsi="宋体"/>
                <w:color w:val="auto"/>
                <w:szCs w:val="44"/>
                <w:highlight w:val="none"/>
              </w:rPr>
            </w:pPr>
          </w:p>
        </w:tc>
        <w:tc>
          <w:tcPr>
            <w:tcW w:w="760" w:type="dxa"/>
            <w:vAlign w:val="center"/>
          </w:tcPr>
          <w:p w14:paraId="29DECEB3">
            <w:pPr>
              <w:jc w:val="center"/>
              <w:rPr>
                <w:rFonts w:ascii="宋体" w:hAnsi="宋体"/>
                <w:color w:val="auto"/>
                <w:szCs w:val="44"/>
                <w:highlight w:val="none"/>
              </w:rPr>
            </w:pPr>
          </w:p>
        </w:tc>
      </w:tr>
      <w:tr w14:paraId="47CA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FA986D1">
            <w:pPr>
              <w:jc w:val="center"/>
              <w:rPr>
                <w:rFonts w:ascii="宋体" w:hAnsi="宋体"/>
                <w:color w:val="auto"/>
                <w:szCs w:val="44"/>
                <w:highlight w:val="none"/>
              </w:rPr>
            </w:pPr>
            <w:r>
              <w:rPr>
                <w:rFonts w:hint="eastAsia" w:ascii="宋体" w:hAnsi="宋体"/>
                <w:color w:val="auto"/>
                <w:szCs w:val="44"/>
                <w:highlight w:val="none"/>
              </w:rPr>
              <w:t>2</w:t>
            </w:r>
          </w:p>
        </w:tc>
        <w:tc>
          <w:tcPr>
            <w:tcW w:w="1342" w:type="dxa"/>
            <w:vAlign w:val="center"/>
          </w:tcPr>
          <w:p w14:paraId="24C988A9">
            <w:pPr>
              <w:jc w:val="center"/>
              <w:rPr>
                <w:rFonts w:ascii="宋体" w:hAnsi="宋体"/>
                <w:color w:val="auto"/>
                <w:szCs w:val="44"/>
                <w:highlight w:val="none"/>
              </w:rPr>
            </w:pPr>
          </w:p>
        </w:tc>
        <w:tc>
          <w:tcPr>
            <w:tcW w:w="627" w:type="dxa"/>
            <w:vAlign w:val="center"/>
          </w:tcPr>
          <w:p w14:paraId="3291FB0A">
            <w:pPr>
              <w:jc w:val="center"/>
              <w:rPr>
                <w:color w:val="auto"/>
                <w:highlight w:val="none"/>
              </w:rPr>
            </w:pPr>
          </w:p>
        </w:tc>
        <w:tc>
          <w:tcPr>
            <w:tcW w:w="627" w:type="dxa"/>
            <w:vAlign w:val="center"/>
          </w:tcPr>
          <w:p w14:paraId="6F79C2E6">
            <w:pPr>
              <w:jc w:val="center"/>
              <w:rPr>
                <w:rFonts w:ascii="宋体" w:hAnsi="宋体"/>
                <w:color w:val="auto"/>
                <w:szCs w:val="44"/>
                <w:highlight w:val="none"/>
              </w:rPr>
            </w:pPr>
          </w:p>
        </w:tc>
        <w:tc>
          <w:tcPr>
            <w:tcW w:w="627" w:type="dxa"/>
            <w:vAlign w:val="center"/>
          </w:tcPr>
          <w:p w14:paraId="42A20022">
            <w:pPr>
              <w:jc w:val="center"/>
              <w:rPr>
                <w:rFonts w:ascii="宋体" w:hAnsi="宋体"/>
                <w:color w:val="auto"/>
                <w:szCs w:val="44"/>
                <w:highlight w:val="none"/>
              </w:rPr>
            </w:pPr>
          </w:p>
        </w:tc>
        <w:tc>
          <w:tcPr>
            <w:tcW w:w="626" w:type="dxa"/>
            <w:vAlign w:val="center"/>
          </w:tcPr>
          <w:p w14:paraId="0F802DD5">
            <w:pPr>
              <w:jc w:val="center"/>
              <w:rPr>
                <w:rFonts w:ascii="宋体" w:hAnsi="宋体"/>
                <w:color w:val="auto"/>
                <w:szCs w:val="44"/>
                <w:highlight w:val="none"/>
              </w:rPr>
            </w:pPr>
          </w:p>
        </w:tc>
        <w:tc>
          <w:tcPr>
            <w:tcW w:w="626" w:type="dxa"/>
            <w:vAlign w:val="center"/>
          </w:tcPr>
          <w:p w14:paraId="0A88C690">
            <w:pPr>
              <w:jc w:val="center"/>
              <w:rPr>
                <w:rFonts w:ascii="宋体" w:hAnsi="宋体"/>
                <w:color w:val="auto"/>
                <w:szCs w:val="44"/>
                <w:highlight w:val="none"/>
              </w:rPr>
            </w:pPr>
          </w:p>
        </w:tc>
        <w:tc>
          <w:tcPr>
            <w:tcW w:w="626" w:type="dxa"/>
            <w:vAlign w:val="center"/>
          </w:tcPr>
          <w:p w14:paraId="08AD7F75">
            <w:pPr>
              <w:jc w:val="center"/>
              <w:rPr>
                <w:rFonts w:ascii="宋体" w:hAnsi="宋体"/>
                <w:color w:val="auto"/>
                <w:szCs w:val="44"/>
                <w:highlight w:val="none"/>
              </w:rPr>
            </w:pPr>
          </w:p>
        </w:tc>
        <w:tc>
          <w:tcPr>
            <w:tcW w:w="626" w:type="dxa"/>
            <w:vAlign w:val="center"/>
          </w:tcPr>
          <w:p w14:paraId="5FC7F8A5">
            <w:pPr>
              <w:jc w:val="center"/>
              <w:rPr>
                <w:rFonts w:ascii="宋体" w:hAnsi="宋体"/>
                <w:color w:val="auto"/>
                <w:szCs w:val="44"/>
                <w:highlight w:val="none"/>
              </w:rPr>
            </w:pPr>
          </w:p>
        </w:tc>
        <w:tc>
          <w:tcPr>
            <w:tcW w:w="626" w:type="dxa"/>
            <w:vAlign w:val="center"/>
          </w:tcPr>
          <w:p w14:paraId="6780DE04">
            <w:pPr>
              <w:jc w:val="center"/>
              <w:rPr>
                <w:rFonts w:ascii="宋体" w:hAnsi="宋体"/>
                <w:color w:val="auto"/>
                <w:szCs w:val="44"/>
                <w:highlight w:val="none"/>
              </w:rPr>
            </w:pPr>
          </w:p>
        </w:tc>
        <w:tc>
          <w:tcPr>
            <w:tcW w:w="627" w:type="dxa"/>
            <w:vAlign w:val="center"/>
          </w:tcPr>
          <w:p w14:paraId="3335B07D">
            <w:pPr>
              <w:jc w:val="center"/>
              <w:rPr>
                <w:rFonts w:ascii="宋体" w:hAnsi="宋体"/>
                <w:color w:val="auto"/>
                <w:szCs w:val="44"/>
                <w:highlight w:val="none"/>
              </w:rPr>
            </w:pPr>
          </w:p>
        </w:tc>
        <w:tc>
          <w:tcPr>
            <w:tcW w:w="760" w:type="dxa"/>
            <w:vAlign w:val="center"/>
          </w:tcPr>
          <w:p w14:paraId="24C6FEE8">
            <w:pPr>
              <w:jc w:val="center"/>
              <w:rPr>
                <w:rFonts w:ascii="宋体" w:hAnsi="宋体"/>
                <w:color w:val="auto"/>
                <w:szCs w:val="44"/>
                <w:highlight w:val="none"/>
              </w:rPr>
            </w:pPr>
          </w:p>
        </w:tc>
      </w:tr>
      <w:tr w14:paraId="263A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643429B">
            <w:pPr>
              <w:jc w:val="center"/>
              <w:rPr>
                <w:rFonts w:ascii="宋体" w:hAnsi="宋体"/>
                <w:color w:val="auto"/>
                <w:szCs w:val="44"/>
                <w:highlight w:val="none"/>
              </w:rPr>
            </w:pPr>
            <w:r>
              <w:rPr>
                <w:rFonts w:hint="eastAsia" w:ascii="宋体" w:hAnsi="宋体"/>
                <w:color w:val="auto"/>
                <w:szCs w:val="44"/>
                <w:highlight w:val="none"/>
              </w:rPr>
              <w:t>3</w:t>
            </w:r>
          </w:p>
        </w:tc>
        <w:tc>
          <w:tcPr>
            <w:tcW w:w="1342" w:type="dxa"/>
            <w:vAlign w:val="center"/>
          </w:tcPr>
          <w:p w14:paraId="618EBE6F">
            <w:pPr>
              <w:jc w:val="center"/>
              <w:rPr>
                <w:rFonts w:ascii="宋体" w:hAnsi="宋体"/>
                <w:color w:val="auto"/>
                <w:szCs w:val="44"/>
                <w:highlight w:val="none"/>
              </w:rPr>
            </w:pPr>
          </w:p>
        </w:tc>
        <w:tc>
          <w:tcPr>
            <w:tcW w:w="627" w:type="dxa"/>
            <w:vAlign w:val="center"/>
          </w:tcPr>
          <w:p w14:paraId="2EA34422">
            <w:pPr>
              <w:jc w:val="center"/>
              <w:rPr>
                <w:color w:val="auto"/>
                <w:highlight w:val="none"/>
              </w:rPr>
            </w:pPr>
          </w:p>
        </w:tc>
        <w:tc>
          <w:tcPr>
            <w:tcW w:w="627" w:type="dxa"/>
            <w:vAlign w:val="center"/>
          </w:tcPr>
          <w:p w14:paraId="21347D69">
            <w:pPr>
              <w:jc w:val="center"/>
              <w:rPr>
                <w:rFonts w:ascii="宋体" w:hAnsi="宋体"/>
                <w:color w:val="auto"/>
                <w:szCs w:val="44"/>
                <w:highlight w:val="none"/>
              </w:rPr>
            </w:pPr>
          </w:p>
        </w:tc>
        <w:tc>
          <w:tcPr>
            <w:tcW w:w="627" w:type="dxa"/>
            <w:vAlign w:val="center"/>
          </w:tcPr>
          <w:p w14:paraId="2CF05D52">
            <w:pPr>
              <w:jc w:val="center"/>
              <w:rPr>
                <w:rFonts w:ascii="宋体" w:hAnsi="宋体"/>
                <w:color w:val="auto"/>
                <w:szCs w:val="44"/>
                <w:highlight w:val="none"/>
              </w:rPr>
            </w:pPr>
          </w:p>
        </w:tc>
        <w:tc>
          <w:tcPr>
            <w:tcW w:w="626" w:type="dxa"/>
            <w:vAlign w:val="center"/>
          </w:tcPr>
          <w:p w14:paraId="51F3932B">
            <w:pPr>
              <w:jc w:val="center"/>
              <w:rPr>
                <w:rFonts w:ascii="宋体" w:hAnsi="宋体"/>
                <w:color w:val="auto"/>
                <w:szCs w:val="44"/>
                <w:highlight w:val="none"/>
              </w:rPr>
            </w:pPr>
          </w:p>
        </w:tc>
        <w:tc>
          <w:tcPr>
            <w:tcW w:w="626" w:type="dxa"/>
            <w:vAlign w:val="center"/>
          </w:tcPr>
          <w:p w14:paraId="4425CE82">
            <w:pPr>
              <w:jc w:val="center"/>
              <w:rPr>
                <w:rFonts w:ascii="宋体" w:hAnsi="宋体"/>
                <w:color w:val="auto"/>
                <w:szCs w:val="44"/>
                <w:highlight w:val="none"/>
              </w:rPr>
            </w:pPr>
          </w:p>
        </w:tc>
        <w:tc>
          <w:tcPr>
            <w:tcW w:w="626" w:type="dxa"/>
            <w:vAlign w:val="center"/>
          </w:tcPr>
          <w:p w14:paraId="3BF32087">
            <w:pPr>
              <w:jc w:val="center"/>
              <w:rPr>
                <w:rFonts w:ascii="宋体" w:hAnsi="宋体"/>
                <w:color w:val="auto"/>
                <w:szCs w:val="44"/>
                <w:highlight w:val="none"/>
              </w:rPr>
            </w:pPr>
          </w:p>
        </w:tc>
        <w:tc>
          <w:tcPr>
            <w:tcW w:w="626" w:type="dxa"/>
            <w:vAlign w:val="center"/>
          </w:tcPr>
          <w:p w14:paraId="175544D6">
            <w:pPr>
              <w:jc w:val="center"/>
              <w:rPr>
                <w:rFonts w:ascii="宋体" w:hAnsi="宋体"/>
                <w:color w:val="auto"/>
                <w:szCs w:val="44"/>
                <w:highlight w:val="none"/>
              </w:rPr>
            </w:pPr>
          </w:p>
        </w:tc>
        <w:tc>
          <w:tcPr>
            <w:tcW w:w="626" w:type="dxa"/>
            <w:vAlign w:val="center"/>
          </w:tcPr>
          <w:p w14:paraId="4DF8F98A">
            <w:pPr>
              <w:jc w:val="center"/>
              <w:rPr>
                <w:rFonts w:ascii="宋体" w:hAnsi="宋体"/>
                <w:color w:val="auto"/>
                <w:szCs w:val="44"/>
                <w:highlight w:val="none"/>
              </w:rPr>
            </w:pPr>
          </w:p>
        </w:tc>
        <w:tc>
          <w:tcPr>
            <w:tcW w:w="627" w:type="dxa"/>
            <w:vAlign w:val="center"/>
          </w:tcPr>
          <w:p w14:paraId="29F9CB76">
            <w:pPr>
              <w:jc w:val="center"/>
              <w:rPr>
                <w:rFonts w:ascii="宋体" w:hAnsi="宋体"/>
                <w:color w:val="auto"/>
                <w:szCs w:val="44"/>
                <w:highlight w:val="none"/>
              </w:rPr>
            </w:pPr>
          </w:p>
        </w:tc>
        <w:tc>
          <w:tcPr>
            <w:tcW w:w="760" w:type="dxa"/>
            <w:vAlign w:val="center"/>
          </w:tcPr>
          <w:p w14:paraId="09360D9F">
            <w:pPr>
              <w:jc w:val="center"/>
              <w:rPr>
                <w:rFonts w:ascii="宋体" w:hAnsi="宋体"/>
                <w:color w:val="auto"/>
                <w:szCs w:val="44"/>
                <w:highlight w:val="none"/>
              </w:rPr>
            </w:pPr>
          </w:p>
        </w:tc>
      </w:tr>
      <w:tr w14:paraId="3BED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FC65AD5">
            <w:pPr>
              <w:jc w:val="center"/>
              <w:rPr>
                <w:rFonts w:ascii="宋体" w:hAnsi="宋体"/>
                <w:color w:val="auto"/>
                <w:szCs w:val="44"/>
                <w:highlight w:val="none"/>
              </w:rPr>
            </w:pPr>
            <w:r>
              <w:rPr>
                <w:rFonts w:hint="eastAsia" w:ascii="宋体" w:hAnsi="宋体"/>
                <w:color w:val="auto"/>
                <w:szCs w:val="44"/>
                <w:highlight w:val="none"/>
              </w:rPr>
              <w:t>4</w:t>
            </w:r>
          </w:p>
        </w:tc>
        <w:tc>
          <w:tcPr>
            <w:tcW w:w="1342" w:type="dxa"/>
            <w:vAlign w:val="center"/>
          </w:tcPr>
          <w:p w14:paraId="084B2CF8">
            <w:pPr>
              <w:jc w:val="center"/>
              <w:rPr>
                <w:rFonts w:ascii="宋体" w:hAnsi="宋体"/>
                <w:color w:val="auto"/>
                <w:szCs w:val="44"/>
                <w:highlight w:val="none"/>
              </w:rPr>
            </w:pPr>
          </w:p>
        </w:tc>
        <w:tc>
          <w:tcPr>
            <w:tcW w:w="627" w:type="dxa"/>
            <w:vAlign w:val="center"/>
          </w:tcPr>
          <w:p w14:paraId="55023313">
            <w:pPr>
              <w:jc w:val="center"/>
              <w:rPr>
                <w:color w:val="auto"/>
                <w:highlight w:val="none"/>
              </w:rPr>
            </w:pPr>
          </w:p>
        </w:tc>
        <w:tc>
          <w:tcPr>
            <w:tcW w:w="627" w:type="dxa"/>
            <w:vAlign w:val="center"/>
          </w:tcPr>
          <w:p w14:paraId="460CF68D">
            <w:pPr>
              <w:jc w:val="center"/>
              <w:rPr>
                <w:rFonts w:ascii="宋体" w:hAnsi="宋体"/>
                <w:color w:val="auto"/>
                <w:szCs w:val="44"/>
                <w:highlight w:val="none"/>
              </w:rPr>
            </w:pPr>
          </w:p>
        </w:tc>
        <w:tc>
          <w:tcPr>
            <w:tcW w:w="627" w:type="dxa"/>
            <w:vAlign w:val="center"/>
          </w:tcPr>
          <w:p w14:paraId="023C2253">
            <w:pPr>
              <w:jc w:val="center"/>
              <w:rPr>
                <w:rFonts w:ascii="宋体" w:hAnsi="宋体"/>
                <w:color w:val="auto"/>
                <w:szCs w:val="44"/>
                <w:highlight w:val="none"/>
              </w:rPr>
            </w:pPr>
          </w:p>
        </w:tc>
        <w:tc>
          <w:tcPr>
            <w:tcW w:w="626" w:type="dxa"/>
            <w:vAlign w:val="center"/>
          </w:tcPr>
          <w:p w14:paraId="757A5E37">
            <w:pPr>
              <w:jc w:val="center"/>
              <w:rPr>
                <w:rFonts w:ascii="宋体" w:hAnsi="宋体"/>
                <w:color w:val="auto"/>
                <w:szCs w:val="44"/>
                <w:highlight w:val="none"/>
              </w:rPr>
            </w:pPr>
          </w:p>
        </w:tc>
        <w:tc>
          <w:tcPr>
            <w:tcW w:w="626" w:type="dxa"/>
            <w:vAlign w:val="center"/>
          </w:tcPr>
          <w:p w14:paraId="61FC4264">
            <w:pPr>
              <w:jc w:val="center"/>
              <w:rPr>
                <w:rFonts w:ascii="宋体" w:hAnsi="宋体"/>
                <w:color w:val="auto"/>
                <w:szCs w:val="44"/>
                <w:highlight w:val="none"/>
              </w:rPr>
            </w:pPr>
          </w:p>
        </w:tc>
        <w:tc>
          <w:tcPr>
            <w:tcW w:w="626" w:type="dxa"/>
            <w:vAlign w:val="center"/>
          </w:tcPr>
          <w:p w14:paraId="71A9AB20">
            <w:pPr>
              <w:jc w:val="center"/>
              <w:rPr>
                <w:rFonts w:ascii="宋体" w:hAnsi="宋体"/>
                <w:color w:val="auto"/>
                <w:szCs w:val="44"/>
                <w:highlight w:val="none"/>
              </w:rPr>
            </w:pPr>
          </w:p>
        </w:tc>
        <w:tc>
          <w:tcPr>
            <w:tcW w:w="626" w:type="dxa"/>
            <w:vAlign w:val="center"/>
          </w:tcPr>
          <w:p w14:paraId="4C67334A">
            <w:pPr>
              <w:jc w:val="center"/>
              <w:rPr>
                <w:rFonts w:ascii="宋体" w:hAnsi="宋体"/>
                <w:color w:val="auto"/>
                <w:szCs w:val="44"/>
                <w:highlight w:val="none"/>
              </w:rPr>
            </w:pPr>
          </w:p>
        </w:tc>
        <w:tc>
          <w:tcPr>
            <w:tcW w:w="626" w:type="dxa"/>
            <w:vAlign w:val="center"/>
          </w:tcPr>
          <w:p w14:paraId="662473C3">
            <w:pPr>
              <w:jc w:val="center"/>
              <w:rPr>
                <w:rFonts w:ascii="宋体" w:hAnsi="宋体"/>
                <w:color w:val="auto"/>
                <w:szCs w:val="44"/>
                <w:highlight w:val="none"/>
              </w:rPr>
            </w:pPr>
          </w:p>
        </w:tc>
        <w:tc>
          <w:tcPr>
            <w:tcW w:w="627" w:type="dxa"/>
            <w:vAlign w:val="center"/>
          </w:tcPr>
          <w:p w14:paraId="5FEA7845">
            <w:pPr>
              <w:jc w:val="center"/>
              <w:rPr>
                <w:rFonts w:ascii="宋体" w:hAnsi="宋体"/>
                <w:color w:val="auto"/>
                <w:szCs w:val="44"/>
                <w:highlight w:val="none"/>
              </w:rPr>
            </w:pPr>
          </w:p>
        </w:tc>
        <w:tc>
          <w:tcPr>
            <w:tcW w:w="760" w:type="dxa"/>
            <w:vAlign w:val="center"/>
          </w:tcPr>
          <w:p w14:paraId="4FF5BF24">
            <w:pPr>
              <w:jc w:val="center"/>
              <w:rPr>
                <w:rFonts w:ascii="宋体" w:hAnsi="宋体"/>
                <w:color w:val="auto"/>
                <w:szCs w:val="44"/>
                <w:highlight w:val="none"/>
              </w:rPr>
            </w:pPr>
          </w:p>
        </w:tc>
      </w:tr>
      <w:tr w14:paraId="6ED6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EFB563C">
            <w:pPr>
              <w:jc w:val="center"/>
              <w:rPr>
                <w:rFonts w:ascii="宋体" w:hAnsi="宋体"/>
                <w:color w:val="auto"/>
                <w:szCs w:val="44"/>
                <w:highlight w:val="none"/>
              </w:rPr>
            </w:pPr>
            <w:r>
              <w:rPr>
                <w:rFonts w:hint="eastAsia" w:ascii="宋体" w:hAnsi="宋体"/>
                <w:color w:val="auto"/>
                <w:szCs w:val="44"/>
                <w:highlight w:val="none"/>
              </w:rPr>
              <w:t>5</w:t>
            </w:r>
          </w:p>
        </w:tc>
        <w:tc>
          <w:tcPr>
            <w:tcW w:w="1342" w:type="dxa"/>
            <w:vAlign w:val="center"/>
          </w:tcPr>
          <w:p w14:paraId="43225822">
            <w:pPr>
              <w:jc w:val="center"/>
              <w:rPr>
                <w:rFonts w:ascii="宋体" w:hAnsi="宋体"/>
                <w:color w:val="auto"/>
                <w:szCs w:val="44"/>
                <w:highlight w:val="none"/>
              </w:rPr>
            </w:pPr>
          </w:p>
        </w:tc>
        <w:tc>
          <w:tcPr>
            <w:tcW w:w="627" w:type="dxa"/>
            <w:vAlign w:val="center"/>
          </w:tcPr>
          <w:p w14:paraId="4BE6E2DD">
            <w:pPr>
              <w:jc w:val="center"/>
              <w:rPr>
                <w:color w:val="auto"/>
                <w:highlight w:val="none"/>
              </w:rPr>
            </w:pPr>
          </w:p>
        </w:tc>
        <w:tc>
          <w:tcPr>
            <w:tcW w:w="627" w:type="dxa"/>
            <w:vAlign w:val="center"/>
          </w:tcPr>
          <w:p w14:paraId="4E71F154">
            <w:pPr>
              <w:jc w:val="center"/>
              <w:rPr>
                <w:rFonts w:ascii="宋体" w:hAnsi="宋体"/>
                <w:color w:val="auto"/>
                <w:szCs w:val="44"/>
                <w:highlight w:val="none"/>
              </w:rPr>
            </w:pPr>
          </w:p>
        </w:tc>
        <w:tc>
          <w:tcPr>
            <w:tcW w:w="627" w:type="dxa"/>
            <w:vAlign w:val="center"/>
          </w:tcPr>
          <w:p w14:paraId="4BB20324">
            <w:pPr>
              <w:jc w:val="center"/>
              <w:rPr>
                <w:rFonts w:ascii="宋体" w:hAnsi="宋体"/>
                <w:color w:val="auto"/>
                <w:szCs w:val="44"/>
                <w:highlight w:val="none"/>
              </w:rPr>
            </w:pPr>
          </w:p>
        </w:tc>
        <w:tc>
          <w:tcPr>
            <w:tcW w:w="626" w:type="dxa"/>
            <w:vAlign w:val="center"/>
          </w:tcPr>
          <w:p w14:paraId="0F2F223A">
            <w:pPr>
              <w:jc w:val="center"/>
              <w:rPr>
                <w:rFonts w:ascii="宋体" w:hAnsi="宋体"/>
                <w:color w:val="auto"/>
                <w:szCs w:val="44"/>
                <w:highlight w:val="none"/>
              </w:rPr>
            </w:pPr>
          </w:p>
        </w:tc>
        <w:tc>
          <w:tcPr>
            <w:tcW w:w="626" w:type="dxa"/>
            <w:vAlign w:val="center"/>
          </w:tcPr>
          <w:p w14:paraId="03360268">
            <w:pPr>
              <w:jc w:val="center"/>
              <w:rPr>
                <w:rFonts w:ascii="宋体" w:hAnsi="宋体"/>
                <w:color w:val="auto"/>
                <w:szCs w:val="44"/>
                <w:highlight w:val="none"/>
              </w:rPr>
            </w:pPr>
          </w:p>
        </w:tc>
        <w:tc>
          <w:tcPr>
            <w:tcW w:w="626" w:type="dxa"/>
            <w:vAlign w:val="center"/>
          </w:tcPr>
          <w:p w14:paraId="177A03B2">
            <w:pPr>
              <w:jc w:val="center"/>
              <w:rPr>
                <w:rFonts w:ascii="宋体" w:hAnsi="宋体"/>
                <w:color w:val="auto"/>
                <w:szCs w:val="44"/>
                <w:highlight w:val="none"/>
              </w:rPr>
            </w:pPr>
          </w:p>
        </w:tc>
        <w:tc>
          <w:tcPr>
            <w:tcW w:w="626" w:type="dxa"/>
            <w:vAlign w:val="center"/>
          </w:tcPr>
          <w:p w14:paraId="7315826D">
            <w:pPr>
              <w:jc w:val="center"/>
              <w:rPr>
                <w:rFonts w:ascii="宋体" w:hAnsi="宋体"/>
                <w:color w:val="auto"/>
                <w:szCs w:val="44"/>
                <w:highlight w:val="none"/>
              </w:rPr>
            </w:pPr>
          </w:p>
        </w:tc>
        <w:tc>
          <w:tcPr>
            <w:tcW w:w="626" w:type="dxa"/>
            <w:vAlign w:val="center"/>
          </w:tcPr>
          <w:p w14:paraId="14B14972">
            <w:pPr>
              <w:jc w:val="center"/>
              <w:rPr>
                <w:rFonts w:ascii="宋体" w:hAnsi="宋体"/>
                <w:color w:val="auto"/>
                <w:szCs w:val="44"/>
                <w:highlight w:val="none"/>
              </w:rPr>
            </w:pPr>
          </w:p>
        </w:tc>
        <w:tc>
          <w:tcPr>
            <w:tcW w:w="627" w:type="dxa"/>
            <w:vAlign w:val="center"/>
          </w:tcPr>
          <w:p w14:paraId="6350098F">
            <w:pPr>
              <w:jc w:val="center"/>
              <w:rPr>
                <w:rFonts w:ascii="宋体" w:hAnsi="宋体"/>
                <w:color w:val="auto"/>
                <w:szCs w:val="44"/>
                <w:highlight w:val="none"/>
              </w:rPr>
            </w:pPr>
          </w:p>
        </w:tc>
        <w:tc>
          <w:tcPr>
            <w:tcW w:w="760" w:type="dxa"/>
            <w:vAlign w:val="center"/>
          </w:tcPr>
          <w:p w14:paraId="283A29E3">
            <w:pPr>
              <w:jc w:val="center"/>
              <w:rPr>
                <w:rFonts w:ascii="宋体" w:hAnsi="宋体"/>
                <w:color w:val="auto"/>
                <w:szCs w:val="44"/>
                <w:highlight w:val="none"/>
              </w:rPr>
            </w:pPr>
          </w:p>
        </w:tc>
      </w:tr>
      <w:tr w14:paraId="0C6A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F112B37">
            <w:pPr>
              <w:jc w:val="center"/>
              <w:rPr>
                <w:rFonts w:ascii="宋体" w:hAnsi="宋体"/>
                <w:color w:val="auto"/>
                <w:szCs w:val="44"/>
                <w:highlight w:val="none"/>
              </w:rPr>
            </w:pPr>
            <w:r>
              <w:rPr>
                <w:rFonts w:hint="eastAsia" w:ascii="宋体" w:hAnsi="宋体"/>
                <w:color w:val="auto"/>
                <w:szCs w:val="44"/>
                <w:highlight w:val="none"/>
              </w:rPr>
              <w:t>6</w:t>
            </w:r>
          </w:p>
        </w:tc>
        <w:tc>
          <w:tcPr>
            <w:tcW w:w="1342" w:type="dxa"/>
            <w:vAlign w:val="center"/>
          </w:tcPr>
          <w:p w14:paraId="0836ECF0">
            <w:pPr>
              <w:jc w:val="center"/>
              <w:rPr>
                <w:rFonts w:ascii="宋体" w:hAnsi="宋体"/>
                <w:color w:val="auto"/>
                <w:szCs w:val="44"/>
                <w:highlight w:val="none"/>
              </w:rPr>
            </w:pPr>
          </w:p>
        </w:tc>
        <w:tc>
          <w:tcPr>
            <w:tcW w:w="627" w:type="dxa"/>
            <w:vAlign w:val="center"/>
          </w:tcPr>
          <w:p w14:paraId="5E58DA12">
            <w:pPr>
              <w:jc w:val="center"/>
              <w:rPr>
                <w:color w:val="auto"/>
                <w:highlight w:val="none"/>
              </w:rPr>
            </w:pPr>
          </w:p>
        </w:tc>
        <w:tc>
          <w:tcPr>
            <w:tcW w:w="627" w:type="dxa"/>
            <w:vAlign w:val="center"/>
          </w:tcPr>
          <w:p w14:paraId="0168D15E">
            <w:pPr>
              <w:jc w:val="center"/>
              <w:rPr>
                <w:rFonts w:ascii="宋体" w:hAnsi="宋体"/>
                <w:color w:val="auto"/>
                <w:szCs w:val="44"/>
                <w:highlight w:val="none"/>
              </w:rPr>
            </w:pPr>
          </w:p>
        </w:tc>
        <w:tc>
          <w:tcPr>
            <w:tcW w:w="627" w:type="dxa"/>
            <w:vAlign w:val="center"/>
          </w:tcPr>
          <w:p w14:paraId="67870F68">
            <w:pPr>
              <w:jc w:val="center"/>
              <w:rPr>
                <w:rFonts w:ascii="宋体" w:hAnsi="宋体"/>
                <w:color w:val="auto"/>
                <w:szCs w:val="44"/>
                <w:highlight w:val="none"/>
              </w:rPr>
            </w:pPr>
          </w:p>
        </w:tc>
        <w:tc>
          <w:tcPr>
            <w:tcW w:w="626" w:type="dxa"/>
            <w:vAlign w:val="center"/>
          </w:tcPr>
          <w:p w14:paraId="5C9386E0">
            <w:pPr>
              <w:jc w:val="center"/>
              <w:rPr>
                <w:rFonts w:ascii="宋体" w:hAnsi="宋体"/>
                <w:color w:val="auto"/>
                <w:szCs w:val="44"/>
                <w:highlight w:val="none"/>
              </w:rPr>
            </w:pPr>
          </w:p>
        </w:tc>
        <w:tc>
          <w:tcPr>
            <w:tcW w:w="626" w:type="dxa"/>
            <w:vAlign w:val="center"/>
          </w:tcPr>
          <w:p w14:paraId="70390458">
            <w:pPr>
              <w:jc w:val="center"/>
              <w:rPr>
                <w:rFonts w:ascii="宋体" w:hAnsi="宋体"/>
                <w:color w:val="auto"/>
                <w:szCs w:val="44"/>
                <w:highlight w:val="none"/>
              </w:rPr>
            </w:pPr>
          </w:p>
        </w:tc>
        <w:tc>
          <w:tcPr>
            <w:tcW w:w="626" w:type="dxa"/>
            <w:vAlign w:val="center"/>
          </w:tcPr>
          <w:p w14:paraId="52AB54A8">
            <w:pPr>
              <w:jc w:val="center"/>
              <w:rPr>
                <w:rFonts w:ascii="宋体" w:hAnsi="宋体"/>
                <w:color w:val="auto"/>
                <w:szCs w:val="44"/>
                <w:highlight w:val="none"/>
              </w:rPr>
            </w:pPr>
          </w:p>
        </w:tc>
        <w:tc>
          <w:tcPr>
            <w:tcW w:w="626" w:type="dxa"/>
            <w:vAlign w:val="center"/>
          </w:tcPr>
          <w:p w14:paraId="0680DB57">
            <w:pPr>
              <w:jc w:val="center"/>
              <w:rPr>
                <w:rFonts w:ascii="宋体" w:hAnsi="宋体"/>
                <w:color w:val="auto"/>
                <w:szCs w:val="44"/>
                <w:highlight w:val="none"/>
              </w:rPr>
            </w:pPr>
          </w:p>
        </w:tc>
        <w:tc>
          <w:tcPr>
            <w:tcW w:w="626" w:type="dxa"/>
            <w:vAlign w:val="center"/>
          </w:tcPr>
          <w:p w14:paraId="04173EA0">
            <w:pPr>
              <w:jc w:val="center"/>
              <w:rPr>
                <w:rFonts w:ascii="宋体" w:hAnsi="宋体"/>
                <w:color w:val="auto"/>
                <w:szCs w:val="44"/>
                <w:highlight w:val="none"/>
              </w:rPr>
            </w:pPr>
          </w:p>
        </w:tc>
        <w:tc>
          <w:tcPr>
            <w:tcW w:w="627" w:type="dxa"/>
            <w:vAlign w:val="center"/>
          </w:tcPr>
          <w:p w14:paraId="0B31E4E7">
            <w:pPr>
              <w:jc w:val="center"/>
              <w:rPr>
                <w:rFonts w:ascii="宋体" w:hAnsi="宋体"/>
                <w:color w:val="auto"/>
                <w:szCs w:val="44"/>
                <w:highlight w:val="none"/>
              </w:rPr>
            </w:pPr>
          </w:p>
        </w:tc>
        <w:tc>
          <w:tcPr>
            <w:tcW w:w="760" w:type="dxa"/>
            <w:vAlign w:val="center"/>
          </w:tcPr>
          <w:p w14:paraId="1F51464C">
            <w:pPr>
              <w:jc w:val="center"/>
              <w:rPr>
                <w:rFonts w:ascii="宋体" w:hAnsi="宋体"/>
                <w:color w:val="auto"/>
                <w:szCs w:val="44"/>
                <w:highlight w:val="none"/>
              </w:rPr>
            </w:pPr>
          </w:p>
        </w:tc>
      </w:tr>
      <w:tr w14:paraId="48C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477CDA3">
            <w:pPr>
              <w:jc w:val="center"/>
              <w:rPr>
                <w:rFonts w:ascii="宋体" w:hAnsi="宋体"/>
                <w:color w:val="auto"/>
                <w:szCs w:val="44"/>
                <w:highlight w:val="none"/>
              </w:rPr>
            </w:pPr>
            <w:r>
              <w:rPr>
                <w:rFonts w:hint="eastAsia" w:ascii="宋体" w:hAnsi="宋体"/>
                <w:color w:val="auto"/>
                <w:szCs w:val="44"/>
                <w:highlight w:val="none"/>
              </w:rPr>
              <w:t>…</w:t>
            </w:r>
          </w:p>
        </w:tc>
        <w:tc>
          <w:tcPr>
            <w:tcW w:w="1342" w:type="dxa"/>
            <w:vAlign w:val="center"/>
          </w:tcPr>
          <w:p w14:paraId="082FC042">
            <w:pPr>
              <w:rPr>
                <w:rFonts w:ascii="宋体" w:hAnsi="宋体"/>
                <w:color w:val="auto"/>
                <w:szCs w:val="21"/>
                <w:highlight w:val="none"/>
              </w:rPr>
            </w:pPr>
          </w:p>
        </w:tc>
        <w:tc>
          <w:tcPr>
            <w:tcW w:w="627" w:type="dxa"/>
            <w:vAlign w:val="center"/>
          </w:tcPr>
          <w:p w14:paraId="34448D49">
            <w:pPr>
              <w:jc w:val="center"/>
              <w:rPr>
                <w:color w:val="auto"/>
                <w:highlight w:val="none"/>
              </w:rPr>
            </w:pPr>
          </w:p>
        </w:tc>
        <w:tc>
          <w:tcPr>
            <w:tcW w:w="627" w:type="dxa"/>
            <w:vAlign w:val="center"/>
          </w:tcPr>
          <w:p w14:paraId="60FC6740">
            <w:pPr>
              <w:jc w:val="center"/>
              <w:rPr>
                <w:rFonts w:ascii="宋体" w:hAnsi="宋体"/>
                <w:color w:val="auto"/>
                <w:szCs w:val="44"/>
                <w:highlight w:val="none"/>
              </w:rPr>
            </w:pPr>
          </w:p>
        </w:tc>
        <w:tc>
          <w:tcPr>
            <w:tcW w:w="627" w:type="dxa"/>
            <w:vAlign w:val="center"/>
          </w:tcPr>
          <w:p w14:paraId="7112D31E">
            <w:pPr>
              <w:jc w:val="center"/>
              <w:rPr>
                <w:rFonts w:ascii="宋体" w:hAnsi="宋体"/>
                <w:color w:val="auto"/>
                <w:szCs w:val="44"/>
                <w:highlight w:val="none"/>
              </w:rPr>
            </w:pPr>
          </w:p>
        </w:tc>
        <w:tc>
          <w:tcPr>
            <w:tcW w:w="626" w:type="dxa"/>
            <w:vAlign w:val="center"/>
          </w:tcPr>
          <w:p w14:paraId="67934FAC">
            <w:pPr>
              <w:jc w:val="center"/>
              <w:rPr>
                <w:rFonts w:ascii="宋体" w:hAnsi="宋体"/>
                <w:color w:val="auto"/>
                <w:szCs w:val="44"/>
                <w:highlight w:val="none"/>
              </w:rPr>
            </w:pPr>
          </w:p>
        </w:tc>
        <w:tc>
          <w:tcPr>
            <w:tcW w:w="626" w:type="dxa"/>
            <w:vAlign w:val="center"/>
          </w:tcPr>
          <w:p w14:paraId="0A21510E">
            <w:pPr>
              <w:jc w:val="center"/>
              <w:rPr>
                <w:rFonts w:ascii="宋体" w:hAnsi="宋体"/>
                <w:color w:val="auto"/>
                <w:szCs w:val="44"/>
                <w:highlight w:val="none"/>
              </w:rPr>
            </w:pPr>
          </w:p>
        </w:tc>
        <w:tc>
          <w:tcPr>
            <w:tcW w:w="626" w:type="dxa"/>
            <w:vAlign w:val="center"/>
          </w:tcPr>
          <w:p w14:paraId="68F92BB9">
            <w:pPr>
              <w:jc w:val="center"/>
              <w:rPr>
                <w:rFonts w:ascii="宋体" w:hAnsi="宋体"/>
                <w:color w:val="auto"/>
                <w:szCs w:val="44"/>
                <w:highlight w:val="none"/>
              </w:rPr>
            </w:pPr>
          </w:p>
        </w:tc>
        <w:tc>
          <w:tcPr>
            <w:tcW w:w="626" w:type="dxa"/>
            <w:vAlign w:val="center"/>
          </w:tcPr>
          <w:p w14:paraId="33156A79">
            <w:pPr>
              <w:jc w:val="center"/>
              <w:rPr>
                <w:rFonts w:ascii="宋体" w:hAnsi="宋体"/>
                <w:color w:val="auto"/>
                <w:szCs w:val="44"/>
                <w:highlight w:val="none"/>
              </w:rPr>
            </w:pPr>
          </w:p>
        </w:tc>
        <w:tc>
          <w:tcPr>
            <w:tcW w:w="626" w:type="dxa"/>
            <w:vAlign w:val="center"/>
          </w:tcPr>
          <w:p w14:paraId="0A726E77">
            <w:pPr>
              <w:jc w:val="center"/>
              <w:rPr>
                <w:rFonts w:ascii="宋体" w:hAnsi="宋体"/>
                <w:color w:val="auto"/>
                <w:szCs w:val="44"/>
                <w:highlight w:val="none"/>
              </w:rPr>
            </w:pPr>
          </w:p>
        </w:tc>
        <w:tc>
          <w:tcPr>
            <w:tcW w:w="627" w:type="dxa"/>
            <w:vAlign w:val="center"/>
          </w:tcPr>
          <w:p w14:paraId="679EAE27">
            <w:pPr>
              <w:jc w:val="center"/>
              <w:rPr>
                <w:rFonts w:ascii="宋体" w:hAnsi="宋体"/>
                <w:color w:val="auto"/>
                <w:szCs w:val="44"/>
                <w:highlight w:val="none"/>
              </w:rPr>
            </w:pPr>
          </w:p>
        </w:tc>
        <w:tc>
          <w:tcPr>
            <w:tcW w:w="760" w:type="dxa"/>
            <w:vAlign w:val="center"/>
          </w:tcPr>
          <w:p w14:paraId="7CDFF238">
            <w:pPr>
              <w:jc w:val="center"/>
              <w:rPr>
                <w:rFonts w:ascii="宋体" w:hAnsi="宋体"/>
                <w:color w:val="auto"/>
                <w:szCs w:val="44"/>
                <w:highlight w:val="none"/>
              </w:rPr>
            </w:pPr>
          </w:p>
        </w:tc>
      </w:tr>
      <w:tr w14:paraId="67C2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49" w:type="dxa"/>
            <w:gridSpan w:val="12"/>
            <w:vAlign w:val="center"/>
          </w:tcPr>
          <w:p w14:paraId="0CB1C8D0">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6B41BA1B">
            <w:pPr>
              <w:jc w:val="left"/>
              <w:rPr>
                <w:rFonts w:ascii="宋体" w:hAnsi="宋体"/>
                <w:color w:val="auto"/>
                <w:szCs w:val="44"/>
                <w:highlight w:val="none"/>
              </w:rPr>
            </w:pPr>
          </w:p>
          <w:p w14:paraId="3D0D79DA">
            <w:pPr>
              <w:jc w:val="left"/>
              <w:rPr>
                <w:rFonts w:ascii="宋体" w:hAnsi="宋体"/>
                <w:color w:val="auto"/>
                <w:szCs w:val="44"/>
                <w:highlight w:val="none"/>
              </w:rPr>
            </w:pPr>
          </w:p>
          <w:p w14:paraId="18D1E436">
            <w:pPr>
              <w:jc w:val="left"/>
              <w:rPr>
                <w:rFonts w:ascii="宋体" w:hAnsi="宋体"/>
                <w:color w:val="auto"/>
                <w:szCs w:val="44"/>
                <w:highlight w:val="none"/>
              </w:rPr>
            </w:pPr>
          </w:p>
          <w:p w14:paraId="54B71EFE">
            <w:pPr>
              <w:jc w:val="left"/>
              <w:rPr>
                <w:rFonts w:ascii="宋体" w:hAnsi="宋体"/>
                <w:color w:val="auto"/>
                <w:szCs w:val="44"/>
                <w:highlight w:val="none"/>
              </w:rPr>
            </w:pPr>
          </w:p>
          <w:p w14:paraId="777EEC3B">
            <w:pPr>
              <w:jc w:val="left"/>
              <w:rPr>
                <w:rFonts w:ascii="宋体" w:hAnsi="宋体"/>
                <w:color w:val="auto"/>
                <w:szCs w:val="44"/>
                <w:highlight w:val="none"/>
              </w:rPr>
            </w:pPr>
          </w:p>
          <w:p w14:paraId="34923DD1">
            <w:pPr>
              <w:jc w:val="center"/>
              <w:rPr>
                <w:rFonts w:ascii="宋体" w:hAnsi="宋体"/>
                <w:color w:val="auto"/>
                <w:szCs w:val="44"/>
                <w:highlight w:val="none"/>
              </w:rPr>
            </w:pPr>
          </w:p>
        </w:tc>
      </w:tr>
    </w:tbl>
    <w:p w14:paraId="3E315C93">
      <w:pPr>
        <w:spacing w:line="400" w:lineRule="exact"/>
        <w:ind w:left="840" w:leftChars="400" w:firstLine="3990" w:firstLineChars="1900"/>
        <w:rPr>
          <w:rFonts w:ascii="宋体" w:hAnsi="宋体"/>
          <w:color w:val="auto"/>
          <w:szCs w:val="44"/>
          <w:highlight w:val="none"/>
        </w:rPr>
      </w:pPr>
      <w:r>
        <w:rPr>
          <w:rFonts w:hint="eastAsia" w:ascii="宋体" w:hAnsi="宋体"/>
          <w:color w:val="auto"/>
          <w:szCs w:val="44"/>
          <w:highlight w:val="none"/>
        </w:rPr>
        <w:t xml:space="preserve">        日期：    年    月    日</w:t>
      </w:r>
    </w:p>
    <w:p w14:paraId="381B99AD">
      <w:pPr>
        <w:widowControl/>
        <w:jc w:val="left"/>
        <w:rPr>
          <w:rFonts w:ascii="宋体" w:hAnsi="宋体"/>
          <w:color w:val="auto"/>
          <w:szCs w:val="44"/>
          <w:highlight w:val="none"/>
        </w:rPr>
      </w:pPr>
      <w:r>
        <w:rPr>
          <w:rFonts w:ascii="宋体" w:hAnsi="宋体"/>
          <w:color w:val="auto"/>
          <w:szCs w:val="44"/>
          <w:highlight w:val="none"/>
        </w:rPr>
        <w:br w:type="page"/>
      </w:r>
    </w:p>
    <w:p w14:paraId="7291D88C">
      <w:pPr>
        <w:pStyle w:val="32"/>
        <w:ind w:firstLine="118"/>
        <w:rPr>
          <w:color w:val="auto"/>
          <w:highlight w:val="none"/>
        </w:rPr>
      </w:pPr>
      <w:bookmarkStart w:id="896" w:name="_Toc164716308"/>
      <w:bookmarkStart w:id="897" w:name="_Toc2123"/>
      <w:bookmarkStart w:id="898" w:name="_Toc148860665"/>
      <w:bookmarkStart w:id="899" w:name="_Toc256000138"/>
      <w:r>
        <w:rPr>
          <w:rFonts w:hint="eastAsia"/>
          <w:color w:val="auto"/>
          <w:highlight w:val="none"/>
        </w:rPr>
        <w:t>附表A-6：响应性评审记录表</w:t>
      </w:r>
      <w:bookmarkEnd w:id="896"/>
      <w:bookmarkEnd w:id="897"/>
      <w:bookmarkEnd w:id="898"/>
      <w:bookmarkEnd w:id="899"/>
    </w:p>
    <w:p w14:paraId="17A416D2">
      <w:pPr>
        <w:rPr>
          <w:color w:val="auto"/>
          <w:highlight w:val="none"/>
        </w:rPr>
      </w:pPr>
      <w:bookmarkStart w:id="900" w:name="_Hlk145503207"/>
      <w:bookmarkStart w:id="901" w:name="_Toc145516061"/>
    </w:p>
    <w:p w14:paraId="2BB5C01A">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902" w:name="_Toc148860666"/>
      <w:bookmarkStart w:id="903" w:name="_Toc11903"/>
      <w:bookmarkStart w:id="904" w:name="_Toc149054706"/>
      <w:bookmarkStart w:id="905" w:name="_Toc149060939"/>
      <w:r>
        <w:rPr>
          <w:rFonts w:hint="eastAsia" w:ascii="黑体" w:hAnsi="黑体" w:eastAsia="黑体"/>
          <w:bCs/>
          <w:color w:val="auto"/>
          <w:sz w:val="36"/>
          <w:szCs w:val="36"/>
          <w:highlight w:val="none"/>
        </w:rPr>
        <w:t>响应性</w:t>
      </w:r>
      <w:bookmarkEnd w:id="900"/>
      <w:r>
        <w:rPr>
          <w:rFonts w:hint="eastAsia" w:ascii="黑体" w:hAnsi="黑体" w:eastAsia="黑体"/>
          <w:bCs/>
          <w:color w:val="auto"/>
          <w:sz w:val="36"/>
          <w:szCs w:val="36"/>
          <w:highlight w:val="none"/>
        </w:rPr>
        <w:t>评审记录表</w:t>
      </w:r>
      <w:bookmarkEnd w:id="901"/>
      <w:bookmarkEnd w:id="902"/>
      <w:bookmarkEnd w:id="903"/>
      <w:bookmarkEnd w:id="904"/>
      <w:bookmarkEnd w:id="905"/>
    </w:p>
    <w:p w14:paraId="3F2D7258">
      <w:pPr>
        <w:rPr>
          <w:rFonts w:ascii="宋体" w:hAnsi="宋体"/>
          <w:color w:val="auto"/>
          <w:szCs w:val="44"/>
          <w:highlight w:val="none"/>
        </w:rPr>
      </w:pPr>
      <w:r>
        <w:rPr>
          <w:rFonts w:hint="eastAsia" w:ascii="宋体" w:hAnsi="宋体"/>
          <w:color w:val="auto"/>
          <w:szCs w:val="44"/>
          <w:highlight w:val="none"/>
        </w:rPr>
        <w:t>标段名称：</w:t>
      </w:r>
    </w:p>
    <w:p w14:paraId="7B430992">
      <w:pPr>
        <w:rPr>
          <w:rFonts w:ascii="宋体" w:hAnsi="宋体"/>
          <w:color w:val="auto"/>
          <w:szCs w:val="44"/>
          <w:highlight w:val="none"/>
        </w:rPr>
      </w:pPr>
      <w:r>
        <w:rPr>
          <w:rFonts w:hint="eastAsia"/>
          <w:color w:val="auto"/>
          <w:szCs w:val="44"/>
          <w:highlight w:val="none"/>
        </w:rPr>
        <w:t>标段唯一标识码：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41"/>
        <w:gridCol w:w="595"/>
        <w:gridCol w:w="595"/>
        <w:gridCol w:w="594"/>
        <w:gridCol w:w="593"/>
        <w:gridCol w:w="593"/>
        <w:gridCol w:w="593"/>
        <w:gridCol w:w="593"/>
        <w:gridCol w:w="593"/>
        <w:gridCol w:w="594"/>
        <w:gridCol w:w="714"/>
      </w:tblGrid>
      <w:tr w14:paraId="6CEA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071D2B5C">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541" w:type="dxa"/>
            <w:vMerge w:val="restart"/>
            <w:vAlign w:val="center"/>
          </w:tcPr>
          <w:p w14:paraId="1E3B2A34">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43" w:type="dxa"/>
            <w:gridSpan w:val="9"/>
            <w:vAlign w:val="center"/>
          </w:tcPr>
          <w:p w14:paraId="64764D35">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4" w:type="dxa"/>
            <w:vMerge w:val="restart"/>
            <w:vAlign w:val="center"/>
          </w:tcPr>
          <w:p w14:paraId="5D54096F">
            <w:pPr>
              <w:jc w:val="center"/>
              <w:rPr>
                <w:rFonts w:ascii="宋体" w:hAnsi="宋体"/>
                <w:b/>
                <w:bCs/>
                <w:color w:val="auto"/>
                <w:szCs w:val="44"/>
                <w:highlight w:val="none"/>
              </w:rPr>
            </w:pPr>
            <w:r>
              <w:rPr>
                <w:rFonts w:ascii="宋体" w:hAnsi="宋体"/>
                <w:b/>
                <w:bCs/>
                <w:color w:val="auto"/>
                <w:szCs w:val="21"/>
                <w:highlight w:val="none"/>
              </w:rPr>
              <w:t>评审结论</w:t>
            </w:r>
          </w:p>
        </w:tc>
      </w:tr>
      <w:tr w14:paraId="2E7A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40C13D22">
            <w:pPr>
              <w:jc w:val="center"/>
              <w:rPr>
                <w:rFonts w:ascii="宋体" w:hAnsi="宋体"/>
                <w:color w:val="auto"/>
                <w:szCs w:val="44"/>
                <w:highlight w:val="none"/>
              </w:rPr>
            </w:pPr>
          </w:p>
        </w:tc>
        <w:tc>
          <w:tcPr>
            <w:tcW w:w="1541" w:type="dxa"/>
            <w:vMerge w:val="continue"/>
          </w:tcPr>
          <w:p w14:paraId="5DCD09F3">
            <w:pPr>
              <w:jc w:val="center"/>
              <w:rPr>
                <w:rFonts w:ascii="宋体" w:hAnsi="宋体"/>
                <w:color w:val="auto"/>
                <w:szCs w:val="44"/>
                <w:highlight w:val="none"/>
              </w:rPr>
            </w:pPr>
          </w:p>
        </w:tc>
        <w:tc>
          <w:tcPr>
            <w:tcW w:w="595" w:type="dxa"/>
            <w:vAlign w:val="center"/>
          </w:tcPr>
          <w:p w14:paraId="43AB6DEC">
            <w:pPr>
              <w:jc w:val="center"/>
              <w:rPr>
                <w:rFonts w:ascii="宋体" w:hAnsi="宋体"/>
                <w:color w:val="auto"/>
                <w:szCs w:val="44"/>
                <w:highlight w:val="none"/>
              </w:rPr>
            </w:pPr>
          </w:p>
        </w:tc>
        <w:tc>
          <w:tcPr>
            <w:tcW w:w="595" w:type="dxa"/>
            <w:vAlign w:val="center"/>
          </w:tcPr>
          <w:p w14:paraId="5B19228B">
            <w:pPr>
              <w:jc w:val="center"/>
              <w:rPr>
                <w:rFonts w:ascii="宋体" w:hAnsi="宋体"/>
                <w:color w:val="auto"/>
                <w:szCs w:val="44"/>
                <w:highlight w:val="none"/>
              </w:rPr>
            </w:pPr>
          </w:p>
        </w:tc>
        <w:tc>
          <w:tcPr>
            <w:tcW w:w="594" w:type="dxa"/>
            <w:vAlign w:val="center"/>
          </w:tcPr>
          <w:p w14:paraId="69CC0AC6">
            <w:pPr>
              <w:jc w:val="center"/>
              <w:rPr>
                <w:rFonts w:ascii="宋体" w:hAnsi="宋体"/>
                <w:color w:val="auto"/>
                <w:szCs w:val="44"/>
                <w:highlight w:val="none"/>
              </w:rPr>
            </w:pPr>
          </w:p>
        </w:tc>
        <w:tc>
          <w:tcPr>
            <w:tcW w:w="593" w:type="dxa"/>
            <w:vAlign w:val="center"/>
          </w:tcPr>
          <w:p w14:paraId="1FDC6F56">
            <w:pPr>
              <w:jc w:val="center"/>
              <w:rPr>
                <w:rFonts w:ascii="宋体" w:hAnsi="宋体"/>
                <w:color w:val="auto"/>
                <w:szCs w:val="44"/>
                <w:highlight w:val="none"/>
              </w:rPr>
            </w:pPr>
          </w:p>
        </w:tc>
        <w:tc>
          <w:tcPr>
            <w:tcW w:w="593" w:type="dxa"/>
            <w:vAlign w:val="center"/>
          </w:tcPr>
          <w:p w14:paraId="1325314A">
            <w:pPr>
              <w:jc w:val="center"/>
              <w:rPr>
                <w:rFonts w:ascii="宋体" w:hAnsi="宋体"/>
                <w:color w:val="auto"/>
                <w:szCs w:val="44"/>
                <w:highlight w:val="none"/>
              </w:rPr>
            </w:pPr>
          </w:p>
        </w:tc>
        <w:tc>
          <w:tcPr>
            <w:tcW w:w="593" w:type="dxa"/>
            <w:vAlign w:val="center"/>
          </w:tcPr>
          <w:p w14:paraId="757A499C">
            <w:pPr>
              <w:jc w:val="center"/>
              <w:rPr>
                <w:rFonts w:ascii="宋体" w:hAnsi="宋体"/>
                <w:color w:val="auto"/>
                <w:szCs w:val="44"/>
                <w:highlight w:val="none"/>
              </w:rPr>
            </w:pPr>
          </w:p>
        </w:tc>
        <w:tc>
          <w:tcPr>
            <w:tcW w:w="593" w:type="dxa"/>
            <w:vAlign w:val="center"/>
          </w:tcPr>
          <w:p w14:paraId="036412D3">
            <w:pPr>
              <w:jc w:val="center"/>
              <w:rPr>
                <w:rFonts w:ascii="宋体" w:hAnsi="宋体"/>
                <w:color w:val="auto"/>
                <w:szCs w:val="44"/>
                <w:highlight w:val="none"/>
              </w:rPr>
            </w:pPr>
          </w:p>
        </w:tc>
        <w:tc>
          <w:tcPr>
            <w:tcW w:w="593" w:type="dxa"/>
            <w:vAlign w:val="center"/>
          </w:tcPr>
          <w:p w14:paraId="0D58DEC3">
            <w:pPr>
              <w:jc w:val="center"/>
              <w:rPr>
                <w:rFonts w:ascii="宋体" w:hAnsi="宋体"/>
                <w:color w:val="auto"/>
                <w:szCs w:val="44"/>
                <w:highlight w:val="none"/>
              </w:rPr>
            </w:pPr>
          </w:p>
        </w:tc>
        <w:tc>
          <w:tcPr>
            <w:tcW w:w="594" w:type="dxa"/>
            <w:vAlign w:val="center"/>
          </w:tcPr>
          <w:p w14:paraId="7D00BD07">
            <w:pPr>
              <w:jc w:val="center"/>
              <w:rPr>
                <w:rFonts w:ascii="宋体" w:hAnsi="宋体"/>
                <w:color w:val="auto"/>
                <w:szCs w:val="44"/>
                <w:highlight w:val="none"/>
              </w:rPr>
            </w:pPr>
          </w:p>
        </w:tc>
        <w:tc>
          <w:tcPr>
            <w:tcW w:w="714" w:type="dxa"/>
            <w:vMerge w:val="continue"/>
            <w:vAlign w:val="center"/>
          </w:tcPr>
          <w:p w14:paraId="6C7210F4">
            <w:pPr>
              <w:jc w:val="center"/>
              <w:rPr>
                <w:rFonts w:ascii="宋体" w:hAnsi="宋体"/>
                <w:color w:val="auto"/>
                <w:szCs w:val="44"/>
                <w:highlight w:val="none"/>
              </w:rPr>
            </w:pPr>
          </w:p>
        </w:tc>
      </w:tr>
      <w:tr w14:paraId="6224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A43F8E0">
            <w:pPr>
              <w:jc w:val="center"/>
              <w:rPr>
                <w:rFonts w:ascii="宋体" w:hAnsi="宋体"/>
                <w:color w:val="auto"/>
                <w:szCs w:val="44"/>
                <w:highlight w:val="none"/>
              </w:rPr>
            </w:pPr>
            <w:r>
              <w:rPr>
                <w:rFonts w:hint="eastAsia" w:ascii="宋体" w:hAnsi="宋体"/>
                <w:color w:val="auto"/>
                <w:szCs w:val="44"/>
                <w:highlight w:val="none"/>
              </w:rPr>
              <w:t>1</w:t>
            </w:r>
          </w:p>
        </w:tc>
        <w:tc>
          <w:tcPr>
            <w:tcW w:w="1541" w:type="dxa"/>
            <w:vAlign w:val="center"/>
          </w:tcPr>
          <w:p w14:paraId="5D04347B">
            <w:pPr>
              <w:jc w:val="center"/>
              <w:rPr>
                <w:rFonts w:ascii="宋体" w:hAnsi="宋体"/>
                <w:color w:val="auto"/>
                <w:szCs w:val="21"/>
                <w:highlight w:val="none"/>
              </w:rPr>
            </w:pPr>
          </w:p>
        </w:tc>
        <w:tc>
          <w:tcPr>
            <w:tcW w:w="595" w:type="dxa"/>
            <w:vAlign w:val="center"/>
          </w:tcPr>
          <w:p w14:paraId="7CEA972C">
            <w:pPr>
              <w:jc w:val="center"/>
              <w:rPr>
                <w:rFonts w:ascii="宋体" w:hAnsi="宋体"/>
                <w:color w:val="auto"/>
                <w:szCs w:val="21"/>
                <w:highlight w:val="none"/>
              </w:rPr>
            </w:pPr>
          </w:p>
        </w:tc>
        <w:tc>
          <w:tcPr>
            <w:tcW w:w="595" w:type="dxa"/>
            <w:vAlign w:val="center"/>
          </w:tcPr>
          <w:p w14:paraId="71A6A339">
            <w:pPr>
              <w:jc w:val="center"/>
              <w:rPr>
                <w:rFonts w:ascii="宋体" w:hAnsi="宋体"/>
                <w:color w:val="auto"/>
                <w:szCs w:val="44"/>
                <w:highlight w:val="none"/>
              </w:rPr>
            </w:pPr>
          </w:p>
        </w:tc>
        <w:tc>
          <w:tcPr>
            <w:tcW w:w="594" w:type="dxa"/>
            <w:vAlign w:val="center"/>
          </w:tcPr>
          <w:p w14:paraId="38238920">
            <w:pPr>
              <w:jc w:val="center"/>
              <w:rPr>
                <w:rFonts w:ascii="宋体" w:hAnsi="宋体"/>
                <w:color w:val="auto"/>
                <w:szCs w:val="44"/>
                <w:highlight w:val="none"/>
              </w:rPr>
            </w:pPr>
          </w:p>
        </w:tc>
        <w:tc>
          <w:tcPr>
            <w:tcW w:w="593" w:type="dxa"/>
            <w:vAlign w:val="center"/>
          </w:tcPr>
          <w:p w14:paraId="09C30182">
            <w:pPr>
              <w:jc w:val="center"/>
              <w:rPr>
                <w:rFonts w:ascii="宋体" w:hAnsi="宋体"/>
                <w:color w:val="auto"/>
                <w:szCs w:val="44"/>
                <w:highlight w:val="none"/>
              </w:rPr>
            </w:pPr>
          </w:p>
        </w:tc>
        <w:tc>
          <w:tcPr>
            <w:tcW w:w="593" w:type="dxa"/>
            <w:vAlign w:val="center"/>
          </w:tcPr>
          <w:p w14:paraId="3D4A33BF">
            <w:pPr>
              <w:jc w:val="center"/>
              <w:rPr>
                <w:rFonts w:ascii="宋体" w:hAnsi="宋体"/>
                <w:color w:val="auto"/>
                <w:szCs w:val="44"/>
                <w:highlight w:val="none"/>
              </w:rPr>
            </w:pPr>
          </w:p>
        </w:tc>
        <w:tc>
          <w:tcPr>
            <w:tcW w:w="593" w:type="dxa"/>
            <w:vAlign w:val="center"/>
          </w:tcPr>
          <w:p w14:paraId="07799651">
            <w:pPr>
              <w:jc w:val="center"/>
              <w:rPr>
                <w:rFonts w:ascii="宋体" w:hAnsi="宋体"/>
                <w:color w:val="auto"/>
                <w:szCs w:val="44"/>
                <w:highlight w:val="none"/>
              </w:rPr>
            </w:pPr>
          </w:p>
        </w:tc>
        <w:tc>
          <w:tcPr>
            <w:tcW w:w="593" w:type="dxa"/>
            <w:vAlign w:val="center"/>
          </w:tcPr>
          <w:p w14:paraId="2F92DD1F">
            <w:pPr>
              <w:jc w:val="center"/>
              <w:rPr>
                <w:rFonts w:ascii="宋体" w:hAnsi="宋体"/>
                <w:color w:val="auto"/>
                <w:szCs w:val="44"/>
                <w:highlight w:val="none"/>
              </w:rPr>
            </w:pPr>
          </w:p>
        </w:tc>
        <w:tc>
          <w:tcPr>
            <w:tcW w:w="593" w:type="dxa"/>
            <w:vAlign w:val="center"/>
          </w:tcPr>
          <w:p w14:paraId="169C13A2">
            <w:pPr>
              <w:jc w:val="center"/>
              <w:rPr>
                <w:rFonts w:ascii="宋体" w:hAnsi="宋体"/>
                <w:color w:val="auto"/>
                <w:szCs w:val="44"/>
                <w:highlight w:val="none"/>
              </w:rPr>
            </w:pPr>
          </w:p>
        </w:tc>
        <w:tc>
          <w:tcPr>
            <w:tcW w:w="594" w:type="dxa"/>
            <w:vAlign w:val="center"/>
          </w:tcPr>
          <w:p w14:paraId="6D5EA278">
            <w:pPr>
              <w:jc w:val="center"/>
              <w:rPr>
                <w:rFonts w:ascii="宋体" w:hAnsi="宋体"/>
                <w:color w:val="auto"/>
                <w:szCs w:val="44"/>
                <w:highlight w:val="none"/>
              </w:rPr>
            </w:pPr>
          </w:p>
        </w:tc>
        <w:tc>
          <w:tcPr>
            <w:tcW w:w="714" w:type="dxa"/>
            <w:vAlign w:val="center"/>
          </w:tcPr>
          <w:p w14:paraId="2EB811D1">
            <w:pPr>
              <w:jc w:val="center"/>
              <w:rPr>
                <w:rFonts w:ascii="宋体" w:hAnsi="宋体"/>
                <w:color w:val="auto"/>
                <w:szCs w:val="44"/>
                <w:highlight w:val="none"/>
              </w:rPr>
            </w:pPr>
          </w:p>
        </w:tc>
      </w:tr>
      <w:tr w14:paraId="6FE9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647861F">
            <w:pPr>
              <w:jc w:val="center"/>
              <w:rPr>
                <w:rFonts w:ascii="宋体" w:hAnsi="宋体"/>
                <w:color w:val="auto"/>
                <w:szCs w:val="44"/>
                <w:highlight w:val="none"/>
              </w:rPr>
            </w:pPr>
            <w:r>
              <w:rPr>
                <w:rFonts w:hint="eastAsia" w:ascii="宋体" w:hAnsi="宋体"/>
                <w:color w:val="auto"/>
                <w:szCs w:val="44"/>
                <w:highlight w:val="none"/>
              </w:rPr>
              <w:t>2</w:t>
            </w:r>
          </w:p>
        </w:tc>
        <w:tc>
          <w:tcPr>
            <w:tcW w:w="1541" w:type="dxa"/>
            <w:vAlign w:val="center"/>
          </w:tcPr>
          <w:p w14:paraId="3BA91469">
            <w:pPr>
              <w:jc w:val="center"/>
              <w:rPr>
                <w:rFonts w:ascii="宋体" w:hAnsi="宋体"/>
                <w:color w:val="auto"/>
                <w:szCs w:val="44"/>
                <w:highlight w:val="none"/>
              </w:rPr>
            </w:pPr>
          </w:p>
        </w:tc>
        <w:tc>
          <w:tcPr>
            <w:tcW w:w="595" w:type="dxa"/>
            <w:vAlign w:val="center"/>
          </w:tcPr>
          <w:p w14:paraId="118258DA">
            <w:pPr>
              <w:jc w:val="center"/>
              <w:rPr>
                <w:color w:val="auto"/>
                <w:highlight w:val="none"/>
              </w:rPr>
            </w:pPr>
          </w:p>
        </w:tc>
        <w:tc>
          <w:tcPr>
            <w:tcW w:w="595" w:type="dxa"/>
            <w:vAlign w:val="center"/>
          </w:tcPr>
          <w:p w14:paraId="4FD792EA">
            <w:pPr>
              <w:jc w:val="center"/>
              <w:rPr>
                <w:rFonts w:ascii="宋体" w:hAnsi="宋体"/>
                <w:color w:val="auto"/>
                <w:szCs w:val="44"/>
                <w:highlight w:val="none"/>
              </w:rPr>
            </w:pPr>
          </w:p>
        </w:tc>
        <w:tc>
          <w:tcPr>
            <w:tcW w:w="594" w:type="dxa"/>
            <w:vAlign w:val="center"/>
          </w:tcPr>
          <w:p w14:paraId="28EB9BF3">
            <w:pPr>
              <w:jc w:val="center"/>
              <w:rPr>
                <w:rFonts w:ascii="宋体" w:hAnsi="宋体"/>
                <w:color w:val="auto"/>
                <w:szCs w:val="44"/>
                <w:highlight w:val="none"/>
              </w:rPr>
            </w:pPr>
          </w:p>
        </w:tc>
        <w:tc>
          <w:tcPr>
            <w:tcW w:w="593" w:type="dxa"/>
            <w:vAlign w:val="center"/>
          </w:tcPr>
          <w:p w14:paraId="170DEC63">
            <w:pPr>
              <w:jc w:val="center"/>
              <w:rPr>
                <w:rFonts w:ascii="宋体" w:hAnsi="宋体"/>
                <w:color w:val="auto"/>
                <w:szCs w:val="44"/>
                <w:highlight w:val="none"/>
              </w:rPr>
            </w:pPr>
          </w:p>
        </w:tc>
        <w:tc>
          <w:tcPr>
            <w:tcW w:w="593" w:type="dxa"/>
            <w:vAlign w:val="center"/>
          </w:tcPr>
          <w:p w14:paraId="6A851260">
            <w:pPr>
              <w:jc w:val="center"/>
              <w:rPr>
                <w:rFonts w:ascii="宋体" w:hAnsi="宋体"/>
                <w:color w:val="auto"/>
                <w:szCs w:val="44"/>
                <w:highlight w:val="none"/>
              </w:rPr>
            </w:pPr>
          </w:p>
        </w:tc>
        <w:tc>
          <w:tcPr>
            <w:tcW w:w="593" w:type="dxa"/>
            <w:vAlign w:val="center"/>
          </w:tcPr>
          <w:p w14:paraId="6A1B90CE">
            <w:pPr>
              <w:jc w:val="center"/>
              <w:rPr>
                <w:rFonts w:ascii="宋体" w:hAnsi="宋体"/>
                <w:color w:val="auto"/>
                <w:szCs w:val="44"/>
                <w:highlight w:val="none"/>
              </w:rPr>
            </w:pPr>
          </w:p>
        </w:tc>
        <w:tc>
          <w:tcPr>
            <w:tcW w:w="593" w:type="dxa"/>
            <w:vAlign w:val="center"/>
          </w:tcPr>
          <w:p w14:paraId="4EA267D5">
            <w:pPr>
              <w:jc w:val="center"/>
              <w:rPr>
                <w:rFonts w:ascii="宋体" w:hAnsi="宋体"/>
                <w:color w:val="auto"/>
                <w:szCs w:val="44"/>
                <w:highlight w:val="none"/>
              </w:rPr>
            </w:pPr>
          </w:p>
        </w:tc>
        <w:tc>
          <w:tcPr>
            <w:tcW w:w="593" w:type="dxa"/>
            <w:vAlign w:val="center"/>
          </w:tcPr>
          <w:p w14:paraId="7725E2DE">
            <w:pPr>
              <w:jc w:val="center"/>
              <w:rPr>
                <w:rFonts w:ascii="宋体" w:hAnsi="宋体"/>
                <w:color w:val="auto"/>
                <w:szCs w:val="44"/>
                <w:highlight w:val="none"/>
              </w:rPr>
            </w:pPr>
          </w:p>
        </w:tc>
        <w:tc>
          <w:tcPr>
            <w:tcW w:w="594" w:type="dxa"/>
            <w:vAlign w:val="center"/>
          </w:tcPr>
          <w:p w14:paraId="1FE8AD03">
            <w:pPr>
              <w:jc w:val="center"/>
              <w:rPr>
                <w:rFonts w:ascii="宋体" w:hAnsi="宋体"/>
                <w:color w:val="auto"/>
                <w:szCs w:val="44"/>
                <w:highlight w:val="none"/>
              </w:rPr>
            </w:pPr>
          </w:p>
        </w:tc>
        <w:tc>
          <w:tcPr>
            <w:tcW w:w="714" w:type="dxa"/>
            <w:vAlign w:val="center"/>
          </w:tcPr>
          <w:p w14:paraId="24B530E8">
            <w:pPr>
              <w:jc w:val="center"/>
              <w:rPr>
                <w:rFonts w:ascii="宋体" w:hAnsi="宋体"/>
                <w:color w:val="auto"/>
                <w:szCs w:val="44"/>
                <w:highlight w:val="none"/>
              </w:rPr>
            </w:pPr>
          </w:p>
        </w:tc>
      </w:tr>
      <w:tr w14:paraId="5BC2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8AB6385">
            <w:pPr>
              <w:jc w:val="center"/>
              <w:rPr>
                <w:rFonts w:ascii="宋体" w:hAnsi="宋体"/>
                <w:color w:val="auto"/>
                <w:szCs w:val="44"/>
                <w:highlight w:val="none"/>
              </w:rPr>
            </w:pPr>
            <w:r>
              <w:rPr>
                <w:rFonts w:hint="eastAsia" w:ascii="宋体" w:hAnsi="宋体"/>
                <w:color w:val="auto"/>
                <w:szCs w:val="44"/>
                <w:highlight w:val="none"/>
              </w:rPr>
              <w:t>3</w:t>
            </w:r>
          </w:p>
        </w:tc>
        <w:tc>
          <w:tcPr>
            <w:tcW w:w="1541" w:type="dxa"/>
            <w:vAlign w:val="center"/>
          </w:tcPr>
          <w:p w14:paraId="573A8287">
            <w:pPr>
              <w:jc w:val="center"/>
              <w:rPr>
                <w:rFonts w:ascii="宋体" w:hAnsi="宋体"/>
                <w:color w:val="auto"/>
                <w:szCs w:val="44"/>
                <w:highlight w:val="none"/>
              </w:rPr>
            </w:pPr>
          </w:p>
        </w:tc>
        <w:tc>
          <w:tcPr>
            <w:tcW w:w="595" w:type="dxa"/>
            <w:vAlign w:val="center"/>
          </w:tcPr>
          <w:p w14:paraId="4319C35B">
            <w:pPr>
              <w:jc w:val="center"/>
              <w:rPr>
                <w:color w:val="auto"/>
                <w:highlight w:val="none"/>
              </w:rPr>
            </w:pPr>
          </w:p>
        </w:tc>
        <w:tc>
          <w:tcPr>
            <w:tcW w:w="595" w:type="dxa"/>
            <w:vAlign w:val="center"/>
          </w:tcPr>
          <w:p w14:paraId="5EF2F84B">
            <w:pPr>
              <w:jc w:val="center"/>
              <w:rPr>
                <w:rFonts w:ascii="宋体" w:hAnsi="宋体"/>
                <w:color w:val="auto"/>
                <w:szCs w:val="44"/>
                <w:highlight w:val="none"/>
              </w:rPr>
            </w:pPr>
          </w:p>
        </w:tc>
        <w:tc>
          <w:tcPr>
            <w:tcW w:w="594" w:type="dxa"/>
            <w:vAlign w:val="center"/>
          </w:tcPr>
          <w:p w14:paraId="60DA76BB">
            <w:pPr>
              <w:jc w:val="center"/>
              <w:rPr>
                <w:rFonts w:ascii="宋体" w:hAnsi="宋体"/>
                <w:color w:val="auto"/>
                <w:szCs w:val="44"/>
                <w:highlight w:val="none"/>
              </w:rPr>
            </w:pPr>
          </w:p>
        </w:tc>
        <w:tc>
          <w:tcPr>
            <w:tcW w:w="593" w:type="dxa"/>
            <w:vAlign w:val="center"/>
          </w:tcPr>
          <w:p w14:paraId="4DD7BC48">
            <w:pPr>
              <w:jc w:val="center"/>
              <w:rPr>
                <w:rFonts w:ascii="宋体" w:hAnsi="宋体"/>
                <w:color w:val="auto"/>
                <w:szCs w:val="44"/>
                <w:highlight w:val="none"/>
              </w:rPr>
            </w:pPr>
          </w:p>
        </w:tc>
        <w:tc>
          <w:tcPr>
            <w:tcW w:w="593" w:type="dxa"/>
            <w:vAlign w:val="center"/>
          </w:tcPr>
          <w:p w14:paraId="184C2D99">
            <w:pPr>
              <w:jc w:val="center"/>
              <w:rPr>
                <w:rFonts w:ascii="宋体" w:hAnsi="宋体"/>
                <w:color w:val="auto"/>
                <w:szCs w:val="44"/>
                <w:highlight w:val="none"/>
              </w:rPr>
            </w:pPr>
          </w:p>
        </w:tc>
        <w:tc>
          <w:tcPr>
            <w:tcW w:w="593" w:type="dxa"/>
            <w:vAlign w:val="center"/>
          </w:tcPr>
          <w:p w14:paraId="2A8DBB40">
            <w:pPr>
              <w:jc w:val="center"/>
              <w:rPr>
                <w:rFonts w:ascii="宋体" w:hAnsi="宋体"/>
                <w:color w:val="auto"/>
                <w:szCs w:val="44"/>
                <w:highlight w:val="none"/>
              </w:rPr>
            </w:pPr>
          </w:p>
        </w:tc>
        <w:tc>
          <w:tcPr>
            <w:tcW w:w="593" w:type="dxa"/>
            <w:vAlign w:val="center"/>
          </w:tcPr>
          <w:p w14:paraId="0A16868C">
            <w:pPr>
              <w:jc w:val="center"/>
              <w:rPr>
                <w:rFonts w:ascii="宋体" w:hAnsi="宋体"/>
                <w:color w:val="auto"/>
                <w:szCs w:val="44"/>
                <w:highlight w:val="none"/>
              </w:rPr>
            </w:pPr>
          </w:p>
        </w:tc>
        <w:tc>
          <w:tcPr>
            <w:tcW w:w="593" w:type="dxa"/>
            <w:vAlign w:val="center"/>
          </w:tcPr>
          <w:p w14:paraId="30FBC38C">
            <w:pPr>
              <w:jc w:val="center"/>
              <w:rPr>
                <w:rFonts w:ascii="宋体" w:hAnsi="宋体"/>
                <w:color w:val="auto"/>
                <w:szCs w:val="44"/>
                <w:highlight w:val="none"/>
              </w:rPr>
            </w:pPr>
          </w:p>
        </w:tc>
        <w:tc>
          <w:tcPr>
            <w:tcW w:w="594" w:type="dxa"/>
            <w:vAlign w:val="center"/>
          </w:tcPr>
          <w:p w14:paraId="209DB5FE">
            <w:pPr>
              <w:jc w:val="center"/>
              <w:rPr>
                <w:rFonts w:ascii="宋体" w:hAnsi="宋体"/>
                <w:color w:val="auto"/>
                <w:szCs w:val="44"/>
                <w:highlight w:val="none"/>
              </w:rPr>
            </w:pPr>
          </w:p>
        </w:tc>
        <w:tc>
          <w:tcPr>
            <w:tcW w:w="714" w:type="dxa"/>
            <w:vAlign w:val="center"/>
          </w:tcPr>
          <w:p w14:paraId="4F2E4D43">
            <w:pPr>
              <w:jc w:val="center"/>
              <w:rPr>
                <w:rFonts w:ascii="宋体" w:hAnsi="宋体"/>
                <w:color w:val="auto"/>
                <w:szCs w:val="44"/>
                <w:highlight w:val="none"/>
              </w:rPr>
            </w:pPr>
          </w:p>
        </w:tc>
      </w:tr>
      <w:tr w14:paraId="25E2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E7ADC95">
            <w:pPr>
              <w:jc w:val="center"/>
              <w:rPr>
                <w:rFonts w:ascii="宋体" w:hAnsi="宋体"/>
                <w:color w:val="auto"/>
                <w:szCs w:val="44"/>
                <w:highlight w:val="none"/>
              </w:rPr>
            </w:pPr>
            <w:r>
              <w:rPr>
                <w:rFonts w:hint="eastAsia" w:ascii="宋体" w:hAnsi="宋体"/>
                <w:color w:val="auto"/>
                <w:szCs w:val="44"/>
                <w:highlight w:val="none"/>
              </w:rPr>
              <w:t>4</w:t>
            </w:r>
          </w:p>
        </w:tc>
        <w:tc>
          <w:tcPr>
            <w:tcW w:w="1541" w:type="dxa"/>
            <w:vAlign w:val="center"/>
          </w:tcPr>
          <w:p w14:paraId="50F4D3E0">
            <w:pPr>
              <w:jc w:val="center"/>
              <w:rPr>
                <w:rFonts w:ascii="宋体" w:hAnsi="宋体"/>
                <w:color w:val="auto"/>
                <w:szCs w:val="44"/>
                <w:highlight w:val="none"/>
              </w:rPr>
            </w:pPr>
          </w:p>
        </w:tc>
        <w:tc>
          <w:tcPr>
            <w:tcW w:w="595" w:type="dxa"/>
            <w:vAlign w:val="center"/>
          </w:tcPr>
          <w:p w14:paraId="12359E98">
            <w:pPr>
              <w:jc w:val="center"/>
              <w:rPr>
                <w:color w:val="auto"/>
                <w:highlight w:val="none"/>
              </w:rPr>
            </w:pPr>
          </w:p>
        </w:tc>
        <w:tc>
          <w:tcPr>
            <w:tcW w:w="595" w:type="dxa"/>
            <w:vAlign w:val="center"/>
          </w:tcPr>
          <w:p w14:paraId="698189BC">
            <w:pPr>
              <w:jc w:val="center"/>
              <w:rPr>
                <w:rFonts w:ascii="宋体" w:hAnsi="宋体"/>
                <w:color w:val="auto"/>
                <w:szCs w:val="44"/>
                <w:highlight w:val="none"/>
              </w:rPr>
            </w:pPr>
          </w:p>
        </w:tc>
        <w:tc>
          <w:tcPr>
            <w:tcW w:w="594" w:type="dxa"/>
            <w:vAlign w:val="center"/>
          </w:tcPr>
          <w:p w14:paraId="3FBB648B">
            <w:pPr>
              <w:jc w:val="center"/>
              <w:rPr>
                <w:rFonts w:ascii="宋体" w:hAnsi="宋体"/>
                <w:color w:val="auto"/>
                <w:szCs w:val="44"/>
                <w:highlight w:val="none"/>
              </w:rPr>
            </w:pPr>
          </w:p>
        </w:tc>
        <w:tc>
          <w:tcPr>
            <w:tcW w:w="593" w:type="dxa"/>
            <w:vAlign w:val="center"/>
          </w:tcPr>
          <w:p w14:paraId="6762BE59">
            <w:pPr>
              <w:jc w:val="center"/>
              <w:rPr>
                <w:rFonts w:ascii="宋体" w:hAnsi="宋体"/>
                <w:color w:val="auto"/>
                <w:szCs w:val="44"/>
                <w:highlight w:val="none"/>
              </w:rPr>
            </w:pPr>
          </w:p>
        </w:tc>
        <w:tc>
          <w:tcPr>
            <w:tcW w:w="593" w:type="dxa"/>
            <w:vAlign w:val="center"/>
          </w:tcPr>
          <w:p w14:paraId="694DAE4A">
            <w:pPr>
              <w:jc w:val="center"/>
              <w:rPr>
                <w:rFonts w:ascii="宋体" w:hAnsi="宋体"/>
                <w:color w:val="auto"/>
                <w:szCs w:val="44"/>
                <w:highlight w:val="none"/>
              </w:rPr>
            </w:pPr>
          </w:p>
        </w:tc>
        <w:tc>
          <w:tcPr>
            <w:tcW w:w="593" w:type="dxa"/>
            <w:vAlign w:val="center"/>
          </w:tcPr>
          <w:p w14:paraId="04605636">
            <w:pPr>
              <w:jc w:val="center"/>
              <w:rPr>
                <w:rFonts w:ascii="宋体" w:hAnsi="宋体"/>
                <w:color w:val="auto"/>
                <w:szCs w:val="44"/>
                <w:highlight w:val="none"/>
              </w:rPr>
            </w:pPr>
          </w:p>
        </w:tc>
        <w:tc>
          <w:tcPr>
            <w:tcW w:w="593" w:type="dxa"/>
            <w:vAlign w:val="center"/>
          </w:tcPr>
          <w:p w14:paraId="1BB14273">
            <w:pPr>
              <w:jc w:val="center"/>
              <w:rPr>
                <w:rFonts w:ascii="宋体" w:hAnsi="宋体"/>
                <w:color w:val="auto"/>
                <w:szCs w:val="44"/>
                <w:highlight w:val="none"/>
              </w:rPr>
            </w:pPr>
          </w:p>
        </w:tc>
        <w:tc>
          <w:tcPr>
            <w:tcW w:w="593" w:type="dxa"/>
            <w:vAlign w:val="center"/>
          </w:tcPr>
          <w:p w14:paraId="677A8B4A">
            <w:pPr>
              <w:jc w:val="center"/>
              <w:rPr>
                <w:rFonts w:ascii="宋体" w:hAnsi="宋体"/>
                <w:color w:val="auto"/>
                <w:szCs w:val="44"/>
                <w:highlight w:val="none"/>
              </w:rPr>
            </w:pPr>
          </w:p>
        </w:tc>
        <w:tc>
          <w:tcPr>
            <w:tcW w:w="594" w:type="dxa"/>
            <w:vAlign w:val="center"/>
          </w:tcPr>
          <w:p w14:paraId="2EB58088">
            <w:pPr>
              <w:jc w:val="center"/>
              <w:rPr>
                <w:rFonts w:ascii="宋体" w:hAnsi="宋体"/>
                <w:color w:val="auto"/>
                <w:szCs w:val="44"/>
                <w:highlight w:val="none"/>
              </w:rPr>
            </w:pPr>
          </w:p>
        </w:tc>
        <w:tc>
          <w:tcPr>
            <w:tcW w:w="714" w:type="dxa"/>
            <w:vAlign w:val="center"/>
          </w:tcPr>
          <w:p w14:paraId="08385EEE">
            <w:pPr>
              <w:jc w:val="center"/>
              <w:rPr>
                <w:rFonts w:ascii="宋体" w:hAnsi="宋体"/>
                <w:color w:val="auto"/>
                <w:szCs w:val="44"/>
                <w:highlight w:val="none"/>
              </w:rPr>
            </w:pPr>
          </w:p>
        </w:tc>
      </w:tr>
      <w:tr w14:paraId="1C40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0B3019E">
            <w:pPr>
              <w:jc w:val="center"/>
              <w:rPr>
                <w:rFonts w:ascii="宋体" w:hAnsi="宋体"/>
                <w:color w:val="auto"/>
                <w:szCs w:val="44"/>
                <w:highlight w:val="none"/>
              </w:rPr>
            </w:pPr>
            <w:r>
              <w:rPr>
                <w:rFonts w:hint="eastAsia" w:ascii="宋体" w:hAnsi="宋体"/>
                <w:color w:val="auto"/>
                <w:szCs w:val="44"/>
                <w:highlight w:val="none"/>
              </w:rPr>
              <w:t>5</w:t>
            </w:r>
          </w:p>
        </w:tc>
        <w:tc>
          <w:tcPr>
            <w:tcW w:w="1541" w:type="dxa"/>
            <w:vAlign w:val="center"/>
          </w:tcPr>
          <w:p w14:paraId="08232CF4">
            <w:pPr>
              <w:jc w:val="center"/>
              <w:rPr>
                <w:rFonts w:ascii="宋体" w:hAnsi="宋体"/>
                <w:color w:val="auto"/>
                <w:szCs w:val="44"/>
                <w:highlight w:val="none"/>
              </w:rPr>
            </w:pPr>
          </w:p>
        </w:tc>
        <w:tc>
          <w:tcPr>
            <w:tcW w:w="595" w:type="dxa"/>
            <w:vAlign w:val="center"/>
          </w:tcPr>
          <w:p w14:paraId="6FE40BDD">
            <w:pPr>
              <w:jc w:val="center"/>
              <w:rPr>
                <w:color w:val="auto"/>
                <w:highlight w:val="none"/>
              </w:rPr>
            </w:pPr>
          </w:p>
        </w:tc>
        <w:tc>
          <w:tcPr>
            <w:tcW w:w="595" w:type="dxa"/>
            <w:vAlign w:val="center"/>
          </w:tcPr>
          <w:p w14:paraId="5EE6F453">
            <w:pPr>
              <w:jc w:val="center"/>
              <w:rPr>
                <w:rFonts w:ascii="宋体" w:hAnsi="宋体"/>
                <w:color w:val="auto"/>
                <w:szCs w:val="44"/>
                <w:highlight w:val="none"/>
              </w:rPr>
            </w:pPr>
          </w:p>
        </w:tc>
        <w:tc>
          <w:tcPr>
            <w:tcW w:w="594" w:type="dxa"/>
            <w:vAlign w:val="center"/>
          </w:tcPr>
          <w:p w14:paraId="404929ED">
            <w:pPr>
              <w:jc w:val="center"/>
              <w:rPr>
                <w:rFonts w:ascii="宋体" w:hAnsi="宋体"/>
                <w:color w:val="auto"/>
                <w:szCs w:val="44"/>
                <w:highlight w:val="none"/>
              </w:rPr>
            </w:pPr>
          </w:p>
        </w:tc>
        <w:tc>
          <w:tcPr>
            <w:tcW w:w="593" w:type="dxa"/>
            <w:vAlign w:val="center"/>
          </w:tcPr>
          <w:p w14:paraId="4B654947">
            <w:pPr>
              <w:jc w:val="center"/>
              <w:rPr>
                <w:rFonts w:ascii="宋体" w:hAnsi="宋体"/>
                <w:color w:val="auto"/>
                <w:szCs w:val="44"/>
                <w:highlight w:val="none"/>
              </w:rPr>
            </w:pPr>
          </w:p>
        </w:tc>
        <w:tc>
          <w:tcPr>
            <w:tcW w:w="593" w:type="dxa"/>
            <w:vAlign w:val="center"/>
          </w:tcPr>
          <w:p w14:paraId="2698220D">
            <w:pPr>
              <w:jc w:val="center"/>
              <w:rPr>
                <w:rFonts w:ascii="宋体" w:hAnsi="宋体"/>
                <w:color w:val="auto"/>
                <w:szCs w:val="44"/>
                <w:highlight w:val="none"/>
              </w:rPr>
            </w:pPr>
          </w:p>
        </w:tc>
        <w:tc>
          <w:tcPr>
            <w:tcW w:w="593" w:type="dxa"/>
            <w:vAlign w:val="center"/>
          </w:tcPr>
          <w:p w14:paraId="69659DC8">
            <w:pPr>
              <w:jc w:val="center"/>
              <w:rPr>
                <w:rFonts w:ascii="宋体" w:hAnsi="宋体"/>
                <w:color w:val="auto"/>
                <w:szCs w:val="44"/>
                <w:highlight w:val="none"/>
              </w:rPr>
            </w:pPr>
          </w:p>
        </w:tc>
        <w:tc>
          <w:tcPr>
            <w:tcW w:w="593" w:type="dxa"/>
            <w:vAlign w:val="center"/>
          </w:tcPr>
          <w:p w14:paraId="03EBC06E">
            <w:pPr>
              <w:jc w:val="center"/>
              <w:rPr>
                <w:rFonts w:ascii="宋体" w:hAnsi="宋体"/>
                <w:color w:val="auto"/>
                <w:szCs w:val="44"/>
                <w:highlight w:val="none"/>
              </w:rPr>
            </w:pPr>
          </w:p>
        </w:tc>
        <w:tc>
          <w:tcPr>
            <w:tcW w:w="593" w:type="dxa"/>
            <w:vAlign w:val="center"/>
          </w:tcPr>
          <w:p w14:paraId="59532845">
            <w:pPr>
              <w:jc w:val="center"/>
              <w:rPr>
                <w:rFonts w:ascii="宋体" w:hAnsi="宋体"/>
                <w:color w:val="auto"/>
                <w:szCs w:val="44"/>
                <w:highlight w:val="none"/>
              </w:rPr>
            </w:pPr>
          </w:p>
        </w:tc>
        <w:tc>
          <w:tcPr>
            <w:tcW w:w="594" w:type="dxa"/>
            <w:vAlign w:val="center"/>
          </w:tcPr>
          <w:p w14:paraId="6B8829AF">
            <w:pPr>
              <w:jc w:val="center"/>
              <w:rPr>
                <w:rFonts w:ascii="宋体" w:hAnsi="宋体"/>
                <w:color w:val="auto"/>
                <w:szCs w:val="44"/>
                <w:highlight w:val="none"/>
              </w:rPr>
            </w:pPr>
          </w:p>
        </w:tc>
        <w:tc>
          <w:tcPr>
            <w:tcW w:w="714" w:type="dxa"/>
            <w:vAlign w:val="center"/>
          </w:tcPr>
          <w:p w14:paraId="11D49582">
            <w:pPr>
              <w:jc w:val="center"/>
              <w:rPr>
                <w:rFonts w:ascii="宋体" w:hAnsi="宋体"/>
                <w:color w:val="auto"/>
                <w:szCs w:val="44"/>
                <w:highlight w:val="none"/>
              </w:rPr>
            </w:pPr>
          </w:p>
        </w:tc>
      </w:tr>
      <w:tr w14:paraId="0867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3FE3507">
            <w:pPr>
              <w:jc w:val="center"/>
              <w:rPr>
                <w:rFonts w:ascii="宋体" w:hAnsi="宋体"/>
                <w:color w:val="auto"/>
                <w:szCs w:val="44"/>
                <w:highlight w:val="none"/>
              </w:rPr>
            </w:pPr>
            <w:r>
              <w:rPr>
                <w:rFonts w:hint="eastAsia" w:ascii="宋体" w:hAnsi="宋体"/>
                <w:color w:val="auto"/>
                <w:szCs w:val="44"/>
                <w:highlight w:val="none"/>
              </w:rPr>
              <w:t>6</w:t>
            </w:r>
          </w:p>
        </w:tc>
        <w:tc>
          <w:tcPr>
            <w:tcW w:w="1541" w:type="dxa"/>
            <w:vAlign w:val="center"/>
          </w:tcPr>
          <w:p w14:paraId="7D1BA7DD">
            <w:pPr>
              <w:jc w:val="center"/>
              <w:rPr>
                <w:rFonts w:ascii="宋体" w:hAnsi="宋体"/>
                <w:color w:val="auto"/>
                <w:szCs w:val="44"/>
                <w:highlight w:val="none"/>
              </w:rPr>
            </w:pPr>
          </w:p>
        </w:tc>
        <w:tc>
          <w:tcPr>
            <w:tcW w:w="595" w:type="dxa"/>
            <w:vAlign w:val="center"/>
          </w:tcPr>
          <w:p w14:paraId="66F66E2A">
            <w:pPr>
              <w:jc w:val="center"/>
              <w:rPr>
                <w:color w:val="auto"/>
                <w:highlight w:val="none"/>
              </w:rPr>
            </w:pPr>
          </w:p>
        </w:tc>
        <w:tc>
          <w:tcPr>
            <w:tcW w:w="595" w:type="dxa"/>
            <w:vAlign w:val="center"/>
          </w:tcPr>
          <w:p w14:paraId="098104BF">
            <w:pPr>
              <w:jc w:val="center"/>
              <w:rPr>
                <w:rFonts w:ascii="宋体" w:hAnsi="宋体"/>
                <w:color w:val="auto"/>
                <w:szCs w:val="44"/>
                <w:highlight w:val="none"/>
              </w:rPr>
            </w:pPr>
          </w:p>
        </w:tc>
        <w:tc>
          <w:tcPr>
            <w:tcW w:w="594" w:type="dxa"/>
            <w:vAlign w:val="center"/>
          </w:tcPr>
          <w:p w14:paraId="33B668C6">
            <w:pPr>
              <w:jc w:val="center"/>
              <w:rPr>
                <w:rFonts w:ascii="宋体" w:hAnsi="宋体"/>
                <w:color w:val="auto"/>
                <w:szCs w:val="44"/>
                <w:highlight w:val="none"/>
              </w:rPr>
            </w:pPr>
          </w:p>
        </w:tc>
        <w:tc>
          <w:tcPr>
            <w:tcW w:w="593" w:type="dxa"/>
            <w:vAlign w:val="center"/>
          </w:tcPr>
          <w:p w14:paraId="153ACBAB">
            <w:pPr>
              <w:jc w:val="center"/>
              <w:rPr>
                <w:rFonts w:ascii="宋体" w:hAnsi="宋体"/>
                <w:color w:val="auto"/>
                <w:szCs w:val="44"/>
                <w:highlight w:val="none"/>
              </w:rPr>
            </w:pPr>
          </w:p>
        </w:tc>
        <w:tc>
          <w:tcPr>
            <w:tcW w:w="593" w:type="dxa"/>
            <w:vAlign w:val="center"/>
          </w:tcPr>
          <w:p w14:paraId="4FD178EB">
            <w:pPr>
              <w:jc w:val="center"/>
              <w:rPr>
                <w:rFonts w:ascii="宋体" w:hAnsi="宋体"/>
                <w:color w:val="auto"/>
                <w:szCs w:val="44"/>
                <w:highlight w:val="none"/>
              </w:rPr>
            </w:pPr>
          </w:p>
        </w:tc>
        <w:tc>
          <w:tcPr>
            <w:tcW w:w="593" w:type="dxa"/>
            <w:vAlign w:val="center"/>
          </w:tcPr>
          <w:p w14:paraId="69F9D7DD">
            <w:pPr>
              <w:jc w:val="center"/>
              <w:rPr>
                <w:rFonts w:ascii="宋体" w:hAnsi="宋体"/>
                <w:color w:val="auto"/>
                <w:szCs w:val="44"/>
                <w:highlight w:val="none"/>
              </w:rPr>
            </w:pPr>
          </w:p>
        </w:tc>
        <w:tc>
          <w:tcPr>
            <w:tcW w:w="593" w:type="dxa"/>
            <w:vAlign w:val="center"/>
          </w:tcPr>
          <w:p w14:paraId="01BED62A">
            <w:pPr>
              <w:jc w:val="center"/>
              <w:rPr>
                <w:rFonts w:ascii="宋体" w:hAnsi="宋体"/>
                <w:color w:val="auto"/>
                <w:szCs w:val="44"/>
                <w:highlight w:val="none"/>
              </w:rPr>
            </w:pPr>
          </w:p>
        </w:tc>
        <w:tc>
          <w:tcPr>
            <w:tcW w:w="593" w:type="dxa"/>
            <w:vAlign w:val="center"/>
          </w:tcPr>
          <w:p w14:paraId="6369BC80">
            <w:pPr>
              <w:jc w:val="center"/>
              <w:rPr>
                <w:rFonts w:ascii="宋体" w:hAnsi="宋体"/>
                <w:color w:val="auto"/>
                <w:szCs w:val="44"/>
                <w:highlight w:val="none"/>
              </w:rPr>
            </w:pPr>
          </w:p>
        </w:tc>
        <w:tc>
          <w:tcPr>
            <w:tcW w:w="594" w:type="dxa"/>
            <w:vAlign w:val="center"/>
          </w:tcPr>
          <w:p w14:paraId="64BB8CC1">
            <w:pPr>
              <w:jc w:val="center"/>
              <w:rPr>
                <w:rFonts w:ascii="宋体" w:hAnsi="宋体"/>
                <w:color w:val="auto"/>
                <w:szCs w:val="44"/>
                <w:highlight w:val="none"/>
              </w:rPr>
            </w:pPr>
          </w:p>
        </w:tc>
        <w:tc>
          <w:tcPr>
            <w:tcW w:w="714" w:type="dxa"/>
            <w:vAlign w:val="center"/>
          </w:tcPr>
          <w:p w14:paraId="00927691">
            <w:pPr>
              <w:jc w:val="center"/>
              <w:rPr>
                <w:rFonts w:ascii="宋体" w:hAnsi="宋体"/>
                <w:color w:val="auto"/>
                <w:szCs w:val="44"/>
                <w:highlight w:val="none"/>
              </w:rPr>
            </w:pPr>
          </w:p>
        </w:tc>
      </w:tr>
      <w:tr w14:paraId="23F4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259D6CD">
            <w:pPr>
              <w:jc w:val="center"/>
              <w:rPr>
                <w:rFonts w:ascii="宋体" w:hAnsi="宋体"/>
                <w:color w:val="auto"/>
                <w:szCs w:val="44"/>
                <w:highlight w:val="none"/>
              </w:rPr>
            </w:pPr>
            <w:r>
              <w:rPr>
                <w:rFonts w:hint="eastAsia" w:ascii="宋体" w:hAnsi="宋体"/>
                <w:color w:val="auto"/>
                <w:szCs w:val="44"/>
                <w:highlight w:val="none"/>
              </w:rPr>
              <w:t>…</w:t>
            </w:r>
          </w:p>
        </w:tc>
        <w:tc>
          <w:tcPr>
            <w:tcW w:w="1541" w:type="dxa"/>
            <w:vAlign w:val="center"/>
          </w:tcPr>
          <w:p w14:paraId="726DFB83">
            <w:pPr>
              <w:rPr>
                <w:rFonts w:ascii="宋体" w:hAnsi="宋体"/>
                <w:color w:val="auto"/>
                <w:szCs w:val="21"/>
                <w:highlight w:val="none"/>
              </w:rPr>
            </w:pPr>
          </w:p>
        </w:tc>
        <w:tc>
          <w:tcPr>
            <w:tcW w:w="595" w:type="dxa"/>
            <w:vAlign w:val="center"/>
          </w:tcPr>
          <w:p w14:paraId="146C8890">
            <w:pPr>
              <w:jc w:val="center"/>
              <w:rPr>
                <w:color w:val="auto"/>
                <w:highlight w:val="none"/>
              </w:rPr>
            </w:pPr>
          </w:p>
        </w:tc>
        <w:tc>
          <w:tcPr>
            <w:tcW w:w="595" w:type="dxa"/>
            <w:vAlign w:val="center"/>
          </w:tcPr>
          <w:p w14:paraId="6249BE95">
            <w:pPr>
              <w:jc w:val="center"/>
              <w:rPr>
                <w:rFonts w:ascii="宋体" w:hAnsi="宋体"/>
                <w:color w:val="auto"/>
                <w:szCs w:val="44"/>
                <w:highlight w:val="none"/>
              </w:rPr>
            </w:pPr>
          </w:p>
        </w:tc>
        <w:tc>
          <w:tcPr>
            <w:tcW w:w="594" w:type="dxa"/>
            <w:vAlign w:val="center"/>
          </w:tcPr>
          <w:p w14:paraId="6127E665">
            <w:pPr>
              <w:jc w:val="center"/>
              <w:rPr>
                <w:rFonts w:ascii="宋体" w:hAnsi="宋体"/>
                <w:color w:val="auto"/>
                <w:szCs w:val="44"/>
                <w:highlight w:val="none"/>
              </w:rPr>
            </w:pPr>
          </w:p>
        </w:tc>
        <w:tc>
          <w:tcPr>
            <w:tcW w:w="593" w:type="dxa"/>
            <w:vAlign w:val="center"/>
          </w:tcPr>
          <w:p w14:paraId="5D32A659">
            <w:pPr>
              <w:jc w:val="center"/>
              <w:rPr>
                <w:rFonts w:ascii="宋体" w:hAnsi="宋体"/>
                <w:color w:val="auto"/>
                <w:szCs w:val="44"/>
                <w:highlight w:val="none"/>
              </w:rPr>
            </w:pPr>
          </w:p>
        </w:tc>
        <w:tc>
          <w:tcPr>
            <w:tcW w:w="593" w:type="dxa"/>
            <w:vAlign w:val="center"/>
          </w:tcPr>
          <w:p w14:paraId="1546F360">
            <w:pPr>
              <w:jc w:val="center"/>
              <w:rPr>
                <w:rFonts w:ascii="宋体" w:hAnsi="宋体"/>
                <w:color w:val="auto"/>
                <w:szCs w:val="44"/>
                <w:highlight w:val="none"/>
              </w:rPr>
            </w:pPr>
          </w:p>
        </w:tc>
        <w:tc>
          <w:tcPr>
            <w:tcW w:w="593" w:type="dxa"/>
            <w:vAlign w:val="center"/>
          </w:tcPr>
          <w:p w14:paraId="55CB82D0">
            <w:pPr>
              <w:jc w:val="center"/>
              <w:rPr>
                <w:rFonts w:ascii="宋体" w:hAnsi="宋体"/>
                <w:color w:val="auto"/>
                <w:szCs w:val="44"/>
                <w:highlight w:val="none"/>
              </w:rPr>
            </w:pPr>
          </w:p>
        </w:tc>
        <w:tc>
          <w:tcPr>
            <w:tcW w:w="593" w:type="dxa"/>
            <w:vAlign w:val="center"/>
          </w:tcPr>
          <w:p w14:paraId="163170D3">
            <w:pPr>
              <w:jc w:val="center"/>
              <w:rPr>
                <w:rFonts w:ascii="宋体" w:hAnsi="宋体"/>
                <w:color w:val="auto"/>
                <w:szCs w:val="44"/>
                <w:highlight w:val="none"/>
              </w:rPr>
            </w:pPr>
          </w:p>
        </w:tc>
        <w:tc>
          <w:tcPr>
            <w:tcW w:w="593" w:type="dxa"/>
            <w:vAlign w:val="center"/>
          </w:tcPr>
          <w:p w14:paraId="6CE02B82">
            <w:pPr>
              <w:jc w:val="center"/>
              <w:rPr>
                <w:rFonts w:ascii="宋体" w:hAnsi="宋体"/>
                <w:color w:val="auto"/>
                <w:szCs w:val="44"/>
                <w:highlight w:val="none"/>
              </w:rPr>
            </w:pPr>
          </w:p>
        </w:tc>
        <w:tc>
          <w:tcPr>
            <w:tcW w:w="594" w:type="dxa"/>
            <w:vAlign w:val="center"/>
          </w:tcPr>
          <w:p w14:paraId="43AAD0C7">
            <w:pPr>
              <w:jc w:val="center"/>
              <w:rPr>
                <w:rFonts w:ascii="宋体" w:hAnsi="宋体"/>
                <w:color w:val="auto"/>
                <w:szCs w:val="44"/>
                <w:highlight w:val="none"/>
              </w:rPr>
            </w:pPr>
          </w:p>
        </w:tc>
        <w:tc>
          <w:tcPr>
            <w:tcW w:w="714" w:type="dxa"/>
            <w:vAlign w:val="center"/>
          </w:tcPr>
          <w:p w14:paraId="6A3477D4">
            <w:pPr>
              <w:jc w:val="center"/>
              <w:rPr>
                <w:rFonts w:ascii="宋体" w:hAnsi="宋体"/>
                <w:color w:val="auto"/>
                <w:szCs w:val="44"/>
                <w:highlight w:val="none"/>
              </w:rPr>
            </w:pPr>
          </w:p>
        </w:tc>
      </w:tr>
      <w:tr w14:paraId="263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2" w:type="dxa"/>
            <w:gridSpan w:val="12"/>
            <w:vAlign w:val="center"/>
          </w:tcPr>
          <w:p w14:paraId="29F04EA7">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F6D2923">
            <w:pPr>
              <w:jc w:val="left"/>
              <w:rPr>
                <w:rFonts w:ascii="宋体" w:hAnsi="宋体"/>
                <w:color w:val="auto"/>
                <w:szCs w:val="44"/>
                <w:highlight w:val="none"/>
              </w:rPr>
            </w:pPr>
          </w:p>
          <w:p w14:paraId="4CB5A3DE">
            <w:pPr>
              <w:jc w:val="left"/>
              <w:rPr>
                <w:rFonts w:ascii="宋体" w:hAnsi="宋体"/>
                <w:color w:val="auto"/>
                <w:szCs w:val="44"/>
                <w:highlight w:val="none"/>
              </w:rPr>
            </w:pPr>
          </w:p>
          <w:p w14:paraId="66E121B3">
            <w:pPr>
              <w:jc w:val="left"/>
              <w:rPr>
                <w:rFonts w:ascii="宋体" w:hAnsi="宋体"/>
                <w:color w:val="auto"/>
                <w:szCs w:val="44"/>
                <w:highlight w:val="none"/>
              </w:rPr>
            </w:pPr>
          </w:p>
          <w:p w14:paraId="345B56E9">
            <w:pPr>
              <w:jc w:val="left"/>
              <w:rPr>
                <w:rFonts w:ascii="宋体" w:hAnsi="宋体"/>
                <w:color w:val="auto"/>
                <w:szCs w:val="44"/>
                <w:highlight w:val="none"/>
              </w:rPr>
            </w:pPr>
          </w:p>
          <w:p w14:paraId="419004D1">
            <w:pPr>
              <w:jc w:val="left"/>
              <w:rPr>
                <w:rFonts w:ascii="宋体" w:hAnsi="宋体"/>
                <w:color w:val="auto"/>
                <w:szCs w:val="44"/>
                <w:highlight w:val="none"/>
              </w:rPr>
            </w:pPr>
          </w:p>
          <w:p w14:paraId="025D2457">
            <w:pPr>
              <w:jc w:val="left"/>
              <w:rPr>
                <w:rFonts w:ascii="宋体" w:hAnsi="宋体"/>
                <w:color w:val="auto"/>
                <w:szCs w:val="44"/>
                <w:highlight w:val="none"/>
              </w:rPr>
            </w:pPr>
          </w:p>
          <w:p w14:paraId="7B9D57B2">
            <w:pPr>
              <w:jc w:val="center"/>
              <w:rPr>
                <w:rFonts w:ascii="宋体" w:hAnsi="宋体"/>
                <w:color w:val="auto"/>
                <w:szCs w:val="44"/>
                <w:highlight w:val="none"/>
              </w:rPr>
            </w:pPr>
          </w:p>
        </w:tc>
      </w:tr>
    </w:tbl>
    <w:p w14:paraId="0DC0FA33">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7C8B6FFF">
      <w:pPr>
        <w:widowControl/>
        <w:jc w:val="left"/>
        <w:rPr>
          <w:rFonts w:ascii="宋体" w:hAnsi="宋体"/>
          <w:color w:val="auto"/>
          <w:szCs w:val="44"/>
          <w:highlight w:val="none"/>
        </w:rPr>
      </w:pPr>
      <w:r>
        <w:rPr>
          <w:rFonts w:ascii="宋体" w:hAnsi="宋体"/>
          <w:color w:val="auto"/>
          <w:szCs w:val="44"/>
          <w:highlight w:val="none"/>
        </w:rPr>
        <w:br w:type="page"/>
      </w:r>
    </w:p>
    <w:p w14:paraId="42793BE6">
      <w:pPr>
        <w:pStyle w:val="32"/>
        <w:ind w:firstLine="118"/>
        <w:rPr>
          <w:color w:val="auto"/>
          <w:highlight w:val="none"/>
        </w:rPr>
      </w:pPr>
      <w:bookmarkStart w:id="906" w:name="_Toc164716309"/>
      <w:bookmarkStart w:id="907" w:name="_Toc148860667"/>
      <w:bookmarkStart w:id="908" w:name="_Toc8952"/>
      <w:bookmarkStart w:id="909" w:name="_Toc256000139"/>
      <w:r>
        <w:rPr>
          <w:rFonts w:hint="eastAsia"/>
          <w:color w:val="auto"/>
          <w:highlight w:val="none"/>
        </w:rPr>
        <w:t>附表A-7（1）：</w:t>
      </w:r>
      <w:r>
        <w:rPr>
          <w:rFonts w:hint="eastAsia"/>
          <w:color w:val="auto"/>
          <w:szCs w:val="21"/>
          <w:highlight w:val="none"/>
        </w:rPr>
        <w:t>承包人建议书</w:t>
      </w:r>
      <w:r>
        <w:rPr>
          <w:rFonts w:hint="eastAsia"/>
          <w:color w:val="auto"/>
          <w:highlight w:val="none"/>
        </w:rPr>
        <w:t>评审记录表（合格性）</w:t>
      </w:r>
      <w:bookmarkEnd w:id="906"/>
      <w:bookmarkEnd w:id="907"/>
      <w:bookmarkEnd w:id="908"/>
      <w:bookmarkEnd w:id="909"/>
    </w:p>
    <w:p w14:paraId="21DD8AEB">
      <w:pPr>
        <w:pStyle w:val="19"/>
        <w:rPr>
          <w:color w:val="auto"/>
          <w:highlight w:val="none"/>
        </w:rPr>
      </w:pPr>
    </w:p>
    <w:p w14:paraId="40053854">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承包人建议书</w:t>
      </w:r>
      <w:r>
        <w:rPr>
          <w:rFonts w:hint="eastAsia" w:ascii="黑体" w:hAnsi="黑体" w:eastAsia="黑体"/>
          <w:bCs/>
          <w:color w:val="auto"/>
          <w:sz w:val="36"/>
          <w:szCs w:val="36"/>
          <w:highlight w:val="none"/>
        </w:rPr>
        <w:t>评审</w:t>
      </w:r>
      <w:r>
        <w:rPr>
          <w:rFonts w:hint="eastAsia" w:ascii="黑体" w:hAnsi="宋体" w:eastAsia="黑体"/>
          <w:color w:val="auto"/>
          <w:sz w:val="36"/>
          <w:szCs w:val="36"/>
          <w:highlight w:val="none"/>
        </w:rPr>
        <w:t>记录表</w:t>
      </w:r>
    </w:p>
    <w:p w14:paraId="65606F27">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76404A2B">
      <w:pPr>
        <w:rPr>
          <w:rFonts w:ascii="宋体" w:hAnsi="宋体"/>
          <w:color w:val="auto"/>
          <w:szCs w:val="44"/>
          <w:highlight w:val="none"/>
        </w:rPr>
      </w:pPr>
      <w:r>
        <w:rPr>
          <w:rFonts w:hint="eastAsia" w:ascii="宋体" w:hAnsi="宋体"/>
          <w:color w:val="auto"/>
          <w:szCs w:val="44"/>
          <w:highlight w:val="none"/>
        </w:rPr>
        <w:t>标段名称：</w:t>
      </w:r>
    </w:p>
    <w:p w14:paraId="65ADDF25">
      <w:pPr>
        <w:rPr>
          <w:rFonts w:ascii="宋体" w:hAnsi="宋体"/>
          <w:color w:val="auto"/>
          <w:szCs w:val="44"/>
          <w:highlight w:val="none"/>
        </w:rPr>
      </w:pPr>
      <w:r>
        <w:rPr>
          <w:rFonts w:hint="eastAsia"/>
          <w:color w:val="auto"/>
          <w:szCs w:val="44"/>
          <w:highlight w:val="none"/>
        </w:rPr>
        <w:t>标段唯一标识码：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67"/>
        <w:gridCol w:w="599"/>
        <w:gridCol w:w="599"/>
        <w:gridCol w:w="599"/>
        <w:gridCol w:w="598"/>
        <w:gridCol w:w="598"/>
        <w:gridCol w:w="598"/>
        <w:gridCol w:w="598"/>
        <w:gridCol w:w="598"/>
        <w:gridCol w:w="599"/>
        <w:gridCol w:w="718"/>
      </w:tblGrid>
      <w:tr w14:paraId="6944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24E98DF6">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267" w:type="dxa"/>
            <w:vMerge w:val="restart"/>
            <w:vAlign w:val="center"/>
          </w:tcPr>
          <w:p w14:paraId="17802B2A">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86" w:type="dxa"/>
            <w:gridSpan w:val="9"/>
            <w:vAlign w:val="center"/>
          </w:tcPr>
          <w:p w14:paraId="6BE40441">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8" w:type="dxa"/>
            <w:vMerge w:val="restart"/>
            <w:vAlign w:val="center"/>
          </w:tcPr>
          <w:p w14:paraId="1F93415F">
            <w:pPr>
              <w:jc w:val="center"/>
              <w:rPr>
                <w:rFonts w:ascii="宋体" w:hAnsi="宋体"/>
                <w:b/>
                <w:bCs/>
                <w:color w:val="auto"/>
                <w:szCs w:val="44"/>
                <w:highlight w:val="none"/>
              </w:rPr>
            </w:pPr>
            <w:r>
              <w:rPr>
                <w:rFonts w:ascii="宋体" w:hAnsi="宋体"/>
                <w:b/>
                <w:bCs/>
                <w:color w:val="auto"/>
                <w:szCs w:val="21"/>
                <w:highlight w:val="none"/>
              </w:rPr>
              <w:t>评审结论</w:t>
            </w:r>
          </w:p>
        </w:tc>
      </w:tr>
      <w:tr w14:paraId="4D6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529AF9BA">
            <w:pPr>
              <w:jc w:val="center"/>
              <w:rPr>
                <w:rFonts w:ascii="宋体" w:hAnsi="宋体"/>
                <w:color w:val="auto"/>
                <w:szCs w:val="44"/>
                <w:highlight w:val="none"/>
              </w:rPr>
            </w:pPr>
          </w:p>
        </w:tc>
        <w:tc>
          <w:tcPr>
            <w:tcW w:w="1267" w:type="dxa"/>
            <w:vMerge w:val="continue"/>
          </w:tcPr>
          <w:p w14:paraId="5792DB4A">
            <w:pPr>
              <w:jc w:val="center"/>
              <w:rPr>
                <w:rFonts w:ascii="宋体" w:hAnsi="宋体"/>
                <w:color w:val="auto"/>
                <w:szCs w:val="44"/>
                <w:highlight w:val="none"/>
              </w:rPr>
            </w:pPr>
          </w:p>
        </w:tc>
        <w:tc>
          <w:tcPr>
            <w:tcW w:w="599" w:type="dxa"/>
            <w:vAlign w:val="center"/>
          </w:tcPr>
          <w:p w14:paraId="36658543">
            <w:pPr>
              <w:jc w:val="center"/>
              <w:rPr>
                <w:rFonts w:ascii="宋体" w:hAnsi="宋体"/>
                <w:color w:val="auto"/>
                <w:szCs w:val="44"/>
                <w:highlight w:val="none"/>
              </w:rPr>
            </w:pPr>
          </w:p>
        </w:tc>
        <w:tc>
          <w:tcPr>
            <w:tcW w:w="599" w:type="dxa"/>
            <w:vAlign w:val="center"/>
          </w:tcPr>
          <w:p w14:paraId="46A70B17">
            <w:pPr>
              <w:jc w:val="center"/>
              <w:rPr>
                <w:rFonts w:ascii="宋体" w:hAnsi="宋体"/>
                <w:color w:val="auto"/>
                <w:szCs w:val="44"/>
                <w:highlight w:val="none"/>
              </w:rPr>
            </w:pPr>
          </w:p>
        </w:tc>
        <w:tc>
          <w:tcPr>
            <w:tcW w:w="599" w:type="dxa"/>
            <w:vAlign w:val="center"/>
          </w:tcPr>
          <w:p w14:paraId="0319D7CC">
            <w:pPr>
              <w:jc w:val="center"/>
              <w:rPr>
                <w:rFonts w:ascii="宋体" w:hAnsi="宋体"/>
                <w:color w:val="auto"/>
                <w:szCs w:val="44"/>
                <w:highlight w:val="none"/>
              </w:rPr>
            </w:pPr>
          </w:p>
        </w:tc>
        <w:tc>
          <w:tcPr>
            <w:tcW w:w="598" w:type="dxa"/>
            <w:vAlign w:val="center"/>
          </w:tcPr>
          <w:p w14:paraId="08F835BD">
            <w:pPr>
              <w:jc w:val="center"/>
              <w:rPr>
                <w:rFonts w:ascii="宋体" w:hAnsi="宋体"/>
                <w:color w:val="auto"/>
                <w:szCs w:val="44"/>
                <w:highlight w:val="none"/>
              </w:rPr>
            </w:pPr>
          </w:p>
        </w:tc>
        <w:tc>
          <w:tcPr>
            <w:tcW w:w="598" w:type="dxa"/>
            <w:vAlign w:val="center"/>
          </w:tcPr>
          <w:p w14:paraId="6238D786">
            <w:pPr>
              <w:jc w:val="center"/>
              <w:rPr>
                <w:rFonts w:ascii="宋体" w:hAnsi="宋体"/>
                <w:color w:val="auto"/>
                <w:szCs w:val="44"/>
                <w:highlight w:val="none"/>
              </w:rPr>
            </w:pPr>
          </w:p>
        </w:tc>
        <w:tc>
          <w:tcPr>
            <w:tcW w:w="598" w:type="dxa"/>
            <w:vAlign w:val="center"/>
          </w:tcPr>
          <w:p w14:paraId="38AF2C92">
            <w:pPr>
              <w:jc w:val="center"/>
              <w:rPr>
                <w:rFonts w:ascii="宋体" w:hAnsi="宋体"/>
                <w:color w:val="auto"/>
                <w:szCs w:val="44"/>
                <w:highlight w:val="none"/>
              </w:rPr>
            </w:pPr>
          </w:p>
        </w:tc>
        <w:tc>
          <w:tcPr>
            <w:tcW w:w="598" w:type="dxa"/>
            <w:vAlign w:val="center"/>
          </w:tcPr>
          <w:p w14:paraId="756656F6">
            <w:pPr>
              <w:jc w:val="center"/>
              <w:rPr>
                <w:rFonts w:ascii="宋体" w:hAnsi="宋体"/>
                <w:color w:val="auto"/>
                <w:szCs w:val="44"/>
                <w:highlight w:val="none"/>
              </w:rPr>
            </w:pPr>
          </w:p>
        </w:tc>
        <w:tc>
          <w:tcPr>
            <w:tcW w:w="598" w:type="dxa"/>
            <w:vAlign w:val="center"/>
          </w:tcPr>
          <w:p w14:paraId="4D016A80">
            <w:pPr>
              <w:jc w:val="center"/>
              <w:rPr>
                <w:rFonts w:ascii="宋体" w:hAnsi="宋体"/>
                <w:color w:val="auto"/>
                <w:szCs w:val="44"/>
                <w:highlight w:val="none"/>
              </w:rPr>
            </w:pPr>
          </w:p>
        </w:tc>
        <w:tc>
          <w:tcPr>
            <w:tcW w:w="599" w:type="dxa"/>
            <w:vAlign w:val="center"/>
          </w:tcPr>
          <w:p w14:paraId="57CCE157">
            <w:pPr>
              <w:jc w:val="center"/>
              <w:rPr>
                <w:rFonts w:ascii="宋体" w:hAnsi="宋体"/>
                <w:color w:val="auto"/>
                <w:szCs w:val="44"/>
                <w:highlight w:val="none"/>
              </w:rPr>
            </w:pPr>
          </w:p>
        </w:tc>
        <w:tc>
          <w:tcPr>
            <w:tcW w:w="718" w:type="dxa"/>
            <w:vMerge w:val="continue"/>
            <w:vAlign w:val="center"/>
          </w:tcPr>
          <w:p w14:paraId="2E3091F1">
            <w:pPr>
              <w:jc w:val="center"/>
              <w:rPr>
                <w:rFonts w:ascii="宋体" w:hAnsi="宋体"/>
                <w:color w:val="auto"/>
                <w:szCs w:val="44"/>
                <w:highlight w:val="none"/>
              </w:rPr>
            </w:pPr>
          </w:p>
        </w:tc>
      </w:tr>
      <w:tr w14:paraId="78D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B58E79F">
            <w:pPr>
              <w:jc w:val="center"/>
              <w:rPr>
                <w:rFonts w:ascii="宋体" w:hAnsi="宋体"/>
                <w:color w:val="auto"/>
                <w:szCs w:val="44"/>
                <w:highlight w:val="none"/>
              </w:rPr>
            </w:pPr>
            <w:r>
              <w:rPr>
                <w:rFonts w:hint="eastAsia" w:ascii="宋体" w:hAnsi="宋体"/>
                <w:color w:val="auto"/>
                <w:szCs w:val="44"/>
                <w:highlight w:val="none"/>
              </w:rPr>
              <w:t>1</w:t>
            </w:r>
          </w:p>
        </w:tc>
        <w:tc>
          <w:tcPr>
            <w:tcW w:w="1267" w:type="dxa"/>
            <w:vAlign w:val="center"/>
          </w:tcPr>
          <w:p w14:paraId="409F0180">
            <w:pPr>
              <w:jc w:val="center"/>
              <w:rPr>
                <w:rFonts w:ascii="宋体" w:hAnsi="宋体"/>
                <w:color w:val="auto"/>
                <w:szCs w:val="21"/>
                <w:highlight w:val="none"/>
              </w:rPr>
            </w:pPr>
          </w:p>
        </w:tc>
        <w:tc>
          <w:tcPr>
            <w:tcW w:w="599" w:type="dxa"/>
            <w:vAlign w:val="center"/>
          </w:tcPr>
          <w:p w14:paraId="4EC8A474">
            <w:pPr>
              <w:jc w:val="center"/>
              <w:rPr>
                <w:rFonts w:ascii="宋体" w:hAnsi="宋体"/>
                <w:color w:val="auto"/>
                <w:szCs w:val="21"/>
                <w:highlight w:val="none"/>
              </w:rPr>
            </w:pPr>
          </w:p>
        </w:tc>
        <w:tc>
          <w:tcPr>
            <w:tcW w:w="599" w:type="dxa"/>
            <w:vAlign w:val="center"/>
          </w:tcPr>
          <w:p w14:paraId="701C1729">
            <w:pPr>
              <w:jc w:val="center"/>
              <w:rPr>
                <w:rFonts w:ascii="宋体" w:hAnsi="宋体"/>
                <w:color w:val="auto"/>
                <w:szCs w:val="44"/>
                <w:highlight w:val="none"/>
              </w:rPr>
            </w:pPr>
          </w:p>
        </w:tc>
        <w:tc>
          <w:tcPr>
            <w:tcW w:w="599" w:type="dxa"/>
            <w:vAlign w:val="center"/>
          </w:tcPr>
          <w:p w14:paraId="5E39FABB">
            <w:pPr>
              <w:jc w:val="center"/>
              <w:rPr>
                <w:rFonts w:ascii="宋体" w:hAnsi="宋体"/>
                <w:color w:val="auto"/>
                <w:szCs w:val="44"/>
                <w:highlight w:val="none"/>
              </w:rPr>
            </w:pPr>
          </w:p>
        </w:tc>
        <w:tc>
          <w:tcPr>
            <w:tcW w:w="598" w:type="dxa"/>
            <w:vAlign w:val="center"/>
          </w:tcPr>
          <w:p w14:paraId="703E71C8">
            <w:pPr>
              <w:jc w:val="center"/>
              <w:rPr>
                <w:rFonts w:ascii="宋体" w:hAnsi="宋体"/>
                <w:color w:val="auto"/>
                <w:szCs w:val="44"/>
                <w:highlight w:val="none"/>
              </w:rPr>
            </w:pPr>
          </w:p>
        </w:tc>
        <w:tc>
          <w:tcPr>
            <w:tcW w:w="598" w:type="dxa"/>
            <w:vAlign w:val="center"/>
          </w:tcPr>
          <w:p w14:paraId="6BD3505B">
            <w:pPr>
              <w:jc w:val="center"/>
              <w:rPr>
                <w:rFonts w:ascii="宋体" w:hAnsi="宋体"/>
                <w:color w:val="auto"/>
                <w:szCs w:val="44"/>
                <w:highlight w:val="none"/>
              </w:rPr>
            </w:pPr>
          </w:p>
        </w:tc>
        <w:tc>
          <w:tcPr>
            <w:tcW w:w="598" w:type="dxa"/>
            <w:vAlign w:val="center"/>
          </w:tcPr>
          <w:p w14:paraId="6705C7DA">
            <w:pPr>
              <w:jc w:val="center"/>
              <w:rPr>
                <w:rFonts w:ascii="宋体" w:hAnsi="宋体"/>
                <w:color w:val="auto"/>
                <w:szCs w:val="44"/>
                <w:highlight w:val="none"/>
              </w:rPr>
            </w:pPr>
          </w:p>
        </w:tc>
        <w:tc>
          <w:tcPr>
            <w:tcW w:w="598" w:type="dxa"/>
            <w:vAlign w:val="center"/>
          </w:tcPr>
          <w:p w14:paraId="512EEEAB">
            <w:pPr>
              <w:jc w:val="center"/>
              <w:rPr>
                <w:rFonts w:ascii="宋体" w:hAnsi="宋体"/>
                <w:color w:val="auto"/>
                <w:szCs w:val="44"/>
                <w:highlight w:val="none"/>
              </w:rPr>
            </w:pPr>
          </w:p>
        </w:tc>
        <w:tc>
          <w:tcPr>
            <w:tcW w:w="598" w:type="dxa"/>
            <w:vAlign w:val="center"/>
          </w:tcPr>
          <w:p w14:paraId="70AA07C1">
            <w:pPr>
              <w:jc w:val="center"/>
              <w:rPr>
                <w:rFonts w:ascii="宋体" w:hAnsi="宋体"/>
                <w:color w:val="auto"/>
                <w:szCs w:val="44"/>
                <w:highlight w:val="none"/>
              </w:rPr>
            </w:pPr>
          </w:p>
        </w:tc>
        <w:tc>
          <w:tcPr>
            <w:tcW w:w="599" w:type="dxa"/>
            <w:vAlign w:val="center"/>
          </w:tcPr>
          <w:p w14:paraId="32DD4124">
            <w:pPr>
              <w:jc w:val="center"/>
              <w:rPr>
                <w:rFonts w:ascii="宋体" w:hAnsi="宋体"/>
                <w:color w:val="auto"/>
                <w:szCs w:val="44"/>
                <w:highlight w:val="none"/>
              </w:rPr>
            </w:pPr>
          </w:p>
        </w:tc>
        <w:tc>
          <w:tcPr>
            <w:tcW w:w="718" w:type="dxa"/>
            <w:vAlign w:val="center"/>
          </w:tcPr>
          <w:p w14:paraId="626F65FE">
            <w:pPr>
              <w:jc w:val="center"/>
              <w:rPr>
                <w:rFonts w:ascii="宋体" w:hAnsi="宋体"/>
                <w:color w:val="auto"/>
                <w:szCs w:val="44"/>
                <w:highlight w:val="none"/>
              </w:rPr>
            </w:pPr>
          </w:p>
        </w:tc>
      </w:tr>
      <w:tr w14:paraId="3E9D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5D45A00">
            <w:pPr>
              <w:jc w:val="center"/>
              <w:rPr>
                <w:rFonts w:ascii="宋体" w:hAnsi="宋体"/>
                <w:color w:val="auto"/>
                <w:szCs w:val="44"/>
                <w:highlight w:val="none"/>
              </w:rPr>
            </w:pPr>
            <w:r>
              <w:rPr>
                <w:rFonts w:hint="eastAsia" w:ascii="宋体" w:hAnsi="宋体"/>
                <w:color w:val="auto"/>
                <w:szCs w:val="44"/>
                <w:highlight w:val="none"/>
              </w:rPr>
              <w:t>2</w:t>
            </w:r>
          </w:p>
        </w:tc>
        <w:tc>
          <w:tcPr>
            <w:tcW w:w="1267" w:type="dxa"/>
            <w:vAlign w:val="center"/>
          </w:tcPr>
          <w:p w14:paraId="069BB8A1">
            <w:pPr>
              <w:jc w:val="center"/>
              <w:rPr>
                <w:rFonts w:ascii="宋体" w:hAnsi="宋体"/>
                <w:color w:val="auto"/>
                <w:szCs w:val="44"/>
                <w:highlight w:val="none"/>
              </w:rPr>
            </w:pPr>
          </w:p>
        </w:tc>
        <w:tc>
          <w:tcPr>
            <w:tcW w:w="599" w:type="dxa"/>
            <w:vAlign w:val="center"/>
          </w:tcPr>
          <w:p w14:paraId="2110DCAE">
            <w:pPr>
              <w:jc w:val="center"/>
              <w:rPr>
                <w:color w:val="auto"/>
                <w:highlight w:val="none"/>
              </w:rPr>
            </w:pPr>
          </w:p>
        </w:tc>
        <w:tc>
          <w:tcPr>
            <w:tcW w:w="599" w:type="dxa"/>
            <w:vAlign w:val="center"/>
          </w:tcPr>
          <w:p w14:paraId="1C69F366">
            <w:pPr>
              <w:jc w:val="center"/>
              <w:rPr>
                <w:rFonts w:ascii="宋体" w:hAnsi="宋体"/>
                <w:color w:val="auto"/>
                <w:szCs w:val="44"/>
                <w:highlight w:val="none"/>
              </w:rPr>
            </w:pPr>
          </w:p>
        </w:tc>
        <w:tc>
          <w:tcPr>
            <w:tcW w:w="599" w:type="dxa"/>
            <w:vAlign w:val="center"/>
          </w:tcPr>
          <w:p w14:paraId="1C686608">
            <w:pPr>
              <w:jc w:val="center"/>
              <w:rPr>
                <w:rFonts w:ascii="宋体" w:hAnsi="宋体"/>
                <w:color w:val="auto"/>
                <w:szCs w:val="44"/>
                <w:highlight w:val="none"/>
              </w:rPr>
            </w:pPr>
          </w:p>
        </w:tc>
        <w:tc>
          <w:tcPr>
            <w:tcW w:w="598" w:type="dxa"/>
            <w:vAlign w:val="center"/>
          </w:tcPr>
          <w:p w14:paraId="75D78232">
            <w:pPr>
              <w:jc w:val="center"/>
              <w:rPr>
                <w:rFonts w:ascii="宋体" w:hAnsi="宋体"/>
                <w:color w:val="auto"/>
                <w:szCs w:val="44"/>
                <w:highlight w:val="none"/>
              </w:rPr>
            </w:pPr>
          </w:p>
        </w:tc>
        <w:tc>
          <w:tcPr>
            <w:tcW w:w="598" w:type="dxa"/>
            <w:vAlign w:val="center"/>
          </w:tcPr>
          <w:p w14:paraId="536B54E4">
            <w:pPr>
              <w:jc w:val="center"/>
              <w:rPr>
                <w:rFonts w:ascii="宋体" w:hAnsi="宋体"/>
                <w:color w:val="auto"/>
                <w:szCs w:val="44"/>
                <w:highlight w:val="none"/>
              </w:rPr>
            </w:pPr>
          </w:p>
        </w:tc>
        <w:tc>
          <w:tcPr>
            <w:tcW w:w="598" w:type="dxa"/>
            <w:vAlign w:val="center"/>
          </w:tcPr>
          <w:p w14:paraId="019781ED">
            <w:pPr>
              <w:jc w:val="center"/>
              <w:rPr>
                <w:rFonts w:ascii="宋体" w:hAnsi="宋体"/>
                <w:color w:val="auto"/>
                <w:szCs w:val="44"/>
                <w:highlight w:val="none"/>
              </w:rPr>
            </w:pPr>
          </w:p>
        </w:tc>
        <w:tc>
          <w:tcPr>
            <w:tcW w:w="598" w:type="dxa"/>
            <w:vAlign w:val="center"/>
          </w:tcPr>
          <w:p w14:paraId="71B2BD35">
            <w:pPr>
              <w:jc w:val="center"/>
              <w:rPr>
                <w:rFonts w:ascii="宋体" w:hAnsi="宋体"/>
                <w:color w:val="auto"/>
                <w:szCs w:val="44"/>
                <w:highlight w:val="none"/>
              </w:rPr>
            </w:pPr>
          </w:p>
        </w:tc>
        <w:tc>
          <w:tcPr>
            <w:tcW w:w="598" w:type="dxa"/>
            <w:vAlign w:val="center"/>
          </w:tcPr>
          <w:p w14:paraId="44C3CD18">
            <w:pPr>
              <w:jc w:val="center"/>
              <w:rPr>
                <w:rFonts w:ascii="宋体" w:hAnsi="宋体"/>
                <w:color w:val="auto"/>
                <w:szCs w:val="44"/>
                <w:highlight w:val="none"/>
              </w:rPr>
            </w:pPr>
          </w:p>
        </w:tc>
        <w:tc>
          <w:tcPr>
            <w:tcW w:w="599" w:type="dxa"/>
            <w:vAlign w:val="center"/>
          </w:tcPr>
          <w:p w14:paraId="2E180A3E">
            <w:pPr>
              <w:jc w:val="center"/>
              <w:rPr>
                <w:rFonts w:ascii="宋体" w:hAnsi="宋体"/>
                <w:color w:val="auto"/>
                <w:szCs w:val="44"/>
                <w:highlight w:val="none"/>
              </w:rPr>
            </w:pPr>
          </w:p>
        </w:tc>
        <w:tc>
          <w:tcPr>
            <w:tcW w:w="718" w:type="dxa"/>
            <w:vAlign w:val="center"/>
          </w:tcPr>
          <w:p w14:paraId="53EA4ADE">
            <w:pPr>
              <w:jc w:val="center"/>
              <w:rPr>
                <w:rFonts w:ascii="宋体" w:hAnsi="宋体"/>
                <w:color w:val="auto"/>
                <w:szCs w:val="44"/>
                <w:highlight w:val="none"/>
              </w:rPr>
            </w:pPr>
          </w:p>
        </w:tc>
      </w:tr>
      <w:tr w14:paraId="789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034E233">
            <w:pPr>
              <w:jc w:val="center"/>
              <w:rPr>
                <w:rFonts w:ascii="宋体" w:hAnsi="宋体"/>
                <w:color w:val="auto"/>
                <w:szCs w:val="44"/>
                <w:highlight w:val="none"/>
              </w:rPr>
            </w:pPr>
            <w:r>
              <w:rPr>
                <w:rFonts w:hint="eastAsia" w:ascii="宋体" w:hAnsi="宋体"/>
                <w:color w:val="auto"/>
                <w:szCs w:val="44"/>
                <w:highlight w:val="none"/>
              </w:rPr>
              <w:t>3</w:t>
            </w:r>
          </w:p>
        </w:tc>
        <w:tc>
          <w:tcPr>
            <w:tcW w:w="1267" w:type="dxa"/>
            <w:vAlign w:val="center"/>
          </w:tcPr>
          <w:p w14:paraId="092078F4">
            <w:pPr>
              <w:jc w:val="center"/>
              <w:rPr>
                <w:rFonts w:ascii="宋体" w:hAnsi="宋体"/>
                <w:color w:val="auto"/>
                <w:szCs w:val="44"/>
                <w:highlight w:val="none"/>
              </w:rPr>
            </w:pPr>
          </w:p>
        </w:tc>
        <w:tc>
          <w:tcPr>
            <w:tcW w:w="599" w:type="dxa"/>
            <w:vAlign w:val="center"/>
          </w:tcPr>
          <w:p w14:paraId="2807B1D3">
            <w:pPr>
              <w:jc w:val="center"/>
              <w:rPr>
                <w:color w:val="auto"/>
                <w:highlight w:val="none"/>
              </w:rPr>
            </w:pPr>
          </w:p>
        </w:tc>
        <w:tc>
          <w:tcPr>
            <w:tcW w:w="599" w:type="dxa"/>
            <w:vAlign w:val="center"/>
          </w:tcPr>
          <w:p w14:paraId="5C025D20">
            <w:pPr>
              <w:jc w:val="center"/>
              <w:rPr>
                <w:rFonts w:ascii="宋体" w:hAnsi="宋体"/>
                <w:color w:val="auto"/>
                <w:szCs w:val="44"/>
                <w:highlight w:val="none"/>
              </w:rPr>
            </w:pPr>
          </w:p>
        </w:tc>
        <w:tc>
          <w:tcPr>
            <w:tcW w:w="599" w:type="dxa"/>
            <w:vAlign w:val="center"/>
          </w:tcPr>
          <w:p w14:paraId="28AC802D">
            <w:pPr>
              <w:jc w:val="center"/>
              <w:rPr>
                <w:rFonts w:ascii="宋体" w:hAnsi="宋体"/>
                <w:color w:val="auto"/>
                <w:szCs w:val="44"/>
                <w:highlight w:val="none"/>
              </w:rPr>
            </w:pPr>
          </w:p>
        </w:tc>
        <w:tc>
          <w:tcPr>
            <w:tcW w:w="598" w:type="dxa"/>
            <w:vAlign w:val="center"/>
          </w:tcPr>
          <w:p w14:paraId="62C7043C">
            <w:pPr>
              <w:jc w:val="center"/>
              <w:rPr>
                <w:rFonts w:ascii="宋体" w:hAnsi="宋体"/>
                <w:color w:val="auto"/>
                <w:szCs w:val="44"/>
                <w:highlight w:val="none"/>
              </w:rPr>
            </w:pPr>
          </w:p>
        </w:tc>
        <w:tc>
          <w:tcPr>
            <w:tcW w:w="598" w:type="dxa"/>
            <w:vAlign w:val="center"/>
          </w:tcPr>
          <w:p w14:paraId="3C6B72B3">
            <w:pPr>
              <w:jc w:val="center"/>
              <w:rPr>
                <w:rFonts w:ascii="宋体" w:hAnsi="宋体"/>
                <w:color w:val="auto"/>
                <w:szCs w:val="44"/>
                <w:highlight w:val="none"/>
              </w:rPr>
            </w:pPr>
          </w:p>
        </w:tc>
        <w:tc>
          <w:tcPr>
            <w:tcW w:w="598" w:type="dxa"/>
            <w:vAlign w:val="center"/>
          </w:tcPr>
          <w:p w14:paraId="691B98CB">
            <w:pPr>
              <w:jc w:val="center"/>
              <w:rPr>
                <w:rFonts w:ascii="宋体" w:hAnsi="宋体"/>
                <w:color w:val="auto"/>
                <w:szCs w:val="44"/>
                <w:highlight w:val="none"/>
              </w:rPr>
            </w:pPr>
          </w:p>
        </w:tc>
        <w:tc>
          <w:tcPr>
            <w:tcW w:w="598" w:type="dxa"/>
            <w:vAlign w:val="center"/>
          </w:tcPr>
          <w:p w14:paraId="5BEE1291">
            <w:pPr>
              <w:jc w:val="center"/>
              <w:rPr>
                <w:rFonts w:ascii="宋体" w:hAnsi="宋体"/>
                <w:color w:val="auto"/>
                <w:szCs w:val="44"/>
                <w:highlight w:val="none"/>
              </w:rPr>
            </w:pPr>
          </w:p>
        </w:tc>
        <w:tc>
          <w:tcPr>
            <w:tcW w:w="598" w:type="dxa"/>
            <w:vAlign w:val="center"/>
          </w:tcPr>
          <w:p w14:paraId="27E27003">
            <w:pPr>
              <w:jc w:val="center"/>
              <w:rPr>
                <w:rFonts w:ascii="宋体" w:hAnsi="宋体"/>
                <w:color w:val="auto"/>
                <w:szCs w:val="44"/>
                <w:highlight w:val="none"/>
              </w:rPr>
            </w:pPr>
          </w:p>
        </w:tc>
        <w:tc>
          <w:tcPr>
            <w:tcW w:w="599" w:type="dxa"/>
            <w:vAlign w:val="center"/>
          </w:tcPr>
          <w:p w14:paraId="72F89B24">
            <w:pPr>
              <w:jc w:val="center"/>
              <w:rPr>
                <w:rFonts w:ascii="宋体" w:hAnsi="宋体"/>
                <w:color w:val="auto"/>
                <w:szCs w:val="44"/>
                <w:highlight w:val="none"/>
              </w:rPr>
            </w:pPr>
          </w:p>
        </w:tc>
        <w:tc>
          <w:tcPr>
            <w:tcW w:w="718" w:type="dxa"/>
            <w:vAlign w:val="center"/>
          </w:tcPr>
          <w:p w14:paraId="56DF65E0">
            <w:pPr>
              <w:jc w:val="center"/>
              <w:rPr>
                <w:rFonts w:ascii="宋体" w:hAnsi="宋体"/>
                <w:color w:val="auto"/>
                <w:szCs w:val="44"/>
                <w:highlight w:val="none"/>
              </w:rPr>
            </w:pPr>
          </w:p>
        </w:tc>
      </w:tr>
      <w:tr w14:paraId="54D5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FA0F978">
            <w:pPr>
              <w:jc w:val="center"/>
              <w:rPr>
                <w:rFonts w:ascii="宋体" w:hAnsi="宋体"/>
                <w:color w:val="auto"/>
                <w:szCs w:val="44"/>
                <w:highlight w:val="none"/>
              </w:rPr>
            </w:pPr>
            <w:r>
              <w:rPr>
                <w:rFonts w:hint="eastAsia" w:ascii="宋体" w:hAnsi="宋体"/>
                <w:color w:val="auto"/>
                <w:szCs w:val="44"/>
                <w:highlight w:val="none"/>
              </w:rPr>
              <w:t>4</w:t>
            </w:r>
          </w:p>
        </w:tc>
        <w:tc>
          <w:tcPr>
            <w:tcW w:w="1267" w:type="dxa"/>
            <w:vAlign w:val="center"/>
          </w:tcPr>
          <w:p w14:paraId="7D978A73">
            <w:pPr>
              <w:jc w:val="center"/>
              <w:rPr>
                <w:rFonts w:ascii="宋体" w:hAnsi="宋体"/>
                <w:color w:val="auto"/>
                <w:szCs w:val="44"/>
                <w:highlight w:val="none"/>
              </w:rPr>
            </w:pPr>
          </w:p>
        </w:tc>
        <w:tc>
          <w:tcPr>
            <w:tcW w:w="599" w:type="dxa"/>
            <w:vAlign w:val="center"/>
          </w:tcPr>
          <w:p w14:paraId="5F460635">
            <w:pPr>
              <w:jc w:val="center"/>
              <w:rPr>
                <w:color w:val="auto"/>
                <w:highlight w:val="none"/>
              </w:rPr>
            </w:pPr>
          </w:p>
        </w:tc>
        <w:tc>
          <w:tcPr>
            <w:tcW w:w="599" w:type="dxa"/>
            <w:vAlign w:val="center"/>
          </w:tcPr>
          <w:p w14:paraId="7AC0DBF8">
            <w:pPr>
              <w:jc w:val="center"/>
              <w:rPr>
                <w:rFonts w:ascii="宋体" w:hAnsi="宋体"/>
                <w:color w:val="auto"/>
                <w:szCs w:val="44"/>
                <w:highlight w:val="none"/>
              </w:rPr>
            </w:pPr>
          </w:p>
        </w:tc>
        <w:tc>
          <w:tcPr>
            <w:tcW w:w="599" w:type="dxa"/>
            <w:vAlign w:val="center"/>
          </w:tcPr>
          <w:p w14:paraId="50DBBAD0">
            <w:pPr>
              <w:jc w:val="center"/>
              <w:rPr>
                <w:rFonts w:ascii="宋体" w:hAnsi="宋体"/>
                <w:color w:val="auto"/>
                <w:szCs w:val="44"/>
                <w:highlight w:val="none"/>
              </w:rPr>
            </w:pPr>
          </w:p>
        </w:tc>
        <w:tc>
          <w:tcPr>
            <w:tcW w:w="598" w:type="dxa"/>
            <w:vAlign w:val="center"/>
          </w:tcPr>
          <w:p w14:paraId="16A92F2E">
            <w:pPr>
              <w:jc w:val="center"/>
              <w:rPr>
                <w:rFonts w:ascii="宋体" w:hAnsi="宋体"/>
                <w:color w:val="auto"/>
                <w:szCs w:val="44"/>
                <w:highlight w:val="none"/>
              </w:rPr>
            </w:pPr>
          </w:p>
        </w:tc>
        <w:tc>
          <w:tcPr>
            <w:tcW w:w="598" w:type="dxa"/>
            <w:vAlign w:val="center"/>
          </w:tcPr>
          <w:p w14:paraId="6169CAD3">
            <w:pPr>
              <w:jc w:val="center"/>
              <w:rPr>
                <w:rFonts w:ascii="宋体" w:hAnsi="宋体"/>
                <w:color w:val="auto"/>
                <w:szCs w:val="44"/>
                <w:highlight w:val="none"/>
              </w:rPr>
            </w:pPr>
          </w:p>
        </w:tc>
        <w:tc>
          <w:tcPr>
            <w:tcW w:w="598" w:type="dxa"/>
            <w:vAlign w:val="center"/>
          </w:tcPr>
          <w:p w14:paraId="6AAE0C91">
            <w:pPr>
              <w:jc w:val="center"/>
              <w:rPr>
                <w:rFonts w:ascii="宋体" w:hAnsi="宋体"/>
                <w:color w:val="auto"/>
                <w:szCs w:val="44"/>
                <w:highlight w:val="none"/>
              </w:rPr>
            </w:pPr>
          </w:p>
        </w:tc>
        <w:tc>
          <w:tcPr>
            <w:tcW w:w="598" w:type="dxa"/>
            <w:vAlign w:val="center"/>
          </w:tcPr>
          <w:p w14:paraId="7323CDAD">
            <w:pPr>
              <w:jc w:val="center"/>
              <w:rPr>
                <w:rFonts w:ascii="宋体" w:hAnsi="宋体"/>
                <w:color w:val="auto"/>
                <w:szCs w:val="44"/>
                <w:highlight w:val="none"/>
              </w:rPr>
            </w:pPr>
          </w:p>
        </w:tc>
        <w:tc>
          <w:tcPr>
            <w:tcW w:w="598" w:type="dxa"/>
            <w:vAlign w:val="center"/>
          </w:tcPr>
          <w:p w14:paraId="393BBC13">
            <w:pPr>
              <w:jc w:val="center"/>
              <w:rPr>
                <w:rFonts w:ascii="宋体" w:hAnsi="宋体"/>
                <w:color w:val="auto"/>
                <w:szCs w:val="44"/>
                <w:highlight w:val="none"/>
              </w:rPr>
            </w:pPr>
          </w:p>
        </w:tc>
        <w:tc>
          <w:tcPr>
            <w:tcW w:w="599" w:type="dxa"/>
            <w:vAlign w:val="center"/>
          </w:tcPr>
          <w:p w14:paraId="314F8282">
            <w:pPr>
              <w:jc w:val="center"/>
              <w:rPr>
                <w:rFonts w:ascii="宋体" w:hAnsi="宋体"/>
                <w:color w:val="auto"/>
                <w:szCs w:val="44"/>
                <w:highlight w:val="none"/>
              </w:rPr>
            </w:pPr>
          </w:p>
        </w:tc>
        <w:tc>
          <w:tcPr>
            <w:tcW w:w="718" w:type="dxa"/>
            <w:vAlign w:val="center"/>
          </w:tcPr>
          <w:p w14:paraId="5A7A0766">
            <w:pPr>
              <w:jc w:val="center"/>
              <w:rPr>
                <w:rFonts w:ascii="宋体" w:hAnsi="宋体"/>
                <w:color w:val="auto"/>
                <w:szCs w:val="44"/>
                <w:highlight w:val="none"/>
              </w:rPr>
            </w:pPr>
          </w:p>
        </w:tc>
      </w:tr>
      <w:tr w14:paraId="22DE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59A5496">
            <w:pPr>
              <w:jc w:val="center"/>
              <w:rPr>
                <w:rFonts w:ascii="宋体" w:hAnsi="宋体"/>
                <w:color w:val="auto"/>
                <w:szCs w:val="44"/>
                <w:highlight w:val="none"/>
              </w:rPr>
            </w:pPr>
            <w:r>
              <w:rPr>
                <w:rFonts w:hint="eastAsia" w:ascii="宋体" w:hAnsi="宋体"/>
                <w:color w:val="auto"/>
                <w:szCs w:val="44"/>
                <w:highlight w:val="none"/>
              </w:rPr>
              <w:t>5</w:t>
            </w:r>
          </w:p>
        </w:tc>
        <w:tc>
          <w:tcPr>
            <w:tcW w:w="1267" w:type="dxa"/>
            <w:vAlign w:val="center"/>
          </w:tcPr>
          <w:p w14:paraId="41C31349">
            <w:pPr>
              <w:jc w:val="center"/>
              <w:rPr>
                <w:rFonts w:ascii="宋体" w:hAnsi="宋体"/>
                <w:color w:val="auto"/>
                <w:szCs w:val="44"/>
                <w:highlight w:val="none"/>
              </w:rPr>
            </w:pPr>
          </w:p>
        </w:tc>
        <w:tc>
          <w:tcPr>
            <w:tcW w:w="599" w:type="dxa"/>
            <w:vAlign w:val="center"/>
          </w:tcPr>
          <w:p w14:paraId="020CB2B7">
            <w:pPr>
              <w:jc w:val="center"/>
              <w:rPr>
                <w:color w:val="auto"/>
                <w:highlight w:val="none"/>
              </w:rPr>
            </w:pPr>
          </w:p>
        </w:tc>
        <w:tc>
          <w:tcPr>
            <w:tcW w:w="599" w:type="dxa"/>
            <w:vAlign w:val="center"/>
          </w:tcPr>
          <w:p w14:paraId="41967DEE">
            <w:pPr>
              <w:jc w:val="center"/>
              <w:rPr>
                <w:rFonts w:ascii="宋体" w:hAnsi="宋体"/>
                <w:color w:val="auto"/>
                <w:szCs w:val="44"/>
                <w:highlight w:val="none"/>
              </w:rPr>
            </w:pPr>
          </w:p>
        </w:tc>
        <w:tc>
          <w:tcPr>
            <w:tcW w:w="599" w:type="dxa"/>
            <w:vAlign w:val="center"/>
          </w:tcPr>
          <w:p w14:paraId="13F5406A">
            <w:pPr>
              <w:jc w:val="center"/>
              <w:rPr>
                <w:rFonts w:ascii="宋体" w:hAnsi="宋体"/>
                <w:color w:val="auto"/>
                <w:szCs w:val="44"/>
                <w:highlight w:val="none"/>
              </w:rPr>
            </w:pPr>
          </w:p>
        </w:tc>
        <w:tc>
          <w:tcPr>
            <w:tcW w:w="598" w:type="dxa"/>
            <w:vAlign w:val="center"/>
          </w:tcPr>
          <w:p w14:paraId="54A6CF56">
            <w:pPr>
              <w:jc w:val="center"/>
              <w:rPr>
                <w:rFonts w:ascii="宋体" w:hAnsi="宋体"/>
                <w:color w:val="auto"/>
                <w:szCs w:val="44"/>
                <w:highlight w:val="none"/>
              </w:rPr>
            </w:pPr>
          </w:p>
        </w:tc>
        <w:tc>
          <w:tcPr>
            <w:tcW w:w="598" w:type="dxa"/>
            <w:vAlign w:val="center"/>
          </w:tcPr>
          <w:p w14:paraId="3E3BDC45">
            <w:pPr>
              <w:jc w:val="center"/>
              <w:rPr>
                <w:rFonts w:ascii="宋体" w:hAnsi="宋体"/>
                <w:color w:val="auto"/>
                <w:szCs w:val="44"/>
                <w:highlight w:val="none"/>
              </w:rPr>
            </w:pPr>
          </w:p>
        </w:tc>
        <w:tc>
          <w:tcPr>
            <w:tcW w:w="598" w:type="dxa"/>
            <w:vAlign w:val="center"/>
          </w:tcPr>
          <w:p w14:paraId="5297F71B">
            <w:pPr>
              <w:jc w:val="center"/>
              <w:rPr>
                <w:rFonts w:ascii="宋体" w:hAnsi="宋体"/>
                <w:color w:val="auto"/>
                <w:szCs w:val="44"/>
                <w:highlight w:val="none"/>
              </w:rPr>
            </w:pPr>
          </w:p>
        </w:tc>
        <w:tc>
          <w:tcPr>
            <w:tcW w:w="598" w:type="dxa"/>
            <w:vAlign w:val="center"/>
          </w:tcPr>
          <w:p w14:paraId="17CE4D3C">
            <w:pPr>
              <w:jc w:val="center"/>
              <w:rPr>
                <w:rFonts w:ascii="宋体" w:hAnsi="宋体"/>
                <w:color w:val="auto"/>
                <w:szCs w:val="44"/>
                <w:highlight w:val="none"/>
              </w:rPr>
            </w:pPr>
          </w:p>
        </w:tc>
        <w:tc>
          <w:tcPr>
            <w:tcW w:w="598" w:type="dxa"/>
            <w:vAlign w:val="center"/>
          </w:tcPr>
          <w:p w14:paraId="1D750074">
            <w:pPr>
              <w:jc w:val="center"/>
              <w:rPr>
                <w:rFonts w:ascii="宋体" w:hAnsi="宋体"/>
                <w:color w:val="auto"/>
                <w:szCs w:val="44"/>
                <w:highlight w:val="none"/>
              </w:rPr>
            </w:pPr>
          </w:p>
        </w:tc>
        <w:tc>
          <w:tcPr>
            <w:tcW w:w="599" w:type="dxa"/>
            <w:vAlign w:val="center"/>
          </w:tcPr>
          <w:p w14:paraId="662D79A2">
            <w:pPr>
              <w:jc w:val="center"/>
              <w:rPr>
                <w:rFonts w:ascii="宋体" w:hAnsi="宋体"/>
                <w:color w:val="auto"/>
                <w:szCs w:val="44"/>
                <w:highlight w:val="none"/>
              </w:rPr>
            </w:pPr>
          </w:p>
        </w:tc>
        <w:tc>
          <w:tcPr>
            <w:tcW w:w="718" w:type="dxa"/>
            <w:vAlign w:val="center"/>
          </w:tcPr>
          <w:p w14:paraId="0E59B42F">
            <w:pPr>
              <w:jc w:val="center"/>
              <w:rPr>
                <w:rFonts w:ascii="宋体" w:hAnsi="宋体"/>
                <w:color w:val="auto"/>
                <w:szCs w:val="44"/>
                <w:highlight w:val="none"/>
              </w:rPr>
            </w:pPr>
          </w:p>
        </w:tc>
      </w:tr>
      <w:tr w14:paraId="038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74A1DD0">
            <w:pPr>
              <w:jc w:val="center"/>
              <w:rPr>
                <w:rFonts w:ascii="宋体" w:hAnsi="宋体"/>
                <w:color w:val="auto"/>
                <w:szCs w:val="44"/>
                <w:highlight w:val="none"/>
              </w:rPr>
            </w:pPr>
            <w:r>
              <w:rPr>
                <w:rFonts w:hint="eastAsia" w:ascii="宋体" w:hAnsi="宋体"/>
                <w:color w:val="auto"/>
                <w:szCs w:val="44"/>
                <w:highlight w:val="none"/>
              </w:rPr>
              <w:t>6</w:t>
            </w:r>
          </w:p>
        </w:tc>
        <w:tc>
          <w:tcPr>
            <w:tcW w:w="1267" w:type="dxa"/>
            <w:vAlign w:val="center"/>
          </w:tcPr>
          <w:p w14:paraId="25ADDF23">
            <w:pPr>
              <w:jc w:val="center"/>
              <w:rPr>
                <w:rFonts w:ascii="宋体" w:hAnsi="宋体"/>
                <w:color w:val="auto"/>
                <w:szCs w:val="44"/>
                <w:highlight w:val="none"/>
              </w:rPr>
            </w:pPr>
          </w:p>
        </w:tc>
        <w:tc>
          <w:tcPr>
            <w:tcW w:w="599" w:type="dxa"/>
            <w:vAlign w:val="center"/>
          </w:tcPr>
          <w:p w14:paraId="2C886C18">
            <w:pPr>
              <w:jc w:val="center"/>
              <w:rPr>
                <w:color w:val="auto"/>
                <w:highlight w:val="none"/>
              </w:rPr>
            </w:pPr>
          </w:p>
        </w:tc>
        <w:tc>
          <w:tcPr>
            <w:tcW w:w="599" w:type="dxa"/>
            <w:vAlign w:val="center"/>
          </w:tcPr>
          <w:p w14:paraId="32239AB3">
            <w:pPr>
              <w:jc w:val="center"/>
              <w:rPr>
                <w:rFonts w:ascii="宋体" w:hAnsi="宋体"/>
                <w:color w:val="auto"/>
                <w:szCs w:val="44"/>
                <w:highlight w:val="none"/>
              </w:rPr>
            </w:pPr>
          </w:p>
        </w:tc>
        <w:tc>
          <w:tcPr>
            <w:tcW w:w="599" w:type="dxa"/>
            <w:vAlign w:val="center"/>
          </w:tcPr>
          <w:p w14:paraId="12334AAF">
            <w:pPr>
              <w:jc w:val="center"/>
              <w:rPr>
                <w:rFonts w:ascii="宋体" w:hAnsi="宋体"/>
                <w:color w:val="auto"/>
                <w:szCs w:val="44"/>
                <w:highlight w:val="none"/>
              </w:rPr>
            </w:pPr>
          </w:p>
        </w:tc>
        <w:tc>
          <w:tcPr>
            <w:tcW w:w="598" w:type="dxa"/>
            <w:vAlign w:val="center"/>
          </w:tcPr>
          <w:p w14:paraId="40E8793E">
            <w:pPr>
              <w:jc w:val="center"/>
              <w:rPr>
                <w:rFonts w:ascii="宋体" w:hAnsi="宋体"/>
                <w:color w:val="auto"/>
                <w:szCs w:val="44"/>
                <w:highlight w:val="none"/>
              </w:rPr>
            </w:pPr>
          </w:p>
        </w:tc>
        <w:tc>
          <w:tcPr>
            <w:tcW w:w="598" w:type="dxa"/>
            <w:vAlign w:val="center"/>
          </w:tcPr>
          <w:p w14:paraId="40DE662F">
            <w:pPr>
              <w:jc w:val="center"/>
              <w:rPr>
                <w:rFonts w:ascii="宋体" w:hAnsi="宋体"/>
                <w:color w:val="auto"/>
                <w:szCs w:val="44"/>
                <w:highlight w:val="none"/>
              </w:rPr>
            </w:pPr>
          </w:p>
        </w:tc>
        <w:tc>
          <w:tcPr>
            <w:tcW w:w="598" w:type="dxa"/>
            <w:vAlign w:val="center"/>
          </w:tcPr>
          <w:p w14:paraId="61C04949">
            <w:pPr>
              <w:jc w:val="center"/>
              <w:rPr>
                <w:rFonts w:ascii="宋体" w:hAnsi="宋体"/>
                <w:color w:val="auto"/>
                <w:szCs w:val="44"/>
                <w:highlight w:val="none"/>
              </w:rPr>
            </w:pPr>
          </w:p>
        </w:tc>
        <w:tc>
          <w:tcPr>
            <w:tcW w:w="598" w:type="dxa"/>
            <w:vAlign w:val="center"/>
          </w:tcPr>
          <w:p w14:paraId="1B4BA87A">
            <w:pPr>
              <w:jc w:val="center"/>
              <w:rPr>
                <w:rFonts w:ascii="宋体" w:hAnsi="宋体"/>
                <w:color w:val="auto"/>
                <w:szCs w:val="44"/>
                <w:highlight w:val="none"/>
              </w:rPr>
            </w:pPr>
          </w:p>
        </w:tc>
        <w:tc>
          <w:tcPr>
            <w:tcW w:w="598" w:type="dxa"/>
            <w:vAlign w:val="center"/>
          </w:tcPr>
          <w:p w14:paraId="15235FA6">
            <w:pPr>
              <w:jc w:val="center"/>
              <w:rPr>
                <w:rFonts w:ascii="宋体" w:hAnsi="宋体"/>
                <w:color w:val="auto"/>
                <w:szCs w:val="44"/>
                <w:highlight w:val="none"/>
              </w:rPr>
            </w:pPr>
          </w:p>
        </w:tc>
        <w:tc>
          <w:tcPr>
            <w:tcW w:w="599" w:type="dxa"/>
            <w:vAlign w:val="center"/>
          </w:tcPr>
          <w:p w14:paraId="024E9988">
            <w:pPr>
              <w:jc w:val="center"/>
              <w:rPr>
                <w:rFonts w:ascii="宋体" w:hAnsi="宋体"/>
                <w:color w:val="auto"/>
                <w:szCs w:val="44"/>
                <w:highlight w:val="none"/>
              </w:rPr>
            </w:pPr>
          </w:p>
        </w:tc>
        <w:tc>
          <w:tcPr>
            <w:tcW w:w="718" w:type="dxa"/>
            <w:vAlign w:val="center"/>
          </w:tcPr>
          <w:p w14:paraId="75EB890C">
            <w:pPr>
              <w:jc w:val="center"/>
              <w:rPr>
                <w:rFonts w:ascii="宋体" w:hAnsi="宋体"/>
                <w:color w:val="auto"/>
                <w:szCs w:val="44"/>
                <w:highlight w:val="none"/>
              </w:rPr>
            </w:pPr>
          </w:p>
        </w:tc>
      </w:tr>
      <w:tr w14:paraId="2AFF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6C1F4AA">
            <w:pPr>
              <w:jc w:val="center"/>
              <w:rPr>
                <w:rFonts w:ascii="宋体" w:hAnsi="宋体"/>
                <w:color w:val="auto"/>
                <w:szCs w:val="44"/>
                <w:highlight w:val="none"/>
              </w:rPr>
            </w:pPr>
            <w:r>
              <w:rPr>
                <w:rFonts w:hint="eastAsia" w:ascii="宋体" w:hAnsi="宋体"/>
                <w:color w:val="auto"/>
                <w:szCs w:val="44"/>
                <w:highlight w:val="none"/>
              </w:rPr>
              <w:t>…</w:t>
            </w:r>
          </w:p>
        </w:tc>
        <w:tc>
          <w:tcPr>
            <w:tcW w:w="1267" w:type="dxa"/>
            <w:vAlign w:val="center"/>
          </w:tcPr>
          <w:p w14:paraId="46960833">
            <w:pPr>
              <w:rPr>
                <w:rFonts w:ascii="宋体" w:hAnsi="宋体"/>
                <w:color w:val="auto"/>
                <w:szCs w:val="21"/>
                <w:highlight w:val="none"/>
              </w:rPr>
            </w:pPr>
          </w:p>
        </w:tc>
        <w:tc>
          <w:tcPr>
            <w:tcW w:w="599" w:type="dxa"/>
            <w:vAlign w:val="center"/>
          </w:tcPr>
          <w:p w14:paraId="52B75D98">
            <w:pPr>
              <w:jc w:val="center"/>
              <w:rPr>
                <w:color w:val="auto"/>
                <w:highlight w:val="none"/>
              </w:rPr>
            </w:pPr>
          </w:p>
        </w:tc>
        <w:tc>
          <w:tcPr>
            <w:tcW w:w="599" w:type="dxa"/>
            <w:vAlign w:val="center"/>
          </w:tcPr>
          <w:p w14:paraId="1460307C">
            <w:pPr>
              <w:jc w:val="center"/>
              <w:rPr>
                <w:rFonts w:ascii="宋体" w:hAnsi="宋体"/>
                <w:color w:val="auto"/>
                <w:szCs w:val="44"/>
                <w:highlight w:val="none"/>
              </w:rPr>
            </w:pPr>
          </w:p>
        </w:tc>
        <w:tc>
          <w:tcPr>
            <w:tcW w:w="599" w:type="dxa"/>
            <w:vAlign w:val="center"/>
          </w:tcPr>
          <w:p w14:paraId="2D7FA55D">
            <w:pPr>
              <w:jc w:val="center"/>
              <w:rPr>
                <w:rFonts w:ascii="宋体" w:hAnsi="宋体"/>
                <w:color w:val="auto"/>
                <w:szCs w:val="44"/>
                <w:highlight w:val="none"/>
              </w:rPr>
            </w:pPr>
          </w:p>
        </w:tc>
        <w:tc>
          <w:tcPr>
            <w:tcW w:w="598" w:type="dxa"/>
            <w:vAlign w:val="center"/>
          </w:tcPr>
          <w:p w14:paraId="7D0E6BAA">
            <w:pPr>
              <w:jc w:val="center"/>
              <w:rPr>
                <w:rFonts w:ascii="宋体" w:hAnsi="宋体"/>
                <w:color w:val="auto"/>
                <w:szCs w:val="44"/>
                <w:highlight w:val="none"/>
              </w:rPr>
            </w:pPr>
          </w:p>
        </w:tc>
        <w:tc>
          <w:tcPr>
            <w:tcW w:w="598" w:type="dxa"/>
            <w:vAlign w:val="center"/>
          </w:tcPr>
          <w:p w14:paraId="3357E79B">
            <w:pPr>
              <w:jc w:val="center"/>
              <w:rPr>
                <w:rFonts w:ascii="宋体" w:hAnsi="宋体"/>
                <w:color w:val="auto"/>
                <w:szCs w:val="44"/>
                <w:highlight w:val="none"/>
              </w:rPr>
            </w:pPr>
          </w:p>
        </w:tc>
        <w:tc>
          <w:tcPr>
            <w:tcW w:w="598" w:type="dxa"/>
            <w:vAlign w:val="center"/>
          </w:tcPr>
          <w:p w14:paraId="495B629F">
            <w:pPr>
              <w:jc w:val="center"/>
              <w:rPr>
                <w:rFonts w:ascii="宋体" w:hAnsi="宋体"/>
                <w:color w:val="auto"/>
                <w:szCs w:val="44"/>
                <w:highlight w:val="none"/>
              </w:rPr>
            </w:pPr>
          </w:p>
        </w:tc>
        <w:tc>
          <w:tcPr>
            <w:tcW w:w="598" w:type="dxa"/>
            <w:vAlign w:val="center"/>
          </w:tcPr>
          <w:p w14:paraId="0F48CF1A">
            <w:pPr>
              <w:jc w:val="center"/>
              <w:rPr>
                <w:rFonts w:ascii="宋体" w:hAnsi="宋体"/>
                <w:color w:val="auto"/>
                <w:szCs w:val="44"/>
                <w:highlight w:val="none"/>
              </w:rPr>
            </w:pPr>
          </w:p>
        </w:tc>
        <w:tc>
          <w:tcPr>
            <w:tcW w:w="598" w:type="dxa"/>
            <w:vAlign w:val="center"/>
          </w:tcPr>
          <w:p w14:paraId="7F539B87">
            <w:pPr>
              <w:jc w:val="center"/>
              <w:rPr>
                <w:rFonts w:ascii="宋体" w:hAnsi="宋体"/>
                <w:color w:val="auto"/>
                <w:szCs w:val="44"/>
                <w:highlight w:val="none"/>
              </w:rPr>
            </w:pPr>
          </w:p>
        </w:tc>
        <w:tc>
          <w:tcPr>
            <w:tcW w:w="599" w:type="dxa"/>
            <w:vAlign w:val="center"/>
          </w:tcPr>
          <w:p w14:paraId="6E254447">
            <w:pPr>
              <w:jc w:val="center"/>
              <w:rPr>
                <w:rFonts w:ascii="宋体" w:hAnsi="宋体"/>
                <w:color w:val="auto"/>
                <w:szCs w:val="44"/>
                <w:highlight w:val="none"/>
              </w:rPr>
            </w:pPr>
          </w:p>
        </w:tc>
        <w:tc>
          <w:tcPr>
            <w:tcW w:w="718" w:type="dxa"/>
            <w:vAlign w:val="center"/>
          </w:tcPr>
          <w:p w14:paraId="4248857C">
            <w:pPr>
              <w:jc w:val="center"/>
              <w:rPr>
                <w:rFonts w:ascii="宋体" w:hAnsi="宋体"/>
                <w:color w:val="auto"/>
                <w:szCs w:val="44"/>
                <w:highlight w:val="none"/>
              </w:rPr>
            </w:pPr>
          </w:p>
        </w:tc>
      </w:tr>
      <w:tr w14:paraId="1E89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5" w:type="dxa"/>
            <w:gridSpan w:val="12"/>
            <w:vAlign w:val="center"/>
          </w:tcPr>
          <w:p w14:paraId="3AFF57D1">
            <w:pPr>
              <w:jc w:val="left"/>
              <w:rPr>
                <w:rFonts w:ascii="宋体" w:hAnsi="宋体"/>
                <w:color w:val="auto"/>
                <w:szCs w:val="44"/>
                <w:highlight w:val="none"/>
              </w:rPr>
            </w:pPr>
            <w:r>
              <w:rPr>
                <w:rFonts w:hint="eastAsia"/>
                <w:color w:val="auto"/>
                <w:highlight w:val="none"/>
              </w:rPr>
              <w:t xml:space="preserve">评标委员会全体成员签名： </w:t>
            </w:r>
          </w:p>
          <w:p w14:paraId="5AD6363A">
            <w:pPr>
              <w:jc w:val="left"/>
              <w:rPr>
                <w:rFonts w:ascii="宋体" w:hAnsi="宋体"/>
                <w:color w:val="auto"/>
                <w:szCs w:val="44"/>
                <w:highlight w:val="none"/>
              </w:rPr>
            </w:pPr>
          </w:p>
          <w:p w14:paraId="1297A10F">
            <w:pPr>
              <w:jc w:val="left"/>
              <w:rPr>
                <w:rFonts w:ascii="宋体" w:hAnsi="宋体"/>
                <w:color w:val="auto"/>
                <w:szCs w:val="44"/>
                <w:highlight w:val="none"/>
              </w:rPr>
            </w:pPr>
          </w:p>
          <w:p w14:paraId="3E2F4352">
            <w:pPr>
              <w:jc w:val="left"/>
              <w:rPr>
                <w:rFonts w:ascii="宋体" w:hAnsi="宋体"/>
                <w:color w:val="auto"/>
                <w:szCs w:val="44"/>
                <w:highlight w:val="none"/>
              </w:rPr>
            </w:pPr>
          </w:p>
          <w:p w14:paraId="49C0BEE1">
            <w:pPr>
              <w:jc w:val="left"/>
              <w:rPr>
                <w:rFonts w:ascii="宋体" w:hAnsi="宋体"/>
                <w:color w:val="auto"/>
                <w:szCs w:val="44"/>
                <w:highlight w:val="none"/>
              </w:rPr>
            </w:pPr>
          </w:p>
          <w:p w14:paraId="39CE653E">
            <w:pPr>
              <w:jc w:val="left"/>
              <w:rPr>
                <w:rFonts w:ascii="宋体" w:hAnsi="宋体"/>
                <w:color w:val="auto"/>
                <w:szCs w:val="44"/>
                <w:highlight w:val="none"/>
              </w:rPr>
            </w:pPr>
          </w:p>
          <w:p w14:paraId="7ACFF39F">
            <w:pPr>
              <w:jc w:val="left"/>
              <w:rPr>
                <w:rFonts w:ascii="宋体" w:hAnsi="宋体"/>
                <w:color w:val="auto"/>
                <w:szCs w:val="44"/>
                <w:highlight w:val="none"/>
              </w:rPr>
            </w:pPr>
          </w:p>
          <w:p w14:paraId="610EDB14">
            <w:pPr>
              <w:jc w:val="center"/>
              <w:rPr>
                <w:rFonts w:ascii="宋体" w:hAnsi="宋体"/>
                <w:color w:val="auto"/>
                <w:szCs w:val="44"/>
                <w:highlight w:val="none"/>
              </w:rPr>
            </w:pPr>
          </w:p>
        </w:tc>
      </w:tr>
    </w:tbl>
    <w:p w14:paraId="4598B1BB">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35CB0C08">
      <w:pPr>
        <w:widowControl/>
        <w:jc w:val="left"/>
        <w:rPr>
          <w:rFonts w:ascii="宋体" w:hAnsi="宋体"/>
          <w:color w:val="auto"/>
          <w:szCs w:val="44"/>
          <w:highlight w:val="none"/>
        </w:rPr>
      </w:pPr>
      <w:r>
        <w:rPr>
          <w:rFonts w:ascii="宋体" w:hAnsi="宋体"/>
          <w:color w:val="auto"/>
          <w:szCs w:val="44"/>
          <w:highlight w:val="none"/>
        </w:rPr>
        <w:br w:type="page"/>
      </w:r>
    </w:p>
    <w:p w14:paraId="4F40E725">
      <w:pPr>
        <w:pStyle w:val="32"/>
        <w:ind w:firstLine="118"/>
        <w:rPr>
          <w:color w:val="auto"/>
          <w:highlight w:val="none"/>
        </w:rPr>
      </w:pPr>
      <w:bookmarkStart w:id="910" w:name="_Toc9281"/>
      <w:bookmarkStart w:id="911" w:name="_Toc148860668"/>
      <w:bookmarkStart w:id="912" w:name="_Toc164716310"/>
      <w:bookmarkStart w:id="913" w:name="_Toc256000140"/>
      <w:r>
        <w:rPr>
          <w:rFonts w:hint="eastAsia"/>
          <w:color w:val="auto"/>
          <w:highlight w:val="none"/>
        </w:rPr>
        <w:t>附表A-</w:t>
      </w:r>
      <w:r>
        <w:rPr>
          <w:color w:val="auto"/>
          <w:highlight w:val="none"/>
        </w:rPr>
        <w:t>7（2</w:t>
      </w:r>
      <w:r>
        <w:rPr>
          <w:rFonts w:hint="eastAsia"/>
          <w:color w:val="auto"/>
          <w:highlight w:val="none"/>
        </w:rPr>
        <w:t>）：</w:t>
      </w:r>
      <w:r>
        <w:rPr>
          <w:rFonts w:hint="eastAsia"/>
          <w:color w:val="auto"/>
          <w:szCs w:val="21"/>
          <w:highlight w:val="none"/>
        </w:rPr>
        <w:t>技术标</w:t>
      </w:r>
      <w:r>
        <w:rPr>
          <w:rFonts w:hint="eastAsia"/>
          <w:color w:val="auto"/>
          <w:highlight w:val="none"/>
        </w:rPr>
        <w:t>评审记录表（合格性）</w:t>
      </w:r>
      <w:bookmarkEnd w:id="910"/>
      <w:bookmarkEnd w:id="911"/>
      <w:bookmarkEnd w:id="912"/>
      <w:bookmarkEnd w:id="913"/>
    </w:p>
    <w:p w14:paraId="7026F2F0">
      <w:pPr>
        <w:pStyle w:val="19"/>
        <w:rPr>
          <w:color w:val="auto"/>
          <w:highlight w:val="none"/>
        </w:rPr>
      </w:pPr>
    </w:p>
    <w:p w14:paraId="3ED167F3">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w:t>
      </w:r>
    </w:p>
    <w:p w14:paraId="27BFF392">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0DBD9B3A">
      <w:pPr>
        <w:rPr>
          <w:rFonts w:ascii="宋体" w:hAnsi="宋体"/>
          <w:color w:val="auto"/>
          <w:szCs w:val="44"/>
          <w:highlight w:val="none"/>
        </w:rPr>
      </w:pPr>
      <w:r>
        <w:rPr>
          <w:rFonts w:hint="eastAsia" w:ascii="宋体" w:hAnsi="宋体"/>
          <w:color w:val="auto"/>
          <w:szCs w:val="44"/>
          <w:highlight w:val="none"/>
        </w:rPr>
        <w:t>标段名称：</w:t>
      </w:r>
    </w:p>
    <w:p w14:paraId="171FFD9C">
      <w:pPr>
        <w:rPr>
          <w:rFonts w:ascii="宋体" w:hAnsi="宋体"/>
          <w:color w:val="auto"/>
          <w:szCs w:val="44"/>
          <w:highlight w:val="none"/>
        </w:rPr>
      </w:pPr>
      <w:r>
        <w:rPr>
          <w:rFonts w:hint="eastAsia"/>
          <w:color w:val="auto"/>
          <w:szCs w:val="44"/>
          <w:highlight w:val="none"/>
        </w:rPr>
        <w:t>标段唯一标识码：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41"/>
        <w:gridCol w:w="595"/>
        <w:gridCol w:w="595"/>
        <w:gridCol w:w="594"/>
        <w:gridCol w:w="593"/>
        <w:gridCol w:w="593"/>
        <w:gridCol w:w="593"/>
        <w:gridCol w:w="593"/>
        <w:gridCol w:w="593"/>
        <w:gridCol w:w="594"/>
        <w:gridCol w:w="714"/>
      </w:tblGrid>
      <w:tr w14:paraId="2069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07E33D4A">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541" w:type="dxa"/>
            <w:vMerge w:val="restart"/>
            <w:vAlign w:val="center"/>
          </w:tcPr>
          <w:p w14:paraId="4C6214D3">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43" w:type="dxa"/>
            <w:gridSpan w:val="9"/>
            <w:vAlign w:val="center"/>
          </w:tcPr>
          <w:p w14:paraId="4E7DAE5A">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4" w:type="dxa"/>
            <w:vMerge w:val="restart"/>
            <w:vAlign w:val="center"/>
          </w:tcPr>
          <w:p w14:paraId="706D99C6">
            <w:pPr>
              <w:jc w:val="center"/>
              <w:rPr>
                <w:rFonts w:ascii="宋体" w:hAnsi="宋体"/>
                <w:b/>
                <w:bCs/>
                <w:color w:val="auto"/>
                <w:szCs w:val="44"/>
                <w:highlight w:val="none"/>
              </w:rPr>
            </w:pPr>
            <w:r>
              <w:rPr>
                <w:rFonts w:ascii="宋体" w:hAnsi="宋体"/>
                <w:b/>
                <w:bCs/>
                <w:color w:val="auto"/>
                <w:szCs w:val="21"/>
                <w:highlight w:val="none"/>
              </w:rPr>
              <w:t>评审结论</w:t>
            </w:r>
          </w:p>
        </w:tc>
      </w:tr>
      <w:tr w14:paraId="0030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46AEFAC2">
            <w:pPr>
              <w:jc w:val="center"/>
              <w:rPr>
                <w:rFonts w:ascii="宋体" w:hAnsi="宋体"/>
                <w:color w:val="auto"/>
                <w:szCs w:val="44"/>
                <w:highlight w:val="none"/>
              </w:rPr>
            </w:pPr>
          </w:p>
        </w:tc>
        <w:tc>
          <w:tcPr>
            <w:tcW w:w="1541" w:type="dxa"/>
            <w:vMerge w:val="continue"/>
          </w:tcPr>
          <w:p w14:paraId="266FBCBD">
            <w:pPr>
              <w:jc w:val="center"/>
              <w:rPr>
                <w:rFonts w:ascii="宋体" w:hAnsi="宋体"/>
                <w:color w:val="auto"/>
                <w:szCs w:val="44"/>
                <w:highlight w:val="none"/>
              </w:rPr>
            </w:pPr>
          </w:p>
        </w:tc>
        <w:tc>
          <w:tcPr>
            <w:tcW w:w="595" w:type="dxa"/>
            <w:vAlign w:val="center"/>
          </w:tcPr>
          <w:p w14:paraId="1646CA35">
            <w:pPr>
              <w:jc w:val="center"/>
              <w:rPr>
                <w:rFonts w:ascii="宋体" w:hAnsi="宋体"/>
                <w:color w:val="auto"/>
                <w:szCs w:val="44"/>
                <w:highlight w:val="none"/>
              </w:rPr>
            </w:pPr>
          </w:p>
        </w:tc>
        <w:tc>
          <w:tcPr>
            <w:tcW w:w="595" w:type="dxa"/>
            <w:vAlign w:val="center"/>
          </w:tcPr>
          <w:p w14:paraId="19EFF1C4">
            <w:pPr>
              <w:jc w:val="center"/>
              <w:rPr>
                <w:rFonts w:ascii="宋体" w:hAnsi="宋体"/>
                <w:color w:val="auto"/>
                <w:szCs w:val="44"/>
                <w:highlight w:val="none"/>
              </w:rPr>
            </w:pPr>
          </w:p>
        </w:tc>
        <w:tc>
          <w:tcPr>
            <w:tcW w:w="594" w:type="dxa"/>
            <w:vAlign w:val="center"/>
          </w:tcPr>
          <w:p w14:paraId="2FF79DB5">
            <w:pPr>
              <w:jc w:val="center"/>
              <w:rPr>
                <w:rFonts w:ascii="宋体" w:hAnsi="宋体"/>
                <w:color w:val="auto"/>
                <w:szCs w:val="44"/>
                <w:highlight w:val="none"/>
              </w:rPr>
            </w:pPr>
          </w:p>
        </w:tc>
        <w:tc>
          <w:tcPr>
            <w:tcW w:w="593" w:type="dxa"/>
            <w:vAlign w:val="center"/>
          </w:tcPr>
          <w:p w14:paraId="4279F778">
            <w:pPr>
              <w:jc w:val="center"/>
              <w:rPr>
                <w:rFonts w:ascii="宋体" w:hAnsi="宋体"/>
                <w:color w:val="auto"/>
                <w:szCs w:val="44"/>
                <w:highlight w:val="none"/>
              </w:rPr>
            </w:pPr>
          </w:p>
        </w:tc>
        <w:tc>
          <w:tcPr>
            <w:tcW w:w="593" w:type="dxa"/>
            <w:vAlign w:val="center"/>
          </w:tcPr>
          <w:p w14:paraId="39FC0420">
            <w:pPr>
              <w:jc w:val="center"/>
              <w:rPr>
                <w:rFonts w:ascii="宋体" w:hAnsi="宋体"/>
                <w:color w:val="auto"/>
                <w:szCs w:val="44"/>
                <w:highlight w:val="none"/>
              </w:rPr>
            </w:pPr>
          </w:p>
        </w:tc>
        <w:tc>
          <w:tcPr>
            <w:tcW w:w="593" w:type="dxa"/>
            <w:vAlign w:val="center"/>
          </w:tcPr>
          <w:p w14:paraId="471942CA">
            <w:pPr>
              <w:jc w:val="center"/>
              <w:rPr>
                <w:rFonts w:ascii="宋体" w:hAnsi="宋体"/>
                <w:color w:val="auto"/>
                <w:szCs w:val="44"/>
                <w:highlight w:val="none"/>
              </w:rPr>
            </w:pPr>
          </w:p>
        </w:tc>
        <w:tc>
          <w:tcPr>
            <w:tcW w:w="593" w:type="dxa"/>
            <w:vAlign w:val="center"/>
          </w:tcPr>
          <w:p w14:paraId="2E64EE2C">
            <w:pPr>
              <w:jc w:val="center"/>
              <w:rPr>
                <w:rFonts w:ascii="宋体" w:hAnsi="宋体"/>
                <w:color w:val="auto"/>
                <w:szCs w:val="44"/>
                <w:highlight w:val="none"/>
              </w:rPr>
            </w:pPr>
          </w:p>
        </w:tc>
        <w:tc>
          <w:tcPr>
            <w:tcW w:w="593" w:type="dxa"/>
            <w:vAlign w:val="center"/>
          </w:tcPr>
          <w:p w14:paraId="665CAAAA">
            <w:pPr>
              <w:jc w:val="center"/>
              <w:rPr>
                <w:rFonts w:ascii="宋体" w:hAnsi="宋体"/>
                <w:color w:val="auto"/>
                <w:szCs w:val="44"/>
                <w:highlight w:val="none"/>
              </w:rPr>
            </w:pPr>
          </w:p>
        </w:tc>
        <w:tc>
          <w:tcPr>
            <w:tcW w:w="594" w:type="dxa"/>
            <w:vAlign w:val="center"/>
          </w:tcPr>
          <w:p w14:paraId="3A06611F">
            <w:pPr>
              <w:jc w:val="center"/>
              <w:rPr>
                <w:rFonts w:ascii="宋体" w:hAnsi="宋体"/>
                <w:color w:val="auto"/>
                <w:szCs w:val="44"/>
                <w:highlight w:val="none"/>
              </w:rPr>
            </w:pPr>
          </w:p>
        </w:tc>
        <w:tc>
          <w:tcPr>
            <w:tcW w:w="714" w:type="dxa"/>
            <w:vMerge w:val="continue"/>
            <w:vAlign w:val="center"/>
          </w:tcPr>
          <w:p w14:paraId="433B6171">
            <w:pPr>
              <w:jc w:val="center"/>
              <w:rPr>
                <w:rFonts w:ascii="宋体" w:hAnsi="宋体"/>
                <w:color w:val="auto"/>
                <w:szCs w:val="44"/>
                <w:highlight w:val="none"/>
              </w:rPr>
            </w:pPr>
          </w:p>
        </w:tc>
      </w:tr>
      <w:tr w14:paraId="5AD4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43D46F">
            <w:pPr>
              <w:jc w:val="center"/>
              <w:rPr>
                <w:rFonts w:ascii="宋体" w:hAnsi="宋体"/>
                <w:color w:val="auto"/>
                <w:szCs w:val="44"/>
                <w:highlight w:val="none"/>
              </w:rPr>
            </w:pPr>
            <w:r>
              <w:rPr>
                <w:rFonts w:hint="eastAsia" w:ascii="宋体" w:hAnsi="宋体"/>
                <w:color w:val="auto"/>
                <w:szCs w:val="44"/>
                <w:highlight w:val="none"/>
              </w:rPr>
              <w:t>1</w:t>
            </w:r>
          </w:p>
        </w:tc>
        <w:tc>
          <w:tcPr>
            <w:tcW w:w="1541" w:type="dxa"/>
            <w:vAlign w:val="center"/>
          </w:tcPr>
          <w:p w14:paraId="3878E55F">
            <w:pPr>
              <w:jc w:val="center"/>
              <w:rPr>
                <w:rFonts w:ascii="宋体" w:hAnsi="宋体"/>
                <w:color w:val="auto"/>
                <w:szCs w:val="21"/>
                <w:highlight w:val="none"/>
              </w:rPr>
            </w:pPr>
          </w:p>
        </w:tc>
        <w:tc>
          <w:tcPr>
            <w:tcW w:w="595" w:type="dxa"/>
            <w:vAlign w:val="center"/>
          </w:tcPr>
          <w:p w14:paraId="25B99778">
            <w:pPr>
              <w:jc w:val="center"/>
              <w:rPr>
                <w:rFonts w:ascii="宋体" w:hAnsi="宋体"/>
                <w:color w:val="auto"/>
                <w:szCs w:val="21"/>
                <w:highlight w:val="none"/>
              </w:rPr>
            </w:pPr>
          </w:p>
        </w:tc>
        <w:tc>
          <w:tcPr>
            <w:tcW w:w="595" w:type="dxa"/>
            <w:vAlign w:val="center"/>
          </w:tcPr>
          <w:p w14:paraId="04F8CFC5">
            <w:pPr>
              <w:jc w:val="center"/>
              <w:rPr>
                <w:rFonts w:ascii="宋体" w:hAnsi="宋体"/>
                <w:color w:val="auto"/>
                <w:szCs w:val="44"/>
                <w:highlight w:val="none"/>
              </w:rPr>
            </w:pPr>
          </w:p>
        </w:tc>
        <w:tc>
          <w:tcPr>
            <w:tcW w:w="594" w:type="dxa"/>
            <w:vAlign w:val="center"/>
          </w:tcPr>
          <w:p w14:paraId="754C5606">
            <w:pPr>
              <w:jc w:val="center"/>
              <w:rPr>
                <w:rFonts w:ascii="宋体" w:hAnsi="宋体"/>
                <w:color w:val="auto"/>
                <w:szCs w:val="44"/>
                <w:highlight w:val="none"/>
              </w:rPr>
            </w:pPr>
          </w:p>
        </w:tc>
        <w:tc>
          <w:tcPr>
            <w:tcW w:w="593" w:type="dxa"/>
            <w:vAlign w:val="center"/>
          </w:tcPr>
          <w:p w14:paraId="73C8B894">
            <w:pPr>
              <w:jc w:val="center"/>
              <w:rPr>
                <w:rFonts w:ascii="宋体" w:hAnsi="宋体"/>
                <w:color w:val="auto"/>
                <w:szCs w:val="44"/>
                <w:highlight w:val="none"/>
              </w:rPr>
            </w:pPr>
          </w:p>
        </w:tc>
        <w:tc>
          <w:tcPr>
            <w:tcW w:w="593" w:type="dxa"/>
            <w:vAlign w:val="center"/>
          </w:tcPr>
          <w:p w14:paraId="3AD1445C">
            <w:pPr>
              <w:jc w:val="center"/>
              <w:rPr>
                <w:rFonts w:ascii="宋体" w:hAnsi="宋体"/>
                <w:color w:val="auto"/>
                <w:szCs w:val="44"/>
                <w:highlight w:val="none"/>
              </w:rPr>
            </w:pPr>
          </w:p>
        </w:tc>
        <w:tc>
          <w:tcPr>
            <w:tcW w:w="593" w:type="dxa"/>
            <w:vAlign w:val="center"/>
          </w:tcPr>
          <w:p w14:paraId="2C753F15">
            <w:pPr>
              <w:jc w:val="center"/>
              <w:rPr>
                <w:rFonts w:ascii="宋体" w:hAnsi="宋体"/>
                <w:color w:val="auto"/>
                <w:szCs w:val="44"/>
                <w:highlight w:val="none"/>
              </w:rPr>
            </w:pPr>
          </w:p>
        </w:tc>
        <w:tc>
          <w:tcPr>
            <w:tcW w:w="593" w:type="dxa"/>
            <w:vAlign w:val="center"/>
          </w:tcPr>
          <w:p w14:paraId="1F4E459D">
            <w:pPr>
              <w:jc w:val="center"/>
              <w:rPr>
                <w:rFonts w:ascii="宋体" w:hAnsi="宋体"/>
                <w:color w:val="auto"/>
                <w:szCs w:val="44"/>
                <w:highlight w:val="none"/>
              </w:rPr>
            </w:pPr>
          </w:p>
        </w:tc>
        <w:tc>
          <w:tcPr>
            <w:tcW w:w="593" w:type="dxa"/>
            <w:vAlign w:val="center"/>
          </w:tcPr>
          <w:p w14:paraId="2ACF6678">
            <w:pPr>
              <w:jc w:val="center"/>
              <w:rPr>
                <w:rFonts w:ascii="宋体" w:hAnsi="宋体"/>
                <w:color w:val="auto"/>
                <w:szCs w:val="44"/>
                <w:highlight w:val="none"/>
              </w:rPr>
            </w:pPr>
          </w:p>
        </w:tc>
        <w:tc>
          <w:tcPr>
            <w:tcW w:w="594" w:type="dxa"/>
            <w:vAlign w:val="center"/>
          </w:tcPr>
          <w:p w14:paraId="05E918A6">
            <w:pPr>
              <w:jc w:val="center"/>
              <w:rPr>
                <w:rFonts w:ascii="宋体" w:hAnsi="宋体"/>
                <w:color w:val="auto"/>
                <w:szCs w:val="44"/>
                <w:highlight w:val="none"/>
              </w:rPr>
            </w:pPr>
          </w:p>
        </w:tc>
        <w:tc>
          <w:tcPr>
            <w:tcW w:w="714" w:type="dxa"/>
            <w:vAlign w:val="center"/>
          </w:tcPr>
          <w:p w14:paraId="6985E375">
            <w:pPr>
              <w:jc w:val="center"/>
              <w:rPr>
                <w:rFonts w:ascii="宋体" w:hAnsi="宋体"/>
                <w:color w:val="auto"/>
                <w:szCs w:val="44"/>
                <w:highlight w:val="none"/>
              </w:rPr>
            </w:pPr>
          </w:p>
        </w:tc>
      </w:tr>
      <w:tr w14:paraId="60DB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D9D8CE4">
            <w:pPr>
              <w:jc w:val="center"/>
              <w:rPr>
                <w:rFonts w:ascii="宋体" w:hAnsi="宋体"/>
                <w:color w:val="auto"/>
                <w:szCs w:val="44"/>
                <w:highlight w:val="none"/>
              </w:rPr>
            </w:pPr>
            <w:r>
              <w:rPr>
                <w:rFonts w:hint="eastAsia" w:ascii="宋体" w:hAnsi="宋体"/>
                <w:color w:val="auto"/>
                <w:szCs w:val="44"/>
                <w:highlight w:val="none"/>
              </w:rPr>
              <w:t>2</w:t>
            </w:r>
          </w:p>
        </w:tc>
        <w:tc>
          <w:tcPr>
            <w:tcW w:w="1541" w:type="dxa"/>
            <w:vAlign w:val="center"/>
          </w:tcPr>
          <w:p w14:paraId="38B77B36">
            <w:pPr>
              <w:jc w:val="center"/>
              <w:rPr>
                <w:rFonts w:ascii="宋体" w:hAnsi="宋体"/>
                <w:color w:val="auto"/>
                <w:szCs w:val="44"/>
                <w:highlight w:val="none"/>
              </w:rPr>
            </w:pPr>
          </w:p>
        </w:tc>
        <w:tc>
          <w:tcPr>
            <w:tcW w:w="595" w:type="dxa"/>
            <w:vAlign w:val="center"/>
          </w:tcPr>
          <w:p w14:paraId="47A6F92A">
            <w:pPr>
              <w:jc w:val="center"/>
              <w:rPr>
                <w:color w:val="auto"/>
                <w:highlight w:val="none"/>
              </w:rPr>
            </w:pPr>
          </w:p>
        </w:tc>
        <w:tc>
          <w:tcPr>
            <w:tcW w:w="595" w:type="dxa"/>
            <w:vAlign w:val="center"/>
          </w:tcPr>
          <w:p w14:paraId="05941AB9">
            <w:pPr>
              <w:jc w:val="center"/>
              <w:rPr>
                <w:rFonts w:ascii="宋体" w:hAnsi="宋体"/>
                <w:color w:val="auto"/>
                <w:szCs w:val="44"/>
                <w:highlight w:val="none"/>
              </w:rPr>
            </w:pPr>
          </w:p>
        </w:tc>
        <w:tc>
          <w:tcPr>
            <w:tcW w:w="594" w:type="dxa"/>
            <w:vAlign w:val="center"/>
          </w:tcPr>
          <w:p w14:paraId="15EC2016">
            <w:pPr>
              <w:jc w:val="center"/>
              <w:rPr>
                <w:rFonts w:ascii="宋体" w:hAnsi="宋体"/>
                <w:color w:val="auto"/>
                <w:szCs w:val="44"/>
                <w:highlight w:val="none"/>
              </w:rPr>
            </w:pPr>
          </w:p>
        </w:tc>
        <w:tc>
          <w:tcPr>
            <w:tcW w:w="593" w:type="dxa"/>
            <w:vAlign w:val="center"/>
          </w:tcPr>
          <w:p w14:paraId="72818484">
            <w:pPr>
              <w:jc w:val="center"/>
              <w:rPr>
                <w:rFonts w:ascii="宋体" w:hAnsi="宋体"/>
                <w:color w:val="auto"/>
                <w:szCs w:val="44"/>
                <w:highlight w:val="none"/>
              </w:rPr>
            </w:pPr>
          </w:p>
        </w:tc>
        <w:tc>
          <w:tcPr>
            <w:tcW w:w="593" w:type="dxa"/>
            <w:vAlign w:val="center"/>
          </w:tcPr>
          <w:p w14:paraId="5E8579CE">
            <w:pPr>
              <w:jc w:val="center"/>
              <w:rPr>
                <w:rFonts w:ascii="宋体" w:hAnsi="宋体"/>
                <w:color w:val="auto"/>
                <w:szCs w:val="44"/>
                <w:highlight w:val="none"/>
              </w:rPr>
            </w:pPr>
          </w:p>
        </w:tc>
        <w:tc>
          <w:tcPr>
            <w:tcW w:w="593" w:type="dxa"/>
            <w:vAlign w:val="center"/>
          </w:tcPr>
          <w:p w14:paraId="56785422">
            <w:pPr>
              <w:jc w:val="center"/>
              <w:rPr>
                <w:rFonts w:ascii="宋体" w:hAnsi="宋体"/>
                <w:color w:val="auto"/>
                <w:szCs w:val="44"/>
                <w:highlight w:val="none"/>
              </w:rPr>
            </w:pPr>
          </w:p>
        </w:tc>
        <w:tc>
          <w:tcPr>
            <w:tcW w:w="593" w:type="dxa"/>
            <w:vAlign w:val="center"/>
          </w:tcPr>
          <w:p w14:paraId="4370D65A">
            <w:pPr>
              <w:jc w:val="center"/>
              <w:rPr>
                <w:rFonts w:ascii="宋体" w:hAnsi="宋体"/>
                <w:color w:val="auto"/>
                <w:szCs w:val="44"/>
                <w:highlight w:val="none"/>
              </w:rPr>
            </w:pPr>
          </w:p>
        </w:tc>
        <w:tc>
          <w:tcPr>
            <w:tcW w:w="593" w:type="dxa"/>
            <w:vAlign w:val="center"/>
          </w:tcPr>
          <w:p w14:paraId="1A90184D">
            <w:pPr>
              <w:jc w:val="center"/>
              <w:rPr>
                <w:rFonts w:ascii="宋体" w:hAnsi="宋体"/>
                <w:color w:val="auto"/>
                <w:szCs w:val="44"/>
                <w:highlight w:val="none"/>
              </w:rPr>
            </w:pPr>
          </w:p>
        </w:tc>
        <w:tc>
          <w:tcPr>
            <w:tcW w:w="594" w:type="dxa"/>
            <w:vAlign w:val="center"/>
          </w:tcPr>
          <w:p w14:paraId="6864CA7A">
            <w:pPr>
              <w:jc w:val="center"/>
              <w:rPr>
                <w:rFonts w:ascii="宋体" w:hAnsi="宋体"/>
                <w:color w:val="auto"/>
                <w:szCs w:val="44"/>
                <w:highlight w:val="none"/>
              </w:rPr>
            </w:pPr>
          </w:p>
        </w:tc>
        <w:tc>
          <w:tcPr>
            <w:tcW w:w="714" w:type="dxa"/>
            <w:vAlign w:val="center"/>
          </w:tcPr>
          <w:p w14:paraId="09A5725E">
            <w:pPr>
              <w:jc w:val="center"/>
              <w:rPr>
                <w:rFonts w:ascii="宋体" w:hAnsi="宋体"/>
                <w:color w:val="auto"/>
                <w:szCs w:val="44"/>
                <w:highlight w:val="none"/>
              </w:rPr>
            </w:pPr>
          </w:p>
        </w:tc>
      </w:tr>
      <w:tr w14:paraId="05A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35BD25B">
            <w:pPr>
              <w:jc w:val="center"/>
              <w:rPr>
                <w:rFonts w:ascii="宋体" w:hAnsi="宋体"/>
                <w:color w:val="auto"/>
                <w:szCs w:val="44"/>
                <w:highlight w:val="none"/>
              </w:rPr>
            </w:pPr>
            <w:r>
              <w:rPr>
                <w:rFonts w:hint="eastAsia" w:ascii="宋体" w:hAnsi="宋体"/>
                <w:color w:val="auto"/>
                <w:szCs w:val="44"/>
                <w:highlight w:val="none"/>
              </w:rPr>
              <w:t>3</w:t>
            </w:r>
          </w:p>
        </w:tc>
        <w:tc>
          <w:tcPr>
            <w:tcW w:w="1541" w:type="dxa"/>
            <w:vAlign w:val="center"/>
          </w:tcPr>
          <w:p w14:paraId="0FD79E2C">
            <w:pPr>
              <w:jc w:val="center"/>
              <w:rPr>
                <w:rFonts w:ascii="宋体" w:hAnsi="宋体"/>
                <w:color w:val="auto"/>
                <w:szCs w:val="44"/>
                <w:highlight w:val="none"/>
              </w:rPr>
            </w:pPr>
          </w:p>
        </w:tc>
        <w:tc>
          <w:tcPr>
            <w:tcW w:w="595" w:type="dxa"/>
            <w:vAlign w:val="center"/>
          </w:tcPr>
          <w:p w14:paraId="2BF968CC">
            <w:pPr>
              <w:jc w:val="center"/>
              <w:rPr>
                <w:color w:val="auto"/>
                <w:highlight w:val="none"/>
              </w:rPr>
            </w:pPr>
          </w:p>
        </w:tc>
        <w:tc>
          <w:tcPr>
            <w:tcW w:w="595" w:type="dxa"/>
            <w:vAlign w:val="center"/>
          </w:tcPr>
          <w:p w14:paraId="05157B5B">
            <w:pPr>
              <w:jc w:val="center"/>
              <w:rPr>
                <w:rFonts w:ascii="宋体" w:hAnsi="宋体"/>
                <w:color w:val="auto"/>
                <w:szCs w:val="44"/>
                <w:highlight w:val="none"/>
              </w:rPr>
            </w:pPr>
          </w:p>
        </w:tc>
        <w:tc>
          <w:tcPr>
            <w:tcW w:w="594" w:type="dxa"/>
            <w:vAlign w:val="center"/>
          </w:tcPr>
          <w:p w14:paraId="7D6D70E8">
            <w:pPr>
              <w:jc w:val="center"/>
              <w:rPr>
                <w:rFonts w:ascii="宋体" w:hAnsi="宋体"/>
                <w:color w:val="auto"/>
                <w:szCs w:val="44"/>
                <w:highlight w:val="none"/>
              </w:rPr>
            </w:pPr>
          </w:p>
        </w:tc>
        <w:tc>
          <w:tcPr>
            <w:tcW w:w="593" w:type="dxa"/>
            <w:vAlign w:val="center"/>
          </w:tcPr>
          <w:p w14:paraId="107F993A">
            <w:pPr>
              <w:jc w:val="center"/>
              <w:rPr>
                <w:rFonts w:ascii="宋体" w:hAnsi="宋体"/>
                <w:color w:val="auto"/>
                <w:szCs w:val="44"/>
                <w:highlight w:val="none"/>
              </w:rPr>
            </w:pPr>
          </w:p>
        </w:tc>
        <w:tc>
          <w:tcPr>
            <w:tcW w:w="593" w:type="dxa"/>
            <w:vAlign w:val="center"/>
          </w:tcPr>
          <w:p w14:paraId="4948F3D3">
            <w:pPr>
              <w:jc w:val="center"/>
              <w:rPr>
                <w:rFonts w:ascii="宋体" w:hAnsi="宋体"/>
                <w:color w:val="auto"/>
                <w:szCs w:val="44"/>
                <w:highlight w:val="none"/>
              </w:rPr>
            </w:pPr>
          </w:p>
        </w:tc>
        <w:tc>
          <w:tcPr>
            <w:tcW w:w="593" w:type="dxa"/>
            <w:vAlign w:val="center"/>
          </w:tcPr>
          <w:p w14:paraId="6F55B00B">
            <w:pPr>
              <w:jc w:val="center"/>
              <w:rPr>
                <w:rFonts w:ascii="宋体" w:hAnsi="宋体"/>
                <w:color w:val="auto"/>
                <w:szCs w:val="44"/>
                <w:highlight w:val="none"/>
              </w:rPr>
            </w:pPr>
          </w:p>
        </w:tc>
        <w:tc>
          <w:tcPr>
            <w:tcW w:w="593" w:type="dxa"/>
            <w:vAlign w:val="center"/>
          </w:tcPr>
          <w:p w14:paraId="4A148476">
            <w:pPr>
              <w:jc w:val="center"/>
              <w:rPr>
                <w:rFonts w:ascii="宋体" w:hAnsi="宋体"/>
                <w:color w:val="auto"/>
                <w:szCs w:val="44"/>
                <w:highlight w:val="none"/>
              </w:rPr>
            </w:pPr>
          </w:p>
        </w:tc>
        <w:tc>
          <w:tcPr>
            <w:tcW w:w="593" w:type="dxa"/>
            <w:vAlign w:val="center"/>
          </w:tcPr>
          <w:p w14:paraId="0F06D06C">
            <w:pPr>
              <w:jc w:val="center"/>
              <w:rPr>
                <w:rFonts w:ascii="宋体" w:hAnsi="宋体"/>
                <w:color w:val="auto"/>
                <w:szCs w:val="44"/>
                <w:highlight w:val="none"/>
              </w:rPr>
            </w:pPr>
          </w:p>
        </w:tc>
        <w:tc>
          <w:tcPr>
            <w:tcW w:w="594" w:type="dxa"/>
            <w:vAlign w:val="center"/>
          </w:tcPr>
          <w:p w14:paraId="6B0B6E58">
            <w:pPr>
              <w:jc w:val="center"/>
              <w:rPr>
                <w:rFonts w:ascii="宋体" w:hAnsi="宋体"/>
                <w:color w:val="auto"/>
                <w:szCs w:val="44"/>
                <w:highlight w:val="none"/>
              </w:rPr>
            </w:pPr>
          </w:p>
        </w:tc>
        <w:tc>
          <w:tcPr>
            <w:tcW w:w="714" w:type="dxa"/>
            <w:vAlign w:val="center"/>
          </w:tcPr>
          <w:p w14:paraId="2A4C9DEC">
            <w:pPr>
              <w:jc w:val="center"/>
              <w:rPr>
                <w:rFonts w:ascii="宋体" w:hAnsi="宋体"/>
                <w:color w:val="auto"/>
                <w:szCs w:val="44"/>
                <w:highlight w:val="none"/>
              </w:rPr>
            </w:pPr>
          </w:p>
        </w:tc>
      </w:tr>
      <w:tr w14:paraId="4AF9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A573E5D">
            <w:pPr>
              <w:jc w:val="center"/>
              <w:rPr>
                <w:rFonts w:ascii="宋体" w:hAnsi="宋体"/>
                <w:color w:val="auto"/>
                <w:szCs w:val="44"/>
                <w:highlight w:val="none"/>
              </w:rPr>
            </w:pPr>
            <w:r>
              <w:rPr>
                <w:rFonts w:hint="eastAsia" w:ascii="宋体" w:hAnsi="宋体"/>
                <w:color w:val="auto"/>
                <w:szCs w:val="44"/>
                <w:highlight w:val="none"/>
              </w:rPr>
              <w:t>4</w:t>
            </w:r>
          </w:p>
        </w:tc>
        <w:tc>
          <w:tcPr>
            <w:tcW w:w="1541" w:type="dxa"/>
            <w:vAlign w:val="center"/>
          </w:tcPr>
          <w:p w14:paraId="7094F33A">
            <w:pPr>
              <w:jc w:val="center"/>
              <w:rPr>
                <w:rFonts w:ascii="宋体" w:hAnsi="宋体"/>
                <w:color w:val="auto"/>
                <w:szCs w:val="44"/>
                <w:highlight w:val="none"/>
              </w:rPr>
            </w:pPr>
          </w:p>
        </w:tc>
        <w:tc>
          <w:tcPr>
            <w:tcW w:w="595" w:type="dxa"/>
            <w:vAlign w:val="center"/>
          </w:tcPr>
          <w:p w14:paraId="67C1944B">
            <w:pPr>
              <w:jc w:val="center"/>
              <w:rPr>
                <w:color w:val="auto"/>
                <w:highlight w:val="none"/>
              </w:rPr>
            </w:pPr>
          </w:p>
        </w:tc>
        <w:tc>
          <w:tcPr>
            <w:tcW w:w="595" w:type="dxa"/>
            <w:vAlign w:val="center"/>
          </w:tcPr>
          <w:p w14:paraId="5DC0A121">
            <w:pPr>
              <w:jc w:val="center"/>
              <w:rPr>
                <w:rFonts w:ascii="宋体" w:hAnsi="宋体"/>
                <w:color w:val="auto"/>
                <w:szCs w:val="44"/>
                <w:highlight w:val="none"/>
              </w:rPr>
            </w:pPr>
          </w:p>
        </w:tc>
        <w:tc>
          <w:tcPr>
            <w:tcW w:w="594" w:type="dxa"/>
            <w:vAlign w:val="center"/>
          </w:tcPr>
          <w:p w14:paraId="4053F354">
            <w:pPr>
              <w:jc w:val="center"/>
              <w:rPr>
                <w:rFonts w:ascii="宋体" w:hAnsi="宋体"/>
                <w:color w:val="auto"/>
                <w:szCs w:val="44"/>
                <w:highlight w:val="none"/>
              </w:rPr>
            </w:pPr>
          </w:p>
        </w:tc>
        <w:tc>
          <w:tcPr>
            <w:tcW w:w="593" w:type="dxa"/>
            <w:vAlign w:val="center"/>
          </w:tcPr>
          <w:p w14:paraId="106A0CFD">
            <w:pPr>
              <w:jc w:val="center"/>
              <w:rPr>
                <w:rFonts w:ascii="宋体" w:hAnsi="宋体"/>
                <w:color w:val="auto"/>
                <w:szCs w:val="44"/>
                <w:highlight w:val="none"/>
              </w:rPr>
            </w:pPr>
          </w:p>
        </w:tc>
        <w:tc>
          <w:tcPr>
            <w:tcW w:w="593" w:type="dxa"/>
            <w:vAlign w:val="center"/>
          </w:tcPr>
          <w:p w14:paraId="084502AF">
            <w:pPr>
              <w:jc w:val="center"/>
              <w:rPr>
                <w:rFonts w:ascii="宋体" w:hAnsi="宋体"/>
                <w:color w:val="auto"/>
                <w:szCs w:val="44"/>
                <w:highlight w:val="none"/>
              </w:rPr>
            </w:pPr>
          </w:p>
        </w:tc>
        <w:tc>
          <w:tcPr>
            <w:tcW w:w="593" w:type="dxa"/>
            <w:vAlign w:val="center"/>
          </w:tcPr>
          <w:p w14:paraId="290134EF">
            <w:pPr>
              <w:jc w:val="center"/>
              <w:rPr>
                <w:rFonts w:ascii="宋体" w:hAnsi="宋体"/>
                <w:color w:val="auto"/>
                <w:szCs w:val="44"/>
                <w:highlight w:val="none"/>
              </w:rPr>
            </w:pPr>
          </w:p>
        </w:tc>
        <w:tc>
          <w:tcPr>
            <w:tcW w:w="593" w:type="dxa"/>
            <w:vAlign w:val="center"/>
          </w:tcPr>
          <w:p w14:paraId="600038D3">
            <w:pPr>
              <w:jc w:val="center"/>
              <w:rPr>
                <w:rFonts w:ascii="宋体" w:hAnsi="宋体"/>
                <w:color w:val="auto"/>
                <w:szCs w:val="44"/>
                <w:highlight w:val="none"/>
              </w:rPr>
            </w:pPr>
          </w:p>
        </w:tc>
        <w:tc>
          <w:tcPr>
            <w:tcW w:w="593" w:type="dxa"/>
            <w:vAlign w:val="center"/>
          </w:tcPr>
          <w:p w14:paraId="5B75D2EA">
            <w:pPr>
              <w:jc w:val="center"/>
              <w:rPr>
                <w:rFonts w:ascii="宋体" w:hAnsi="宋体"/>
                <w:color w:val="auto"/>
                <w:szCs w:val="44"/>
                <w:highlight w:val="none"/>
              </w:rPr>
            </w:pPr>
          </w:p>
        </w:tc>
        <w:tc>
          <w:tcPr>
            <w:tcW w:w="594" w:type="dxa"/>
            <w:vAlign w:val="center"/>
          </w:tcPr>
          <w:p w14:paraId="5BF7B0CC">
            <w:pPr>
              <w:jc w:val="center"/>
              <w:rPr>
                <w:rFonts w:ascii="宋体" w:hAnsi="宋体"/>
                <w:color w:val="auto"/>
                <w:szCs w:val="44"/>
                <w:highlight w:val="none"/>
              </w:rPr>
            </w:pPr>
          </w:p>
        </w:tc>
        <w:tc>
          <w:tcPr>
            <w:tcW w:w="714" w:type="dxa"/>
            <w:vAlign w:val="center"/>
          </w:tcPr>
          <w:p w14:paraId="24C1557E">
            <w:pPr>
              <w:jc w:val="center"/>
              <w:rPr>
                <w:rFonts w:ascii="宋体" w:hAnsi="宋体"/>
                <w:color w:val="auto"/>
                <w:szCs w:val="44"/>
                <w:highlight w:val="none"/>
              </w:rPr>
            </w:pPr>
          </w:p>
        </w:tc>
      </w:tr>
      <w:tr w14:paraId="7F64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2842BF4">
            <w:pPr>
              <w:jc w:val="center"/>
              <w:rPr>
                <w:rFonts w:ascii="宋体" w:hAnsi="宋体"/>
                <w:color w:val="auto"/>
                <w:szCs w:val="44"/>
                <w:highlight w:val="none"/>
              </w:rPr>
            </w:pPr>
            <w:r>
              <w:rPr>
                <w:rFonts w:hint="eastAsia" w:ascii="宋体" w:hAnsi="宋体"/>
                <w:color w:val="auto"/>
                <w:szCs w:val="44"/>
                <w:highlight w:val="none"/>
              </w:rPr>
              <w:t>5</w:t>
            </w:r>
          </w:p>
        </w:tc>
        <w:tc>
          <w:tcPr>
            <w:tcW w:w="1541" w:type="dxa"/>
            <w:vAlign w:val="center"/>
          </w:tcPr>
          <w:p w14:paraId="1DE89554">
            <w:pPr>
              <w:jc w:val="center"/>
              <w:rPr>
                <w:rFonts w:ascii="宋体" w:hAnsi="宋体"/>
                <w:color w:val="auto"/>
                <w:szCs w:val="44"/>
                <w:highlight w:val="none"/>
              </w:rPr>
            </w:pPr>
          </w:p>
        </w:tc>
        <w:tc>
          <w:tcPr>
            <w:tcW w:w="595" w:type="dxa"/>
            <w:vAlign w:val="center"/>
          </w:tcPr>
          <w:p w14:paraId="05B52FDA">
            <w:pPr>
              <w:jc w:val="center"/>
              <w:rPr>
                <w:color w:val="auto"/>
                <w:highlight w:val="none"/>
              </w:rPr>
            </w:pPr>
          </w:p>
        </w:tc>
        <w:tc>
          <w:tcPr>
            <w:tcW w:w="595" w:type="dxa"/>
            <w:vAlign w:val="center"/>
          </w:tcPr>
          <w:p w14:paraId="68B2A841">
            <w:pPr>
              <w:jc w:val="center"/>
              <w:rPr>
                <w:rFonts w:ascii="宋体" w:hAnsi="宋体"/>
                <w:color w:val="auto"/>
                <w:szCs w:val="44"/>
                <w:highlight w:val="none"/>
              </w:rPr>
            </w:pPr>
          </w:p>
        </w:tc>
        <w:tc>
          <w:tcPr>
            <w:tcW w:w="594" w:type="dxa"/>
            <w:vAlign w:val="center"/>
          </w:tcPr>
          <w:p w14:paraId="584B34C6">
            <w:pPr>
              <w:jc w:val="center"/>
              <w:rPr>
                <w:rFonts w:ascii="宋体" w:hAnsi="宋体"/>
                <w:color w:val="auto"/>
                <w:szCs w:val="44"/>
                <w:highlight w:val="none"/>
              </w:rPr>
            </w:pPr>
          </w:p>
        </w:tc>
        <w:tc>
          <w:tcPr>
            <w:tcW w:w="593" w:type="dxa"/>
            <w:vAlign w:val="center"/>
          </w:tcPr>
          <w:p w14:paraId="644F7433">
            <w:pPr>
              <w:jc w:val="center"/>
              <w:rPr>
                <w:rFonts w:ascii="宋体" w:hAnsi="宋体"/>
                <w:color w:val="auto"/>
                <w:szCs w:val="44"/>
                <w:highlight w:val="none"/>
              </w:rPr>
            </w:pPr>
          </w:p>
        </w:tc>
        <w:tc>
          <w:tcPr>
            <w:tcW w:w="593" w:type="dxa"/>
            <w:vAlign w:val="center"/>
          </w:tcPr>
          <w:p w14:paraId="3D226271">
            <w:pPr>
              <w:jc w:val="center"/>
              <w:rPr>
                <w:rFonts w:ascii="宋体" w:hAnsi="宋体"/>
                <w:color w:val="auto"/>
                <w:szCs w:val="44"/>
                <w:highlight w:val="none"/>
              </w:rPr>
            </w:pPr>
          </w:p>
        </w:tc>
        <w:tc>
          <w:tcPr>
            <w:tcW w:w="593" w:type="dxa"/>
            <w:vAlign w:val="center"/>
          </w:tcPr>
          <w:p w14:paraId="610234EC">
            <w:pPr>
              <w:jc w:val="center"/>
              <w:rPr>
                <w:rFonts w:ascii="宋体" w:hAnsi="宋体"/>
                <w:color w:val="auto"/>
                <w:szCs w:val="44"/>
                <w:highlight w:val="none"/>
              </w:rPr>
            </w:pPr>
          </w:p>
        </w:tc>
        <w:tc>
          <w:tcPr>
            <w:tcW w:w="593" w:type="dxa"/>
            <w:vAlign w:val="center"/>
          </w:tcPr>
          <w:p w14:paraId="40EA1339">
            <w:pPr>
              <w:jc w:val="center"/>
              <w:rPr>
                <w:rFonts w:ascii="宋体" w:hAnsi="宋体"/>
                <w:color w:val="auto"/>
                <w:szCs w:val="44"/>
                <w:highlight w:val="none"/>
              </w:rPr>
            </w:pPr>
          </w:p>
        </w:tc>
        <w:tc>
          <w:tcPr>
            <w:tcW w:w="593" w:type="dxa"/>
            <w:vAlign w:val="center"/>
          </w:tcPr>
          <w:p w14:paraId="65AF4FBA">
            <w:pPr>
              <w:jc w:val="center"/>
              <w:rPr>
                <w:rFonts w:ascii="宋体" w:hAnsi="宋体"/>
                <w:color w:val="auto"/>
                <w:szCs w:val="44"/>
                <w:highlight w:val="none"/>
              </w:rPr>
            </w:pPr>
          </w:p>
        </w:tc>
        <w:tc>
          <w:tcPr>
            <w:tcW w:w="594" w:type="dxa"/>
            <w:vAlign w:val="center"/>
          </w:tcPr>
          <w:p w14:paraId="20D29A8F">
            <w:pPr>
              <w:jc w:val="center"/>
              <w:rPr>
                <w:rFonts w:ascii="宋体" w:hAnsi="宋体"/>
                <w:color w:val="auto"/>
                <w:szCs w:val="44"/>
                <w:highlight w:val="none"/>
              </w:rPr>
            </w:pPr>
          </w:p>
        </w:tc>
        <w:tc>
          <w:tcPr>
            <w:tcW w:w="714" w:type="dxa"/>
            <w:vAlign w:val="center"/>
          </w:tcPr>
          <w:p w14:paraId="22DB29E6">
            <w:pPr>
              <w:jc w:val="center"/>
              <w:rPr>
                <w:rFonts w:ascii="宋体" w:hAnsi="宋体"/>
                <w:color w:val="auto"/>
                <w:szCs w:val="44"/>
                <w:highlight w:val="none"/>
              </w:rPr>
            </w:pPr>
          </w:p>
        </w:tc>
      </w:tr>
      <w:tr w14:paraId="6ED2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5374E9D">
            <w:pPr>
              <w:jc w:val="center"/>
              <w:rPr>
                <w:rFonts w:ascii="宋体" w:hAnsi="宋体"/>
                <w:color w:val="auto"/>
                <w:szCs w:val="44"/>
                <w:highlight w:val="none"/>
              </w:rPr>
            </w:pPr>
            <w:r>
              <w:rPr>
                <w:rFonts w:hint="eastAsia" w:ascii="宋体" w:hAnsi="宋体"/>
                <w:color w:val="auto"/>
                <w:szCs w:val="44"/>
                <w:highlight w:val="none"/>
              </w:rPr>
              <w:t>6</w:t>
            </w:r>
          </w:p>
        </w:tc>
        <w:tc>
          <w:tcPr>
            <w:tcW w:w="1541" w:type="dxa"/>
            <w:vAlign w:val="center"/>
          </w:tcPr>
          <w:p w14:paraId="591168A7">
            <w:pPr>
              <w:jc w:val="center"/>
              <w:rPr>
                <w:rFonts w:ascii="宋体" w:hAnsi="宋体"/>
                <w:color w:val="auto"/>
                <w:szCs w:val="44"/>
                <w:highlight w:val="none"/>
              </w:rPr>
            </w:pPr>
          </w:p>
        </w:tc>
        <w:tc>
          <w:tcPr>
            <w:tcW w:w="595" w:type="dxa"/>
            <w:vAlign w:val="center"/>
          </w:tcPr>
          <w:p w14:paraId="2B757DBC">
            <w:pPr>
              <w:jc w:val="center"/>
              <w:rPr>
                <w:color w:val="auto"/>
                <w:highlight w:val="none"/>
              </w:rPr>
            </w:pPr>
          </w:p>
        </w:tc>
        <w:tc>
          <w:tcPr>
            <w:tcW w:w="595" w:type="dxa"/>
            <w:vAlign w:val="center"/>
          </w:tcPr>
          <w:p w14:paraId="49462C54">
            <w:pPr>
              <w:jc w:val="center"/>
              <w:rPr>
                <w:rFonts w:ascii="宋体" w:hAnsi="宋体"/>
                <w:color w:val="auto"/>
                <w:szCs w:val="44"/>
                <w:highlight w:val="none"/>
              </w:rPr>
            </w:pPr>
          </w:p>
        </w:tc>
        <w:tc>
          <w:tcPr>
            <w:tcW w:w="594" w:type="dxa"/>
            <w:vAlign w:val="center"/>
          </w:tcPr>
          <w:p w14:paraId="29B91A0E">
            <w:pPr>
              <w:jc w:val="center"/>
              <w:rPr>
                <w:rFonts w:ascii="宋体" w:hAnsi="宋体"/>
                <w:color w:val="auto"/>
                <w:szCs w:val="44"/>
                <w:highlight w:val="none"/>
              </w:rPr>
            </w:pPr>
          </w:p>
        </w:tc>
        <w:tc>
          <w:tcPr>
            <w:tcW w:w="593" w:type="dxa"/>
            <w:vAlign w:val="center"/>
          </w:tcPr>
          <w:p w14:paraId="48FD412F">
            <w:pPr>
              <w:jc w:val="center"/>
              <w:rPr>
                <w:rFonts w:ascii="宋体" w:hAnsi="宋体"/>
                <w:color w:val="auto"/>
                <w:szCs w:val="44"/>
                <w:highlight w:val="none"/>
              </w:rPr>
            </w:pPr>
          </w:p>
        </w:tc>
        <w:tc>
          <w:tcPr>
            <w:tcW w:w="593" w:type="dxa"/>
            <w:vAlign w:val="center"/>
          </w:tcPr>
          <w:p w14:paraId="7E686F83">
            <w:pPr>
              <w:jc w:val="center"/>
              <w:rPr>
                <w:rFonts w:ascii="宋体" w:hAnsi="宋体"/>
                <w:color w:val="auto"/>
                <w:szCs w:val="44"/>
                <w:highlight w:val="none"/>
              </w:rPr>
            </w:pPr>
          </w:p>
        </w:tc>
        <w:tc>
          <w:tcPr>
            <w:tcW w:w="593" w:type="dxa"/>
            <w:vAlign w:val="center"/>
          </w:tcPr>
          <w:p w14:paraId="2F073685">
            <w:pPr>
              <w:jc w:val="center"/>
              <w:rPr>
                <w:rFonts w:ascii="宋体" w:hAnsi="宋体"/>
                <w:color w:val="auto"/>
                <w:szCs w:val="44"/>
                <w:highlight w:val="none"/>
              </w:rPr>
            </w:pPr>
          </w:p>
        </w:tc>
        <w:tc>
          <w:tcPr>
            <w:tcW w:w="593" w:type="dxa"/>
            <w:vAlign w:val="center"/>
          </w:tcPr>
          <w:p w14:paraId="1C138130">
            <w:pPr>
              <w:jc w:val="center"/>
              <w:rPr>
                <w:rFonts w:ascii="宋体" w:hAnsi="宋体"/>
                <w:color w:val="auto"/>
                <w:szCs w:val="44"/>
                <w:highlight w:val="none"/>
              </w:rPr>
            </w:pPr>
          </w:p>
        </w:tc>
        <w:tc>
          <w:tcPr>
            <w:tcW w:w="593" w:type="dxa"/>
            <w:vAlign w:val="center"/>
          </w:tcPr>
          <w:p w14:paraId="12BA54E2">
            <w:pPr>
              <w:jc w:val="center"/>
              <w:rPr>
                <w:rFonts w:ascii="宋体" w:hAnsi="宋体"/>
                <w:color w:val="auto"/>
                <w:szCs w:val="44"/>
                <w:highlight w:val="none"/>
              </w:rPr>
            </w:pPr>
          </w:p>
        </w:tc>
        <w:tc>
          <w:tcPr>
            <w:tcW w:w="594" w:type="dxa"/>
            <w:vAlign w:val="center"/>
          </w:tcPr>
          <w:p w14:paraId="1C2D7EB5">
            <w:pPr>
              <w:jc w:val="center"/>
              <w:rPr>
                <w:rFonts w:ascii="宋体" w:hAnsi="宋体"/>
                <w:color w:val="auto"/>
                <w:szCs w:val="44"/>
                <w:highlight w:val="none"/>
              </w:rPr>
            </w:pPr>
          </w:p>
        </w:tc>
        <w:tc>
          <w:tcPr>
            <w:tcW w:w="714" w:type="dxa"/>
            <w:vAlign w:val="center"/>
          </w:tcPr>
          <w:p w14:paraId="47DCFF68">
            <w:pPr>
              <w:jc w:val="center"/>
              <w:rPr>
                <w:rFonts w:ascii="宋体" w:hAnsi="宋体"/>
                <w:color w:val="auto"/>
                <w:szCs w:val="44"/>
                <w:highlight w:val="none"/>
              </w:rPr>
            </w:pPr>
          </w:p>
        </w:tc>
      </w:tr>
      <w:tr w14:paraId="41DF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3372881">
            <w:pPr>
              <w:jc w:val="center"/>
              <w:rPr>
                <w:rFonts w:ascii="宋体" w:hAnsi="宋体"/>
                <w:color w:val="auto"/>
                <w:szCs w:val="44"/>
                <w:highlight w:val="none"/>
              </w:rPr>
            </w:pPr>
            <w:r>
              <w:rPr>
                <w:rFonts w:hint="eastAsia" w:ascii="宋体" w:hAnsi="宋体"/>
                <w:color w:val="auto"/>
                <w:szCs w:val="44"/>
                <w:highlight w:val="none"/>
              </w:rPr>
              <w:t>…</w:t>
            </w:r>
          </w:p>
        </w:tc>
        <w:tc>
          <w:tcPr>
            <w:tcW w:w="1541" w:type="dxa"/>
            <w:vAlign w:val="center"/>
          </w:tcPr>
          <w:p w14:paraId="736954F8">
            <w:pPr>
              <w:rPr>
                <w:rFonts w:ascii="宋体" w:hAnsi="宋体"/>
                <w:color w:val="auto"/>
                <w:szCs w:val="21"/>
                <w:highlight w:val="none"/>
              </w:rPr>
            </w:pPr>
          </w:p>
        </w:tc>
        <w:tc>
          <w:tcPr>
            <w:tcW w:w="595" w:type="dxa"/>
            <w:vAlign w:val="center"/>
          </w:tcPr>
          <w:p w14:paraId="1AE9C225">
            <w:pPr>
              <w:jc w:val="center"/>
              <w:rPr>
                <w:color w:val="auto"/>
                <w:highlight w:val="none"/>
              </w:rPr>
            </w:pPr>
          </w:p>
        </w:tc>
        <w:tc>
          <w:tcPr>
            <w:tcW w:w="595" w:type="dxa"/>
            <w:vAlign w:val="center"/>
          </w:tcPr>
          <w:p w14:paraId="66699999">
            <w:pPr>
              <w:jc w:val="center"/>
              <w:rPr>
                <w:rFonts w:ascii="宋体" w:hAnsi="宋体"/>
                <w:color w:val="auto"/>
                <w:szCs w:val="44"/>
                <w:highlight w:val="none"/>
              </w:rPr>
            </w:pPr>
          </w:p>
        </w:tc>
        <w:tc>
          <w:tcPr>
            <w:tcW w:w="594" w:type="dxa"/>
            <w:vAlign w:val="center"/>
          </w:tcPr>
          <w:p w14:paraId="7DACED1D">
            <w:pPr>
              <w:jc w:val="center"/>
              <w:rPr>
                <w:rFonts w:ascii="宋体" w:hAnsi="宋体"/>
                <w:color w:val="auto"/>
                <w:szCs w:val="44"/>
                <w:highlight w:val="none"/>
              </w:rPr>
            </w:pPr>
          </w:p>
        </w:tc>
        <w:tc>
          <w:tcPr>
            <w:tcW w:w="593" w:type="dxa"/>
            <w:vAlign w:val="center"/>
          </w:tcPr>
          <w:p w14:paraId="4A42BF1A">
            <w:pPr>
              <w:jc w:val="center"/>
              <w:rPr>
                <w:rFonts w:ascii="宋体" w:hAnsi="宋体"/>
                <w:color w:val="auto"/>
                <w:szCs w:val="44"/>
                <w:highlight w:val="none"/>
              </w:rPr>
            </w:pPr>
          </w:p>
        </w:tc>
        <w:tc>
          <w:tcPr>
            <w:tcW w:w="593" w:type="dxa"/>
            <w:vAlign w:val="center"/>
          </w:tcPr>
          <w:p w14:paraId="2B5AFEE4">
            <w:pPr>
              <w:jc w:val="center"/>
              <w:rPr>
                <w:rFonts w:ascii="宋体" w:hAnsi="宋体"/>
                <w:color w:val="auto"/>
                <w:szCs w:val="44"/>
                <w:highlight w:val="none"/>
              </w:rPr>
            </w:pPr>
          </w:p>
        </w:tc>
        <w:tc>
          <w:tcPr>
            <w:tcW w:w="593" w:type="dxa"/>
            <w:vAlign w:val="center"/>
          </w:tcPr>
          <w:p w14:paraId="013C96B2">
            <w:pPr>
              <w:jc w:val="center"/>
              <w:rPr>
                <w:rFonts w:ascii="宋体" w:hAnsi="宋体"/>
                <w:color w:val="auto"/>
                <w:szCs w:val="44"/>
                <w:highlight w:val="none"/>
              </w:rPr>
            </w:pPr>
          </w:p>
        </w:tc>
        <w:tc>
          <w:tcPr>
            <w:tcW w:w="593" w:type="dxa"/>
            <w:vAlign w:val="center"/>
          </w:tcPr>
          <w:p w14:paraId="7C3718EE">
            <w:pPr>
              <w:jc w:val="center"/>
              <w:rPr>
                <w:rFonts w:ascii="宋体" w:hAnsi="宋体"/>
                <w:color w:val="auto"/>
                <w:szCs w:val="44"/>
                <w:highlight w:val="none"/>
              </w:rPr>
            </w:pPr>
          </w:p>
        </w:tc>
        <w:tc>
          <w:tcPr>
            <w:tcW w:w="593" w:type="dxa"/>
            <w:vAlign w:val="center"/>
          </w:tcPr>
          <w:p w14:paraId="6A2F7C06">
            <w:pPr>
              <w:jc w:val="center"/>
              <w:rPr>
                <w:rFonts w:ascii="宋体" w:hAnsi="宋体"/>
                <w:color w:val="auto"/>
                <w:szCs w:val="44"/>
                <w:highlight w:val="none"/>
              </w:rPr>
            </w:pPr>
          </w:p>
        </w:tc>
        <w:tc>
          <w:tcPr>
            <w:tcW w:w="594" w:type="dxa"/>
            <w:vAlign w:val="center"/>
          </w:tcPr>
          <w:p w14:paraId="588A998A">
            <w:pPr>
              <w:jc w:val="center"/>
              <w:rPr>
                <w:rFonts w:ascii="宋体" w:hAnsi="宋体"/>
                <w:color w:val="auto"/>
                <w:szCs w:val="44"/>
                <w:highlight w:val="none"/>
              </w:rPr>
            </w:pPr>
          </w:p>
        </w:tc>
        <w:tc>
          <w:tcPr>
            <w:tcW w:w="714" w:type="dxa"/>
            <w:vAlign w:val="center"/>
          </w:tcPr>
          <w:p w14:paraId="40CF47FE">
            <w:pPr>
              <w:jc w:val="center"/>
              <w:rPr>
                <w:rFonts w:ascii="宋体" w:hAnsi="宋体"/>
                <w:color w:val="auto"/>
                <w:szCs w:val="44"/>
                <w:highlight w:val="none"/>
              </w:rPr>
            </w:pPr>
          </w:p>
        </w:tc>
      </w:tr>
      <w:tr w14:paraId="7B41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2" w:type="dxa"/>
            <w:gridSpan w:val="12"/>
            <w:vAlign w:val="center"/>
          </w:tcPr>
          <w:p w14:paraId="0E24CD7E">
            <w:pPr>
              <w:jc w:val="left"/>
              <w:rPr>
                <w:rFonts w:ascii="宋体" w:hAnsi="宋体"/>
                <w:color w:val="auto"/>
                <w:szCs w:val="44"/>
                <w:highlight w:val="none"/>
              </w:rPr>
            </w:pPr>
            <w:r>
              <w:rPr>
                <w:rFonts w:hint="eastAsia"/>
                <w:color w:val="auto"/>
                <w:highlight w:val="none"/>
              </w:rPr>
              <w:t xml:space="preserve">评标委员会全体成员签名： </w:t>
            </w:r>
          </w:p>
          <w:p w14:paraId="1D7E17E9">
            <w:pPr>
              <w:jc w:val="left"/>
              <w:rPr>
                <w:rFonts w:ascii="宋体" w:hAnsi="宋体"/>
                <w:color w:val="auto"/>
                <w:szCs w:val="44"/>
                <w:highlight w:val="none"/>
              </w:rPr>
            </w:pPr>
          </w:p>
          <w:p w14:paraId="336DD3DF">
            <w:pPr>
              <w:jc w:val="left"/>
              <w:rPr>
                <w:rFonts w:ascii="宋体" w:hAnsi="宋体"/>
                <w:color w:val="auto"/>
                <w:szCs w:val="44"/>
                <w:highlight w:val="none"/>
              </w:rPr>
            </w:pPr>
          </w:p>
          <w:p w14:paraId="3EF78F1E">
            <w:pPr>
              <w:jc w:val="left"/>
              <w:rPr>
                <w:rFonts w:ascii="宋体" w:hAnsi="宋体"/>
                <w:color w:val="auto"/>
                <w:szCs w:val="44"/>
                <w:highlight w:val="none"/>
              </w:rPr>
            </w:pPr>
          </w:p>
          <w:p w14:paraId="58ED83A8">
            <w:pPr>
              <w:jc w:val="left"/>
              <w:rPr>
                <w:rFonts w:ascii="宋体" w:hAnsi="宋体"/>
                <w:color w:val="auto"/>
                <w:szCs w:val="44"/>
                <w:highlight w:val="none"/>
              </w:rPr>
            </w:pPr>
          </w:p>
          <w:p w14:paraId="248CB714">
            <w:pPr>
              <w:jc w:val="left"/>
              <w:rPr>
                <w:rFonts w:ascii="宋体" w:hAnsi="宋体"/>
                <w:color w:val="auto"/>
                <w:szCs w:val="44"/>
                <w:highlight w:val="none"/>
              </w:rPr>
            </w:pPr>
          </w:p>
          <w:p w14:paraId="71AD8463">
            <w:pPr>
              <w:jc w:val="left"/>
              <w:rPr>
                <w:rFonts w:ascii="宋体" w:hAnsi="宋体"/>
                <w:color w:val="auto"/>
                <w:szCs w:val="44"/>
                <w:highlight w:val="none"/>
              </w:rPr>
            </w:pPr>
          </w:p>
          <w:p w14:paraId="24691E91">
            <w:pPr>
              <w:jc w:val="center"/>
              <w:rPr>
                <w:rFonts w:ascii="宋体" w:hAnsi="宋体"/>
                <w:color w:val="auto"/>
                <w:szCs w:val="44"/>
                <w:highlight w:val="none"/>
              </w:rPr>
            </w:pPr>
          </w:p>
        </w:tc>
      </w:tr>
    </w:tbl>
    <w:p w14:paraId="3DF2D7DE">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2EFC62DD">
      <w:pPr>
        <w:spacing w:line="400" w:lineRule="exact"/>
        <w:ind w:left="840" w:leftChars="400" w:firstLine="4410" w:firstLineChars="2100"/>
        <w:rPr>
          <w:rFonts w:ascii="宋体" w:hAnsi="宋体"/>
          <w:color w:val="auto"/>
          <w:szCs w:val="44"/>
          <w:highlight w:val="none"/>
        </w:rPr>
      </w:pPr>
    </w:p>
    <w:p w14:paraId="478B1BF9">
      <w:pPr>
        <w:spacing w:line="400" w:lineRule="exact"/>
        <w:rPr>
          <w:rFonts w:ascii="宋体" w:hAnsi="宋体"/>
          <w:color w:val="auto"/>
          <w:szCs w:val="44"/>
          <w:highlight w:val="none"/>
        </w:rPr>
      </w:pPr>
    </w:p>
    <w:p w14:paraId="57DB5DCC">
      <w:pPr>
        <w:spacing w:line="400" w:lineRule="exact"/>
        <w:ind w:left="1260" w:hanging="1260" w:hangingChars="450"/>
        <w:jc w:val="center"/>
        <w:rPr>
          <w:rFonts w:eastAsia="仿宋_GB2312"/>
          <w:color w:val="auto"/>
          <w:sz w:val="28"/>
          <w:szCs w:val="28"/>
          <w:highlight w:val="none"/>
        </w:rPr>
      </w:pPr>
    </w:p>
    <w:p w14:paraId="5DA6FC72">
      <w:pPr>
        <w:spacing w:line="430" w:lineRule="exact"/>
        <w:rPr>
          <w:color w:val="auto"/>
          <w:highlight w:val="none"/>
        </w:rPr>
      </w:pPr>
    </w:p>
    <w:p w14:paraId="25906EAF">
      <w:pPr>
        <w:spacing w:line="430" w:lineRule="exact"/>
        <w:ind w:firstLine="5460" w:firstLineChars="2600"/>
        <w:rPr>
          <w:color w:val="auto"/>
          <w:highlight w:val="none"/>
        </w:rPr>
        <w:sectPr>
          <w:type w:val="continuous"/>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16C664C">
      <w:pPr>
        <w:spacing w:line="430" w:lineRule="exact"/>
        <w:ind w:firstLine="5460" w:firstLineChars="2600"/>
        <w:rPr>
          <w:color w:val="auto"/>
          <w:highlight w:val="none"/>
        </w:rPr>
      </w:pPr>
    </w:p>
    <w:p w14:paraId="77BF79F9">
      <w:pPr>
        <w:spacing w:line="430" w:lineRule="exact"/>
        <w:rPr>
          <w:rFonts w:ascii="黑体" w:eastAsia="黑体"/>
          <w:color w:val="auto"/>
          <w:sz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7C92120E">
      <w:pPr>
        <w:pStyle w:val="32"/>
        <w:ind w:firstLine="118"/>
        <w:rPr>
          <w:color w:val="auto"/>
          <w:highlight w:val="none"/>
        </w:rPr>
      </w:pPr>
      <w:bookmarkStart w:id="914" w:name="_Toc164716311"/>
      <w:bookmarkStart w:id="915" w:name="_Toc2171"/>
      <w:bookmarkStart w:id="916" w:name="_Toc256000141"/>
      <w:bookmarkStart w:id="917" w:name="_Toc148860669"/>
      <w:r>
        <w:rPr>
          <w:rFonts w:hint="eastAsia"/>
          <w:color w:val="auto"/>
          <w:highlight w:val="none"/>
        </w:rPr>
        <w:t>附表A-</w:t>
      </w:r>
      <w:r>
        <w:rPr>
          <w:color w:val="auto"/>
          <w:highlight w:val="none"/>
        </w:rPr>
        <w:t>8</w:t>
      </w:r>
      <w:r>
        <w:rPr>
          <w:rFonts w:hint="eastAsia"/>
          <w:color w:val="auto"/>
          <w:highlight w:val="none"/>
        </w:rPr>
        <w:t>：初步评审汇总记录表</w:t>
      </w:r>
      <w:bookmarkEnd w:id="914"/>
      <w:bookmarkEnd w:id="915"/>
      <w:bookmarkEnd w:id="916"/>
      <w:bookmarkEnd w:id="917"/>
    </w:p>
    <w:p w14:paraId="6227BFAA">
      <w:pPr>
        <w:spacing w:after="240" w:afterLines="100"/>
        <w:jc w:val="center"/>
        <w:rPr>
          <w:rFonts w:ascii="黑体" w:hAnsi="宋体" w:eastAsia="黑体"/>
          <w:color w:val="auto"/>
          <w:sz w:val="36"/>
          <w:szCs w:val="36"/>
          <w:highlight w:val="none"/>
        </w:rPr>
      </w:pPr>
    </w:p>
    <w:p w14:paraId="6388EECE">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初步评审汇总记录表</w:t>
      </w:r>
    </w:p>
    <w:p w14:paraId="62833430">
      <w:pPr>
        <w:rPr>
          <w:rFonts w:ascii="宋体" w:hAnsi="宋体"/>
          <w:color w:val="auto"/>
          <w:szCs w:val="44"/>
          <w:highlight w:val="none"/>
        </w:rPr>
      </w:pPr>
      <w:r>
        <w:rPr>
          <w:rFonts w:hint="eastAsia" w:ascii="宋体" w:hAnsi="宋体"/>
          <w:color w:val="auto"/>
          <w:szCs w:val="44"/>
          <w:highlight w:val="none"/>
        </w:rPr>
        <w:t>标段名称：</w:t>
      </w:r>
    </w:p>
    <w:p w14:paraId="5FC82C2C">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941"/>
        <w:gridCol w:w="942"/>
        <w:gridCol w:w="941"/>
        <w:gridCol w:w="1019"/>
        <w:gridCol w:w="1185"/>
        <w:gridCol w:w="1166"/>
        <w:gridCol w:w="851"/>
        <w:gridCol w:w="992"/>
      </w:tblGrid>
      <w:tr w14:paraId="51A7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0F9ECE27">
            <w:pPr>
              <w:jc w:val="center"/>
              <w:rPr>
                <w:b/>
                <w:bCs/>
                <w:color w:val="auto"/>
                <w:highlight w:val="none"/>
              </w:rPr>
            </w:pPr>
            <w:r>
              <w:rPr>
                <w:rFonts w:hint="eastAsia"/>
                <w:b/>
                <w:bCs/>
                <w:color w:val="auto"/>
                <w:highlight w:val="none"/>
              </w:rPr>
              <w:t>序号</w:t>
            </w:r>
          </w:p>
        </w:tc>
        <w:tc>
          <w:tcPr>
            <w:tcW w:w="941" w:type="dxa"/>
            <w:shd w:val="clear" w:color="auto" w:fill="auto"/>
            <w:vAlign w:val="center"/>
          </w:tcPr>
          <w:p w14:paraId="0FA1B2B9">
            <w:pPr>
              <w:jc w:val="center"/>
              <w:rPr>
                <w:b/>
                <w:bCs/>
                <w:color w:val="auto"/>
                <w:highlight w:val="none"/>
              </w:rPr>
            </w:pPr>
            <w:r>
              <w:rPr>
                <w:rFonts w:hint="eastAsia"/>
                <w:b/>
                <w:bCs/>
                <w:color w:val="auto"/>
                <w:highlight w:val="none"/>
              </w:rPr>
              <w:t>投标人名称</w:t>
            </w:r>
          </w:p>
        </w:tc>
        <w:tc>
          <w:tcPr>
            <w:tcW w:w="942" w:type="dxa"/>
            <w:shd w:val="clear" w:color="auto" w:fill="auto"/>
            <w:vAlign w:val="center"/>
          </w:tcPr>
          <w:p w14:paraId="3334DD20">
            <w:pPr>
              <w:jc w:val="center"/>
              <w:rPr>
                <w:b/>
                <w:bCs/>
                <w:color w:val="auto"/>
                <w:highlight w:val="none"/>
              </w:rPr>
            </w:pPr>
            <w:r>
              <w:rPr>
                <w:rFonts w:hint="eastAsia"/>
                <w:b/>
                <w:bCs/>
                <w:color w:val="auto"/>
                <w:highlight w:val="none"/>
              </w:rPr>
              <w:t>形式评审结果</w:t>
            </w:r>
          </w:p>
        </w:tc>
        <w:tc>
          <w:tcPr>
            <w:tcW w:w="941" w:type="dxa"/>
            <w:shd w:val="clear" w:color="auto" w:fill="auto"/>
            <w:vAlign w:val="center"/>
          </w:tcPr>
          <w:p w14:paraId="693E5FD6">
            <w:pPr>
              <w:jc w:val="center"/>
              <w:rPr>
                <w:b/>
                <w:bCs/>
                <w:color w:val="auto"/>
                <w:highlight w:val="none"/>
              </w:rPr>
            </w:pPr>
            <w:r>
              <w:rPr>
                <w:rFonts w:hint="eastAsia"/>
                <w:b/>
                <w:bCs/>
                <w:color w:val="auto"/>
                <w:highlight w:val="none"/>
              </w:rPr>
              <w:t>资格评审结果</w:t>
            </w:r>
          </w:p>
        </w:tc>
        <w:tc>
          <w:tcPr>
            <w:tcW w:w="1019" w:type="dxa"/>
            <w:shd w:val="clear" w:color="auto" w:fill="auto"/>
            <w:vAlign w:val="center"/>
          </w:tcPr>
          <w:p w14:paraId="265E81CD">
            <w:pPr>
              <w:jc w:val="center"/>
              <w:rPr>
                <w:b/>
                <w:bCs/>
                <w:color w:val="auto"/>
                <w:highlight w:val="none"/>
              </w:rPr>
            </w:pPr>
            <w:r>
              <w:rPr>
                <w:rFonts w:hint="eastAsia"/>
                <w:b/>
                <w:bCs/>
                <w:color w:val="auto"/>
                <w:highlight w:val="none"/>
              </w:rPr>
              <w:t>响应性评审结果</w:t>
            </w:r>
          </w:p>
        </w:tc>
        <w:tc>
          <w:tcPr>
            <w:tcW w:w="1185" w:type="dxa"/>
            <w:shd w:val="clear" w:color="auto" w:fill="auto"/>
            <w:vAlign w:val="center"/>
          </w:tcPr>
          <w:p w14:paraId="4660623B">
            <w:pPr>
              <w:jc w:val="center"/>
              <w:rPr>
                <w:b/>
                <w:bCs/>
                <w:color w:val="auto"/>
                <w:highlight w:val="none"/>
              </w:rPr>
            </w:pPr>
            <w:r>
              <w:rPr>
                <w:rFonts w:hint="eastAsia"/>
                <w:b/>
                <w:bCs/>
                <w:color w:val="auto"/>
                <w:highlight w:val="none"/>
              </w:rPr>
              <w:t>承包人建议书评审结果（如有）</w:t>
            </w:r>
          </w:p>
        </w:tc>
        <w:tc>
          <w:tcPr>
            <w:tcW w:w="1166" w:type="dxa"/>
            <w:shd w:val="clear" w:color="auto" w:fill="auto"/>
            <w:vAlign w:val="center"/>
          </w:tcPr>
          <w:p w14:paraId="7886CD6F">
            <w:pPr>
              <w:jc w:val="center"/>
              <w:rPr>
                <w:b/>
                <w:bCs/>
                <w:color w:val="auto"/>
                <w:highlight w:val="none"/>
              </w:rPr>
            </w:pPr>
            <w:r>
              <w:rPr>
                <w:rFonts w:hint="eastAsia"/>
                <w:b/>
                <w:bCs/>
                <w:color w:val="auto"/>
                <w:highlight w:val="none"/>
              </w:rPr>
              <w:t>承包人实施方案评审结果（如有）</w:t>
            </w:r>
          </w:p>
        </w:tc>
        <w:tc>
          <w:tcPr>
            <w:tcW w:w="851" w:type="dxa"/>
            <w:shd w:val="clear" w:color="auto" w:fill="auto"/>
            <w:vAlign w:val="center"/>
          </w:tcPr>
          <w:p w14:paraId="2F88FA9F">
            <w:pPr>
              <w:ind w:right="-105"/>
              <w:jc w:val="center"/>
              <w:rPr>
                <w:rFonts w:ascii="宋体" w:hAnsi="宋体"/>
                <w:b/>
                <w:bCs/>
                <w:color w:val="auto"/>
                <w:szCs w:val="21"/>
                <w:highlight w:val="none"/>
              </w:rPr>
            </w:pPr>
            <w:r>
              <w:rPr>
                <w:rFonts w:hint="eastAsia" w:ascii="宋体" w:hAnsi="宋体"/>
                <w:b/>
                <w:bCs/>
                <w:color w:val="auto"/>
                <w:szCs w:val="21"/>
                <w:highlight w:val="none"/>
              </w:rPr>
              <w:t>投标报价</w:t>
            </w:r>
          </w:p>
        </w:tc>
        <w:tc>
          <w:tcPr>
            <w:tcW w:w="992" w:type="dxa"/>
            <w:shd w:val="clear" w:color="auto" w:fill="auto"/>
            <w:vAlign w:val="center"/>
          </w:tcPr>
          <w:p w14:paraId="37C97770">
            <w:pPr>
              <w:ind w:right="-111"/>
              <w:jc w:val="center"/>
              <w:rPr>
                <w:rFonts w:ascii="宋体" w:hAnsi="宋体"/>
                <w:b/>
                <w:bCs/>
                <w:color w:val="auto"/>
                <w:szCs w:val="21"/>
                <w:highlight w:val="none"/>
              </w:rPr>
            </w:pPr>
            <w:r>
              <w:rPr>
                <w:rFonts w:hint="eastAsia" w:ascii="宋体" w:hAnsi="宋体"/>
                <w:b/>
                <w:bCs/>
                <w:color w:val="auto"/>
                <w:szCs w:val="21"/>
                <w:highlight w:val="none"/>
              </w:rPr>
              <w:t>评审结论</w:t>
            </w:r>
          </w:p>
        </w:tc>
      </w:tr>
      <w:tr w14:paraId="624F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386FEEC5">
            <w:pPr>
              <w:jc w:val="center"/>
              <w:rPr>
                <w:rFonts w:ascii="黑体" w:hAnsi="宋体" w:eastAsia="黑体"/>
                <w:color w:val="auto"/>
                <w:szCs w:val="44"/>
                <w:highlight w:val="none"/>
              </w:rPr>
            </w:pPr>
            <w:r>
              <w:rPr>
                <w:rFonts w:hint="eastAsia" w:ascii="黑体" w:hAnsi="宋体" w:eastAsia="黑体"/>
                <w:color w:val="auto"/>
                <w:szCs w:val="44"/>
                <w:highlight w:val="none"/>
              </w:rPr>
              <w:t>1</w:t>
            </w:r>
          </w:p>
        </w:tc>
        <w:tc>
          <w:tcPr>
            <w:tcW w:w="941" w:type="dxa"/>
            <w:shd w:val="clear" w:color="auto" w:fill="auto"/>
            <w:vAlign w:val="center"/>
          </w:tcPr>
          <w:p w14:paraId="1108045D">
            <w:pPr>
              <w:jc w:val="center"/>
              <w:rPr>
                <w:color w:val="auto"/>
                <w:highlight w:val="none"/>
              </w:rPr>
            </w:pPr>
          </w:p>
        </w:tc>
        <w:tc>
          <w:tcPr>
            <w:tcW w:w="942" w:type="dxa"/>
            <w:shd w:val="clear" w:color="auto" w:fill="auto"/>
            <w:vAlign w:val="center"/>
          </w:tcPr>
          <w:p w14:paraId="579186C5">
            <w:pPr>
              <w:jc w:val="center"/>
              <w:rPr>
                <w:color w:val="auto"/>
                <w:highlight w:val="none"/>
              </w:rPr>
            </w:pPr>
          </w:p>
        </w:tc>
        <w:tc>
          <w:tcPr>
            <w:tcW w:w="941" w:type="dxa"/>
            <w:shd w:val="clear" w:color="auto" w:fill="auto"/>
            <w:vAlign w:val="center"/>
          </w:tcPr>
          <w:p w14:paraId="02C6EF64">
            <w:pPr>
              <w:jc w:val="center"/>
              <w:rPr>
                <w:color w:val="auto"/>
                <w:highlight w:val="none"/>
              </w:rPr>
            </w:pPr>
          </w:p>
        </w:tc>
        <w:tc>
          <w:tcPr>
            <w:tcW w:w="1019" w:type="dxa"/>
            <w:shd w:val="clear" w:color="auto" w:fill="auto"/>
            <w:vAlign w:val="center"/>
          </w:tcPr>
          <w:p w14:paraId="08A838F6">
            <w:pPr>
              <w:jc w:val="center"/>
              <w:rPr>
                <w:color w:val="auto"/>
                <w:highlight w:val="none"/>
              </w:rPr>
            </w:pPr>
          </w:p>
        </w:tc>
        <w:tc>
          <w:tcPr>
            <w:tcW w:w="1185" w:type="dxa"/>
            <w:shd w:val="clear" w:color="auto" w:fill="auto"/>
            <w:vAlign w:val="center"/>
          </w:tcPr>
          <w:p w14:paraId="11E61336">
            <w:pPr>
              <w:jc w:val="center"/>
              <w:rPr>
                <w:color w:val="auto"/>
                <w:highlight w:val="none"/>
              </w:rPr>
            </w:pPr>
          </w:p>
        </w:tc>
        <w:tc>
          <w:tcPr>
            <w:tcW w:w="1166" w:type="dxa"/>
            <w:shd w:val="clear" w:color="auto" w:fill="auto"/>
            <w:vAlign w:val="center"/>
          </w:tcPr>
          <w:p w14:paraId="6254F881">
            <w:pPr>
              <w:jc w:val="center"/>
              <w:rPr>
                <w:color w:val="auto"/>
                <w:highlight w:val="none"/>
              </w:rPr>
            </w:pPr>
          </w:p>
        </w:tc>
        <w:tc>
          <w:tcPr>
            <w:tcW w:w="851" w:type="dxa"/>
            <w:shd w:val="clear" w:color="auto" w:fill="auto"/>
            <w:vAlign w:val="center"/>
          </w:tcPr>
          <w:p w14:paraId="32F9A707">
            <w:pPr>
              <w:ind w:right="-105"/>
              <w:jc w:val="center"/>
              <w:rPr>
                <w:rFonts w:ascii="宋体" w:hAnsi="宋体"/>
                <w:color w:val="auto"/>
                <w:szCs w:val="21"/>
                <w:highlight w:val="none"/>
              </w:rPr>
            </w:pPr>
          </w:p>
        </w:tc>
        <w:tc>
          <w:tcPr>
            <w:tcW w:w="992" w:type="dxa"/>
            <w:shd w:val="clear" w:color="auto" w:fill="auto"/>
            <w:vAlign w:val="center"/>
          </w:tcPr>
          <w:p w14:paraId="11FF30A2">
            <w:pPr>
              <w:ind w:right="-111"/>
              <w:jc w:val="center"/>
              <w:rPr>
                <w:rFonts w:ascii="宋体" w:hAnsi="宋体"/>
                <w:color w:val="auto"/>
                <w:szCs w:val="21"/>
                <w:highlight w:val="none"/>
              </w:rPr>
            </w:pPr>
          </w:p>
        </w:tc>
      </w:tr>
      <w:tr w14:paraId="4247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4331656D">
            <w:pPr>
              <w:jc w:val="center"/>
              <w:rPr>
                <w:rFonts w:ascii="黑体" w:hAnsi="宋体" w:eastAsia="黑体"/>
                <w:color w:val="auto"/>
                <w:szCs w:val="44"/>
                <w:highlight w:val="none"/>
              </w:rPr>
            </w:pPr>
            <w:r>
              <w:rPr>
                <w:rFonts w:hint="eastAsia" w:ascii="黑体" w:hAnsi="宋体" w:eastAsia="黑体"/>
                <w:color w:val="auto"/>
                <w:szCs w:val="44"/>
                <w:highlight w:val="none"/>
              </w:rPr>
              <w:t>2</w:t>
            </w:r>
          </w:p>
        </w:tc>
        <w:tc>
          <w:tcPr>
            <w:tcW w:w="941" w:type="dxa"/>
            <w:shd w:val="clear" w:color="auto" w:fill="auto"/>
            <w:vAlign w:val="center"/>
          </w:tcPr>
          <w:p w14:paraId="050FF00C">
            <w:pPr>
              <w:jc w:val="center"/>
              <w:rPr>
                <w:color w:val="auto"/>
                <w:highlight w:val="none"/>
              </w:rPr>
            </w:pPr>
          </w:p>
        </w:tc>
        <w:tc>
          <w:tcPr>
            <w:tcW w:w="942" w:type="dxa"/>
            <w:shd w:val="clear" w:color="auto" w:fill="auto"/>
            <w:vAlign w:val="center"/>
          </w:tcPr>
          <w:p w14:paraId="7C490B61">
            <w:pPr>
              <w:jc w:val="center"/>
              <w:rPr>
                <w:color w:val="auto"/>
                <w:highlight w:val="none"/>
              </w:rPr>
            </w:pPr>
          </w:p>
        </w:tc>
        <w:tc>
          <w:tcPr>
            <w:tcW w:w="941" w:type="dxa"/>
            <w:shd w:val="clear" w:color="auto" w:fill="auto"/>
            <w:vAlign w:val="center"/>
          </w:tcPr>
          <w:p w14:paraId="0FB3042D">
            <w:pPr>
              <w:jc w:val="center"/>
              <w:rPr>
                <w:color w:val="auto"/>
                <w:highlight w:val="none"/>
              </w:rPr>
            </w:pPr>
          </w:p>
        </w:tc>
        <w:tc>
          <w:tcPr>
            <w:tcW w:w="1019" w:type="dxa"/>
            <w:shd w:val="clear" w:color="auto" w:fill="auto"/>
            <w:vAlign w:val="center"/>
          </w:tcPr>
          <w:p w14:paraId="47C33DCF">
            <w:pPr>
              <w:jc w:val="center"/>
              <w:rPr>
                <w:color w:val="auto"/>
                <w:highlight w:val="none"/>
              </w:rPr>
            </w:pPr>
          </w:p>
        </w:tc>
        <w:tc>
          <w:tcPr>
            <w:tcW w:w="1185" w:type="dxa"/>
            <w:shd w:val="clear" w:color="auto" w:fill="auto"/>
            <w:vAlign w:val="center"/>
          </w:tcPr>
          <w:p w14:paraId="6C64AA47">
            <w:pPr>
              <w:jc w:val="center"/>
              <w:rPr>
                <w:color w:val="auto"/>
                <w:highlight w:val="none"/>
              </w:rPr>
            </w:pPr>
          </w:p>
        </w:tc>
        <w:tc>
          <w:tcPr>
            <w:tcW w:w="1166" w:type="dxa"/>
            <w:shd w:val="clear" w:color="auto" w:fill="auto"/>
            <w:vAlign w:val="center"/>
          </w:tcPr>
          <w:p w14:paraId="557C78C1">
            <w:pPr>
              <w:jc w:val="center"/>
              <w:rPr>
                <w:color w:val="auto"/>
                <w:highlight w:val="none"/>
              </w:rPr>
            </w:pPr>
          </w:p>
        </w:tc>
        <w:tc>
          <w:tcPr>
            <w:tcW w:w="851" w:type="dxa"/>
            <w:shd w:val="clear" w:color="auto" w:fill="auto"/>
            <w:vAlign w:val="center"/>
          </w:tcPr>
          <w:p w14:paraId="6D36115B">
            <w:pPr>
              <w:ind w:right="-105"/>
              <w:jc w:val="center"/>
              <w:rPr>
                <w:rFonts w:ascii="宋体" w:hAnsi="宋体"/>
                <w:color w:val="auto"/>
                <w:szCs w:val="21"/>
                <w:highlight w:val="none"/>
              </w:rPr>
            </w:pPr>
          </w:p>
        </w:tc>
        <w:tc>
          <w:tcPr>
            <w:tcW w:w="992" w:type="dxa"/>
            <w:shd w:val="clear" w:color="auto" w:fill="auto"/>
            <w:vAlign w:val="center"/>
          </w:tcPr>
          <w:p w14:paraId="3A02B4C5">
            <w:pPr>
              <w:ind w:right="-111"/>
              <w:jc w:val="center"/>
              <w:rPr>
                <w:rFonts w:ascii="宋体" w:hAnsi="宋体"/>
                <w:color w:val="auto"/>
                <w:szCs w:val="21"/>
                <w:highlight w:val="none"/>
              </w:rPr>
            </w:pPr>
          </w:p>
        </w:tc>
      </w:tr>
      <w:tr w14:paraId="0B45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5F4F3D4D">
            <w:pPr>
              <w:jc w:val="center"/>
              <w:rPr>
                <w:rFonts w:ascii="黑体" w:hAnsi="宋体" w:eastAsia="黑体"/>
                <w:color w:val="auto"/>
                <w:szCs w:val="44"/>
                <w:highlight w:val="none"/>
              </w:rPr>
            </w:pPr>
            <w:r>
              <w:rPr>
                <w:rFonts w:hint="eastAsia" w:ascii="黑体" w:hAnsi="宋体" w:eastAsia="黑体"/>
                <w:color w:val="auto"/>
                <w:szCs w:val="44"/>
                <w:highlight w:val="none"/>
              </w:rPr>
              <w:t>3</w:t>
            </w:r>
          </w:p>
        </w:tc>
        <w:tc>
          <w:tcPr>
            <w:tcW w:w="941" w:type="dxa"/>
            <w:shd w:val="clear" w:color="auto" w:fill="auto"/>
            <w:vAlign w:val="center"/>
          </w:tcPr>
          <w:p w14:paraId="2B101615">
            <w:pPr>
              <w:jc w:val="center"/>
              <w:rPr>
                <w:color w:val="auto"/>
                <w:highlight w:val="none"/>
              </w:rPr>
            </w:pPr>
          </w:p>
        </w:tc>
        <w:tc>
          <w:tcPr>
            <w:tcW w:w="942" w:type="dxa"/>
            <w:shd w:val="clear" w:color="auto" w:fill="auto"/>
            <w:vAlign w:val="center"/>
          </w:tcPr>
          <w:p w14:paraId="6896A7A1">
            <w:pPr>
              <w:jc w:val="center"/>
              <w:rPr>
                <w:color w:val="auto"/>
                <w:highlight w:val="none"/>
              </w:rPr>
            </w:pPr>
          </w:p>
        </w:tc>
        <w:tc>
          <w:tcPr>
            <w:tcW w:w="941" w:type="dxa"/>
            <w:shd w:val="clear" w:color="auto" w:fill="auto"/>
            <w:vAlign w:val="center"/>
          </w:tcPr>
          <w:p w14:paraId="495E67AA">
            <w:pPr>
              <w:jc w:val="center"/>
              <w:rPr>
                <w:color w:val="auto"/>
                <w:highlight w:val="none"/>
              </w:rPr>
            </w:pPr>
          </w:p>
        </w:tc>
        <w:tc>
          <w:tcPr>
            <w:tcW w:w="1019" w:type="dxa"/>
            <w:shd w:val="clear" w:color="auto" w:fill="auto"/>
            <w:vAlign w:val="center"/>
          </w:tcPr>
          <w:p w14:paraId="786FD3C5">
            <w:pPr>
              <w:jc w:val="center"/>
              <w:rPr>
                <w:color w:val="auto"/>
                <w:highlight w:val="none"/>
              </w:rPr>
            </w:pPr>
          </w:p>
        </w:tc>
        <w:tc>
          <w:tcPr>
            <w:tcW w:w="1185" w:type="dxa"/>
            <w:shd w:val="clear" w:color="auto" w:fill="auto"/>
            <w:vAlign w:val="center"/>
          </w:tcPr>
          <w:p w14:paraId="2436C46E">
            <w:pPr>
              <w:jc w:val="center"/>
              <w:rPr>
                <w:color w:val="auto"/>
                <w:highlight w:val="none"/>
              </w:rPr>
            </w:pPr>
          </w:p>
        </w:tc>
        <w:tc>
          <w:tcPr>
            <w:tcW w:w="1166" w:type="dxa"/>
            <w:shd w:val="clear" w:color="auto" w:fill="auto"/>
            <w:vAlign w:val="center"/>
          </w:tcPr>
          <w:p w14:paraId="723751BD">
            <w:pPr>
              <w:jc w:val="center"/>
              <w:rPr>
                <w:color w:val="auto"/>
                <w:highlight w:val="none"/>
              </w:rPr>
            </w:pPr>
          </w:p>
        </w:tc>
        <w:tc>
          <w:tcPr>
            <w:tcW w:w="851" w:type="dxa"/>
            <w:shd w:val="clear" w:color="auto" w:fill="auto"/>
            <w:vAlign w:val="center"/>
          </w:tcPr>
          <w:p w14:paraId="5445A8E3">
            <w:pPr>
              <w:ind w:right="-105"/>
              <w:jc w:val="center"/>
              <w:rPr>
                <w:rFonts w:ascii="宋体" w:hAnsi="宋体"/>
                <w:color w:val="auto"/>
                <w:szCs w:val="21"/>
                <w:highlight w:val="none"/>
              </w:rPr>
            </w:pPr>
          </w:p>
        </w:tc>
        <w:tc>
          <w:tcPr>
            <w:tcW w:w="992" w:type="dxa"/>
            <w:shd w:val="clear" w:color="auto" w:fill="auto"/>
            <w:vAlign w:val="center"/>
          </w:tcPr>
          <w:p w14:paraId="651261E6">
            <w:pPr>
              <w:ind w:right="-111"/>
              <w:jc w:val="center"/>
              <w:rPr>
                <w:rFonts w:ascii="宋体" w:hAnsi="宋体"/>
                <w:color w:val="auto"/>
                <w:szCs w:val="21"/>
                <w:highlight w:val="none"/>
              </w:rPr>
            </w:pPr>
          </w:p>
        </w:tc>
      </w:tr>
      <w:tr w14:paraId="5537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45F2AE8C">
            <w:pPr>
              <w:jc w:val="center"/>
              <w:rPr>
                <w:rFonts w:ascii="黑体" w:hAnsi="宋体" w:eastAsia="黑体"/>
                <w:color w:val="auto"/>
                <w:szCs w:val="44"/>
                <w:highlight w:val="none"/>
              </w:rPr>
            </w:pPr>
            <w:r>
              <w:rPr>
                <w:rFonts w:hint="eastAsia" w:ascii="黑体" w:hAnsi="宋体" w:eastAsia="黑体"/>
                <w:color w:val="auto"/>
                <w:szCs w:val="44"/>
                <w:highlight w:val="none"/>
              </w:rPr>
              <w:t>4</w:t>
            </w:r>
          </w:p>
        </w:tc>
        <w:tc>
          <w:tcPr>
            <w:tcW w:w="941" w:type="dxa"/>
            <w:shd w:val="clear" w:color="auto" w:fill="auto"/>
            <w:vAlign w:val="center"/>
          </w:tcPr>
          <w:p w14:paraId="63A5DC53">
            <w:pPr>
              <w:jc w:val="center"/>
              <w:rPr>
                <w:color w:val="auto"/>
                <w:highlight w:val="none"/>
              </w:rPr>
            </w:pPr>
          </w:p>
        </w:tc>
        <w:tc>
          <w:tcPr>
            <w:tcW w:w="942" w:type="dxa"/>
            <w:shd w:val="clear" w:color="auto" w:fill="auto"/>
            <w:vAlign w:val="center"/>
          </w:tcPr>
          <w:p w14:paraId="10BB3E6C">
            <w:pPr>
              <w:jc w:val="center"/>
              <w:rPr>
                <w:color w:val="auto"/>
                <w:highlight w:val="none"/>
              </w:rPr>
            </w:pPr>
          </w:p>
        </w:tc>
        <w:tc>
          <w:tcPr>
            <w:tcW w:w="941" w:type="dxa"/>
            <w:shd w:val="clear" w:color="auto" w:fill="auto"/>
            <w:vAlign w:val="center"/>
          </w:tcPr>
          <w:p w14:paraId="46A792D5">
            <w:pPr>
              <w:jc w:val="center"/>
              <w:rPr>
                <w:color w:val="auto"/>
                <w:highlight w:val="none"/>
              </w:rPr>
            </w:pPr>
          </w:p>
        </w:tc>
        <w:tc>
          <w:tcPr>
            <w:tcW w:w="1019" w:type="dxa"/>
            <w:shd w:val="clear" w:color="auto" w:fill="auto"/>
            <w:vAlign w:val="center"/>
          </w:tcPr>
          <w:p w14:paraId="4A7C3FFB">
            <w:pPr>
              <w:jc w:val="center"/>
              <w:rPr>
                <w:color w:val="auto"/>
                <w:highlight w:val="none"/>
              </w:rPr>
            </w:pPr>
          </w:p>
        </w:tc>
        <w:tc>
          <w:tcPr>
            <w:tcW w:w="1185" w:type="dxa"/>
            <w:shd w:val="clear" w:color="auto" w:fill="auto"/>
            <w:vAlign w:val="center"/>
          </w:tcPr>
          <w:p w14:paraId="11B63500">
            <w:pPr>
              <w:jc w:val="center"/>
              <w:rPr>
                <w:color w:val="auto"/>
                <w:highlight w:val="none"/>
              </w:rPr>
            </w:pPr>
          </w:p>
        </w:tc>
        <w:tc>
          <w:tcPr>
            <w:tcW w:w="1166" w:type="dxa"/>
            <w:shd w:val="clear" w:color="auto" w:fill="auto"/>
            <w:vAlign w:val="center"/>
          </w:tcPr>
          <w:p w14:paraId="6E1ED569">
            <w:pPr>
              <w:jc w:val="center"/>
              <w:rPr>
                <w:color w:val="auto"/>
                <w:highlight w:val="none"/>
              </w:rPr>
            </w:pPr>
          </w:p>
        </w:tc>
        <w:tc>
          <w:tcPr>
            <w:tcW w:w="851" w:type="dxa"/>
            <w:shd w:val="clear" w:color="auto" w:fill="auto"/>
            <w:vAlign w:val="center"/>
          </w:tcPr>
          <w:p w14:paraId="4A19CDDC">
            <w:pPr>
              <w:ind w:right="-105"/>
              <w:jc w:val="center"/>
              <w:rPr>
                <w:rFonts w:ascii="宋体" w:hAnsi="宋体"/>
                <w:color w:val="auto"/>
                <w:szCs w:val="21"/>
                <w:highlight w:val="none"/>
              </w:rPr>
            </w:pPr>
          </w:p>
        </w:tc>
        <w:tc>
          <w:tcPr>
            <w:tcW w:w="992" w:type="dxa"/>
            <w:shd w:val="clear" w:color="auto" w:fill="auto"/>
            <w:vAlign w:val="center"/>
          </w:tcPr>
          <w:p w14:paraId="52556181">
            <w:pPr>
              <w:ind w:right="-111"/>
              <w:jc w:val="center"/>
              <w:rPr>
                <w:rFonts w:ascii="宋体" w:hAnsi="宋体"/>
                <w:color w:val="auto"/>
                <w:szCs w:val="21"/>
                <w:highlight w:val="none"/>
              </w:rPr>
            </w:pPr>
          </w:p>
        </w:tc>
      </w:tr>
      <w:tr w14:paraId="015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2074772D">
            <w:pPr>
              <w:jc w:val="center"/>
              <w:rPr>
                <w:rFonts w:ascii="黑体" w:hAnsi="宋体" w:eastAsia="黑体"/>
                <w:color w:val="auto"/>
                <w:szCs w:val="44"/>
                <w:highlight w:val="none"/>
              </w:rPr>
            </w:pPr>
            <w:r>
              <w:rPr>
                <w:rFonts w:hint="eastAsia" w:ascii="黑体" w:hAnsi="宋体" w:eastAsia="黑体"/>
                <w:color w:val="auto"/>
                <w:szCs w:val="44"/>
                <w:highlight w:val="none"/>
              </w:rPr>
              <w:t>5</w:t>
            </w:r>
          </w:p>
        </w:tc>
        <w:tc>
          <w:tcPr>
            <w:tcW w:w="941" w:type="dxa"/>
            <w:shd w:val="clear" w:color="auto" w:fill="auto"/>
            <w:vAlign w:val="center"/>
          </w:tcPr>
          <w:p w14:paraId="7AC3035F">
            <w:pPr>
              <w:jc w:val="center"/>
              <w:rPr>
                <w:color w:val="auto"/>
                <w:highlight w:val="none"/>
              </w:rPr>
            </w:pPr>
          </w:p>
        </w:tc>
        <w:tc>
          <w:tcPr>
            <w:tcW w:w="942" w:type="dxa"/>
            <w:shd w:val="clear" w:color="auto" w:fill="auto"/>
            <w:vAlign w:val="center"/>
          </w:tcPr>
          <w:p w14:paraId="049E428A">
            <w:pPr>
              <w:jc w:val="center"/>
              <w:rPr>
                <w:color w:val="auto"/>
                <w:highlight w:val="none"/>
              </w:rPr>
            </w:pPr>
          </w:p>
        </w:tc>
        <w:tc>
          <w:tcPr>
            <w:tcW w:w="941" w:type="dxa"/>
            <w:shd w:val="clear" w:color="auto" w:fill="auto"/>
            <w:vAlign w:val="center"/>
          </w:tcPr>
          <w:p w14:paraId="0F056D2D">
            <w:pPr>
              <w:jc w:val="center"/>
              <w:rPr>
                <w:color w:val="auto"/>
                <w:highlight w:val="none"/>
              </w:rPr>
            </w:pPr>
          </w:p>
        </w:tc>
        <w:tc>
          <w:tcPr>
            <w:tcW w:w="1019" w:type="dxa"/>
            <w:shd w:val="clear" w:color="auto" w:fill="auto"/>
            <w:vAlign w:val="center"/>
          </w:tcPr>
          <w:p w14:paraId="7FB28492">
            <w:pPr>
              <w:jc w:val="center"/>
              <w:rPr>
                <w:color w:val="auto"/>
                <w:highlight w:val="none"/>
              </w:rPr>
            </w:pPr>
          </w:p>
        </w:tc>
        <w:tc>
          <w:tcPr>
            <w:tcW w:w="1185" w:type="dxa"/>
            <w:shd w:val="clear" w:color="auto" w:fill="auto"/>
            <w:vAlign w:val="center"/>
          </w:tcPr>
          <w:p w14:paraId="73A59ED0">
            <w:pPr>
              <w:jc w:val="center"/>
              <w:rPr>
                <w:color w:val="auto"/>
                <w:highlight w:val="none"/>
              </w:rPr>
            </w:pPr>
          </w:p>
        </w:tc>
        <w:tc>
          <w:tcPr>
            <w:tcW w:w="1166" w:type="dxa"/>
            <w:shd w:val="clear" w:color="auto" w:fill="auto"/>
            <w:vAlign w:val="center"/>
          </w:tcPr>
          <w:p w14:paraId="364259AB">
            <w:pPr>
              <w:jc w:val="center"/>
              <w:rPr>
                <w:color w:val="auto"/>
                <w:highlight w:val="none"/>
              </w:rPr>
            </w:pPr>
          </w:p>
        </w:tc>
        <w:tc>
          <w:tcPr>
            <w:tcW w:w="851" w:type="dxa"/>
            <w:shd w:val="clear" w:color="auto" w:fill="auto"/>
            <w:vAlign w:val="center"/>
          </w:tcPr>
          <w:p w14:paraId="1B79149A">
            <w:pPr>
              <w:ind w:right="-105"/>
              <w:jc w:val="center"/>
              <w:rPr>
                <w:rFonts w:ascii="宋体" w:hAnsi="宋体"/>
                <w:color w:val="auto"/>
                <w:szCs w:val="21"/>
                <w:highlight w:val="none"/>
              </w:rPr>
            </w:pPr>
          </w:p>
        </w:tc>
        <w:tc>
          <w:tcPr>
            <w:tcW w:w="992" w:type="dxa"/>
            <w:shd w:val="clear" w:color="auto" w:fill="auto"/>
            <w:vAlign w:val="center"/>
          </w:tcPr>
          <w:p w14:paraId="736551E2">
            <w:pPr>
              <w:ind w:right="-111"/>
              <w:jc w:val="center"/>
              <w:rPr>
                <w:rFonts w:ascii="宋体" w:hAnsi="宋体"/>
                <w:color w:val="auto"/>
                <w:szCs w:val="21"/>
                <w:highlight w:val="none"/>
              </w:rPr>
            </w:pPr>
          </w:p>
        </w:tc>
      </w:tr>
      <w:tr w14:paraId="00B0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495DC3BE">
            <w:pPr>
              <w:jc w:val="center"/>
              <w:rPr>
                <w:rFonts w:ascii="黑体" w:hAnsi="宋体" w:eastAsia="黑体"/>
                <w:color w:val="auto"/>
                <w:szCs w:val="44"/>
                <w:highlight w:val="none"/>
              </w:rPr>
            </w:pPr>
            <w:r>
              <w:rPr>
                <w:rFonts w:hint="eastAsia" w:ascii="黑体" w:hAnsi="黑体" w:eastAsia="黑体"/>
                <w:color w:val="auto"/>
                <w:szCs w:val="44"/>
                <w:highlight w:val="none"/>
              </w:rPr>
              <w:t>…</w:t>
            </w:r>
          </w:p>
        </w:tc>
        <w:tc>
          <w:tcPr>
            <w:tcW w:w="941" w:type="dxa"/>
            <w:shd w:val="clear" w:color="auto" w:fill="auto"/>
            <w:vAlign w:val="center"/>
          </w:tcPr>
          <w:p w14:paraId="03462155">
            <w:pPr>
              <w:jc w:val="center"/>
              <w:rPr>
                <w:color w:val="auto"/>
                <w:highlight w:val="none"/>
              </w:rPr>
            </w:pPr>
          </w:p>
        </w:tc>
        <w:tc>
          <w:tcPr>
            <w:tcW w:w="942" w:type="dxa"/>
            <w:shd w:val="clear" w:color="auto" w:fill="auto"/>
            <w:vAlign w:val="center"/>
          </w:tcPr>
          <w:p w14:paraId="039FDFF9">
            <w:pPr>
              <w:jc w:val="center"/>
              <w:rPr>
                <w:color w:val="auto"/>
                <w:highlight w:val="none"/>
              </w:rPr>
            </w:pPr>
          </w:p>
        </w:tc>
        <w:tc>
          <w:tcPr>
            <w:tcW w:w="941" w:type="dxa"/>
            <w:shd w:val="clear" w:color="auto" w:fill="auto"/>
            <w:vAlign w:val="center"/>
          </w:tcPr>
          <w:p w14:paraId="4792197C">
            <w:pPr>
              <w:jc w:val="center"/>
              <w:rPr>
                <w:color w:val="auto"/>
                <w:highlight w:val="none"/>
              </w:rPr>
            </w:pPr>
          </w:p>
        </w:tc>
        <w:tc>
          <w:tcPr>
            <w:tcW w:w="1019" w:type="dxa"/>
            <w:shd w:val="clear" w:color="auto" w:fill="auto"/>
            <w:vAlign w:val="center"/>
          </w:tcPr>
          <w:p w14:paraId="54942362">
            <w:pPr>
              <w:jc w:val="center"/>
              <w:rPr>
                <w:color w:val="auto"/>
                <w:highlight w:val="none"/>
              </w:rPr>
            </w:pPr>
          </w:p>
        </w:tc>
        <w:tc>
          <w:tcPr>
            <w:tcW w:w="1185" w:type="dxa"/>
            <w:shd w:val="clear" w:color="auto" w:fill="auto"/>
            <w:vAlign w:val="center"/>
          </w:tcPr>
          <w:p w14:paraId="72519250">
            <w:pPr>
              <w:jc w:val="center"/>
              <w:rPr>
                <w:color w:val="auto"/>
                <w:highlight w:val="none"/>
              </w:rPr>
            </w:pPr>
          </w:p>
        </w:tc>
        <w:tc>
          <w:tcPr>
            <w:tcW w:w="1166" w:type="dxa"/>
            <w:shd w:val="clear" w:color="auto" w:fill="auto"/>
            <w:vAlign w:val="center"/>
          </w:tcPr>
          <w:p w14:paraId="153C63AA">
            <w:pPr>
              <w:jc w:val="center"/>
              <w:rPr>
                <w:color w:val="auto"/>
                <w:highlight w:val="none"/>
              </w:rPr>
            </w:pPr>
          </w:p>
        </w:tc>
        <w:tc>
          <w:tcPr>
            <w:tcW w:w="851" w:type="dxa"/>
            <w:shd w:val="clear" w:color="auto" w:fill="auto"/>
            <w:vAlign w:val="center"/>
          </w:tcPr>
          <w:p w14:paraId="322148B8">
            <w:pPr>
              <w:ind w:right="-105"/>
              <w:jc w:val="center"/>
              <w:rPr>
                <w:rFonts w:ascii="宋体" w:hAnsi="宋体"/>
                <w:color w:val="auto"/>
                <w:szCs w:val="21"/>
                <w:highlight w:val="none"/>
              </w:rPr>
            </w:pPr>
          </w:p>
        </w:tc>
        <w:tc>
          <w:tcPr>
            <w:tcW w:w="992" w:type="dxa"/>
            <w:shd w:val="clear" w:color="auto" w:fill="auto"/>
            <w:vAlign w:val="center"/>
          </w:tcPr>
          <w:p w14:paraId="3390FD84">
            <w:pPr>
              <w:ind w:right="-111"/>
              <w:jc w:val="center"/>
              <w:rPr>
                <w:rFonts w:ascii="宋体" w:hAnsi="宋体"/>
                <w:color w:val="auto"/>
                <w:szCs w:val="21"/>
                <w:highlight w:val="none"/>
              </w:rPr>
            </w:pPr>
          </w:p>
        </w:tc>
      </w:tr>
      <w:tr w14:paraId="5715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42" w:type="dxa"/>
            <w:gridSpan w:val="9"/>
            <w:shd w:val="clear" w:color="auto" w:fill="auto"/>
            <w:vAlign w:val="center"/>
          </w:tcPr>
          <w:p w14:paraId="408E3F81">
            <w:pPr>
              <w:jc w:val="left"/>
              <w:rPr>
                <w:rFonts w:ascii="宋体" w:hAnsi="宋体"/>
                <w:color w:val="auto"/>
                <w:szCs w:val="44"/>
                <w:highlight w:val="none"/>
              </w:rPr>
            </w:pPr>
            <w:r>
              <w:rPr>
                <w:rFonts w:hint="eastAsia"/>
                <w:color w:val="auto"/>
                <w:highlight w:val="none"/>
              </w:rPr>
              <w:t xml:space="preserve">评标委员会全体成员签名： </w:t>
            </w:r>
          </w:p>
          <w:p w14:paraId="126E589B">
            <w:pPr>
              <w:jc w:val="left"/>
              <w:rPr>
                <w:rFonts w:ascii="宋体" w:hAnsi="宋体"/>
                <w:color w:val="auto"/>
                <w:szCs w:val="44"/>
                <w:highlight w:val="none"/>
              </w:rPr>
            </w:pPr>
          </w:p>
          <w:p w14:paraId="3C173CAF">
            <w:pPr>
              <w:jc w:val="left"/>
              <w:rPr>
                <w:rFonts w:ascii="宋体" w:hAnsi="宋体"/>
                <w:color w:val="auto"/>
                <w:szCs w:val="44"/>
                <w:highlight w:val="none"/>
              </w:rPr>
            </w:pPr>
          </w:p>
          <w:p w14:paraId="13A1D121">
            <w:pPr>
              <w:jc w:val="left"/>
              <w:rPr>
                <w:rFonts w:ascii="宋体" w:hAnsi="宋体"/>
                <w:color w:val="auto"/>
                <w:szCs w:val="44"/>
                <w:highlight w:val="none"/>
              </w:rPr>
            </w:pPr>
          </w:p>
          <w:p w14:paraId="7E739CB5">
            <w:pPr>
              <w:jc w:val="left"/>
              <w:rPr>
                <w:rFonts w:ascii="宋体" w:hAnsi="宋体"/>
                <w:color w:val="auto"/>
                <w:szCs w:val="44"/>
                <w:highlight w:val="none"/>
              </w:rPr>
            </w:pPr>
          </w:p>
          <w:p w14:paraId="125B5F16">
            <w:pPr>
              <w:jc w:val="left"/>
              <w:rPr>
                <w:rFonts w:ascii="宋体" w:hAnsi="宋体"/>
                <w:color w:val="auto"/>
                <w:szCs w:val="44"/>
                <w:highlight w:val="none"/>
              </w:rPr>
            </w:pPr>
          </w:p>
          <w:p w14:paraId="3F7B4115">
            <w:pPr>
              <w:jc w:val="left"/>
              <w:rPr>
                <w:rFonts w:ascii="宋体" w:hAnsi="宋体"/>
                <w:color w:val="auto"/>
                <w:szCs w:val="44"/>
                <w:highlight w:val="none"/>
              </w:rPr>
            </w:pPr>
          </w:p>
          <w:p w14:paraId="5280AC17">
            <w:pPr>
              <w:ind w:right="-111"/>
              <w:jc w:val="center"/>
              <w:rPr>
                <w:rFonts w:ascii="宋体" w:hAnsi="宋体"/>
                <w:color w:val="auto"/>
                <w:szCs w:val="21"/>
                <w:highlight w:val="none"/>
              </w:rPr>
            </w:pPr>
          </w:p>
        </w:tc>
      </w:tr>
    </w:tbl>
    <w:p w14:paraId="408528D1">
      <w:pPr>
        <w:jc w:val="right"/>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750E4B20">
      <w:pPr>
        <w:rPr>
          <w:color w:val="auto"/>
          <w:highlight w:val="none"/>
        </w:rPr>
      </w:pPr>
    </w:p>
    <w:p w14:paraId="530D28FB">
      <w:pPr>
        <w:rPr>
          <w:color w:val="auto"/>
          <w:highlight w:val="none"/>
        </w:rPr>
      </w:pPr>
      <w:r>
        <w:rPr>
          <w:color w:val="auto"/>
          <w:highlight w:val="none"/>
        </w:rPr>
        <w:br w:type="page"/>
      </w:r>
    </w:p>
    <w:p w14:paraId="7E86D673">
      <w:pPr>
        <w:pStyle w:val="32"/>
        <w:ind w:firstLine="118"/>
        <w:rPr>
          <w:color w:val="auto"/>
          <w:highlight w:val="none"/>
        </w:rPr>
      </w:pPr>
      <w:bookmarkStart w:id="918" w:name="_Toc256000142"/>
      <w:bookmarkStart w:id="919" w:name="_Toc148860670"/>
      <w:bookmarkStart w:id="920" w:name="_Toc164716312"/>
      <w:bookmarkStart w:id="921" w:name="_Toc22267"/>
      <w:r>
        <w:rPr>
          <w:rFonts w:hint="eastAsia"/>
          <w:color w:val="auto"/>
          <w:highlight w:val="none"/>
        </w:rPr>
        <w:t>附表A-</w:t>
      </w:r>
      <w:r>
        <w:rPr>
          <w:color w:val="auto"/>
          <w:highlight w:val="none"/>
        </w:rPr>
        <w:t>9</w:t>
      </w:r>
      <w:r>
        <w:rPr>
          <w:rFonts w:hint="eastAsia"/>
          <w:color w:val="auto"/>
          <w:highlight w:val="none"/>
        </w:rPr>
        <w:t>：否决投标的情况说明</w:t>
      </w:r>
      <w:bookmarkEnd w:id="918"/>
      <w:bookmarkEnd w:id="919"/>
      <w:bookmarkEnd w:id="920"/>
      <w:bookmarkEnd w:id="921"/>
    </w:p>
    <w:p w14:paraId="7A7E4989">
      <w:pPr>
        <w:spacing w:after="240" w:afterLines="100"/>
        <w:jc w:val="center"/>
        <w:rPr>
          <w:rFonts w:ascii="黑体" w:hAnsi="宋体" w:eastAsia="黑体"/>
          <w:color w:val="auto"/>
          <w:sz w:val="36"/>
          <w:szCs w:val="36"/>
          <w:highlight w:val="none"/>
        </w:rPr>
      </w:pPr>
    </w:p>
    <w:p w14:paraId="3D4EDF95">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否决投标的情况说明</w:t>
      </w:r>
    </w:p>
    <w:p w14:paraId="472B7B1E">
      <w:pPr>
        <w:rPr>
          <w:rFonts w:ascii="宋体" w:hAnsi="宋体"/>
          <w:color w:val="auto"/>
          <w:szCs w:val="44"/>
          <w:highlight w:val="none"/>
        </w:rPr>
      </w:pPr>
      <w:r>
        <w:rPr>
          <w:rFonts w:hint="eastAsia" w:ascii="宋体" w:hAnsi="宋体"/>
          <w:color w:val="auto"/>
          <w:szCs w:val="44"/>
          <w:highlight w:val="none"/>
        </w:rPr>
        <w:t>标段名称：</w:t>
      </w:r>
    </w:p>
    <w:p w14:paraId="45BFC956">
      <w:pPr>
        <w:rPr>
          <w:color w:val="auto"/>
          <w:highlight w:val="none"/>
        </w:rPr>
      </w:pPr>
      <w:r>
        <w:rPr>
          <w:rFonts w:hint="eastAsia"/>
          <w:color w:val="auto"/>
          <w:szCs w:val="44"/>
          <w:highlight w:val="none"/>
        </w:rPr>
        <w:t>标段唯一标识码：</w:t>
      </w:r>
    </w:p>
    <w:tbl>
      <w:tblPr>
        <w:tblStyle w:val="2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425"/>
      </w:tblGrid>
      <w:tr w14:paraId="4FF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FABCA6D">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4E15C5EE">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277F6F20">
            <w:pPr>
              <w:jc w:val="center"/>
              <w:rPr>
                <w:rFonts w:ascii="宋体" w:hAnsi="宋体"/>
                <w:b/>
                <w:bCs/>
                <w:color w:val="auto"/>
                <w:szCs w:val="21"/>
                <w:highlight w:val="none"/>
              </w:rPr>
            </w:pPr>
            <w:r>
              <w:rPr>
                <w:rFonts w:hint="eastAsia" w:ascii="宋体" w:hAnsi="宋体"/>
                <w:b/>
                <w:bCs/>
                <w:color w:val="auto"/>
                <w:szCs w:val="21"/>
                <w:highlight w:val="none"/>
              </w:rPr>
              <w:t>否决投标的依据</w:t>
            </w:r>
          </w:p>
        </w:tc>
        <w:tc>
          <w:tcPr>
            <w:tcW w:w="4425" w:type="dxa"/>
            <w:vAlign w:val="center"/>
          </w:tcPr>
          <w:p w14:paraId="3A49995B">
            <w:pPr>
              <w:jc w:val="center"/>
              <w:rPr>
                <w:rFonts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69A7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C8FE705">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548" w:type="dxa"/>
            <w:vAlign w:val="center"/>
          </w:tcPr>
          <w:p w14:paraId="24B9D8EF">
            <w:pPr>
              <w:jc w:val="center"/>
              <w:rPr>
                <w:rFonts w:ascii="仿宋_GB2312" w:hAnsi="宋体" w:eastAsia="仿宋_GB2312"/>
                <w:color w:val="auto"/>
                <w:szCs w:val="21"/>
                <w:highlight w:val="none"/>
              </w:rPr>
            </w:pPr>
          </w:p>
        </w:tc>
        <w:tc>
          <w:tcPr>
            <w:tcW w:w="1780" w:type="dxa"/>
            <w:vAlign w:val="center"/>
          </w:tcPr>
          <w:p w14:paraId="66A628A5">
            <w:pPr>
              <w:jc w:val="center"/>
              <w:rPr>
                <w:rFonts w:ascii="仿宋_GB2312" w:hAnsi="宋体" w:eastAsia="仿宋_GB2312"/>
                <w:color w:val="auto"/>
                <w:szCs w:val="21"/>
                <w:highlight w:val="none"/>
              </w:rPr>
            </w:pPr>
          </w:p>
        </w:tc>
        <w:tc>
          <w:tcPr>
            <w:tcW w:w="4425" w:type="dxa"/>
            <w:vAlign w:val="center"/>
          </w:tcPr>
          <w:p w14:paraId="3A2C0486">
            <w:pPr>
              <w:jc w:val="center"/>
              <w:rPr>
                <w:rFonts w:ascii="仿宋_GB2312" w:hAnsi="宋体" w:eastAsia="仿宋_GB2312"/>
                <w:color w:val="auto"/>
                <w:szCs w:val="21"/>
                <w:highlight w:val="none"/>
              </w:rPr>
            </w:pPr>
          </w:p>
        </w:tc>
      </w:tr>
      <w:tr w14:paraId="47C5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9AC98AF">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548" w:type="dxa"/>
            <w:vAlign w:val="center"/>
          </w:tcPr>
          <w:p w14:paraId="074244F4">
            <w:pPr>
              <w:jc w:val="center"/>
              <w:rPr>
                <w:rFonts w:ascii="仿宋_GB2312" w:hAnsi="宋体" w:eastAsia="仿宋_GB2312"/>
                <w:color w:val="auto"/>
                <w:szCs w:val="21"/>
                <w:highlight w:val="none"/>
              </w:rPr>
            </w:pPr>
          </w:p>
        </w:tc>
        <w:tc>
          <w:tcPr>
            <w:tcW w:w="1780" w:type="dxa"/>
            <w:vAlign w:val="center"/>
          </w:tcPr>
          <w:p w14:paraId="70CEE286">
            <w:pPr>
              <w:jc w:val="center"/>
              <w:rPr>
                <w:rFonts w:ascii="仿宋_GB2312" w:hAnsi="宋体" w:eastAsia="仿宋_GB2312"/>
                <w:color w:val="auto"/>
                <w:szCs w:val="21"/>
                <w:highlight w:val="none"/>
              </w:rPr>
            </w:pPr>
          </w:p>
        </w:tc>
        <w:tc>
          <w:tcPr>
            <w:tcW w:w="4425" w:type="dxa"/>
            <w:vAlign w:val="center"/>
          </w:tcPr>
          <w:p w14:paraId="11518EE1">
            <w:pPr>
              <w:jc w:val="center"/>
              <w:rPr>
                <w:rFonts w:ascii="仿宋_GB2312" w:hAnsi="宋体" w:eastAsia="仿宋_GB2312"/>
                <w:color w:val="auto"/>
                <w:szCs w:val="21"/>
                <w:highlight w:val="none"/>
              </w:rPr>
            </w:pPr>
          </w:p>
        </w:tc>
      </w:tr>
      <w:tr w14:paraId="19ED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3D4BADB7">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548" w:type="dxa"/>
            <w:vAlign w:val="center"/>
          </w:tcPr>
          <w:p w14:paraId="42C8E923">
            <w:pPr>
              <w:jc w:val="center"/>
              <w:rPr>
                <w:rFonts w:ascii="仿宋_GB2312" w:hAnsi="宋体" w:eastAsia="仿宋_GB2312"/>
                <w:color w:val="auto"/>
                <w:szCs w:val="21"/>
                <w:highlight w:val="none"/>
              </w:rPr>
            </w:pPr>
          </w:p>
        </w:tc>
        <w:tc>
          <w:tcPr>
            <w:tcW w:w="1780" w:type="dxa"/>
            <w:vAlign w:val="center"/>
          </w:tcPr>
          <w:p w14:paraId="60FE72D6">
            <w:pPr>
              <w:jc w:val="center"/>
              <w:rPr>
                <w:rFonts w:ascii="仿宋_GB2312" w:hAnsi="宋体" w:eastAsia="仿宋_GB2312"/>
                <w:color w:val="auto"/>
                <w:szCs w:val="21"/>
                <w:highlight w:val="none"/>
              </w:rPr>
            </w:pPr>
          </w:p>
        </w:tc>
        <w:tc>
          <w:tcPr>
            <w:tcW w:w="4425" w:type="dxa"/>
            <w:vAlign w:val="center"/>
          </w:tcPr>
          <w:p w14:paraId="06419E54">
            <w:pPr>
              <w:jc w:val="center"/>
              <w:rPr>
                <w:rFonts w:ascii="仿宋_GB2312" w:hAnsi="宋体" w:eastAsia="仿宋_GB2312"/>
                <w:color w:val="auto"/>
                <w:szCs w:val="21"/>
                <w:highlight w:val="none"/>
              </w:rPr>
            </w:pPr>
          </w:p>
        </w:tc>
      </w:tr>
      <w:tr w14:paraId="1518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FB5D521">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548" w:type="dxa"/>
            <w:vAlign w:val="center"/>
          </w:tcPr>
          <w:p w14:paraId="4A57C196">
            <w:pPr>
              <w:jc w:val="center"/>
              <w:rPr>
                <w:rFonts w:ascii="仿宋_GB2312" w:hAnsi="宋体" w:eastAsia="仿宋_GB2312"/>
                <w:color w:val="auto"/>
                <w:szCs w:val="21"/>
                <w:highlight w:val="none"/>
              </w:rPr>
            </w:pPr>
          </w:p>
        </w:tc>
        <w:tc>
          <w:tcPr>
            <w:tcW w:w="1780" w:type="dxa"/>
            <w:vAlign w:val="center"/>
          </w:tcPr>
          <w:p w14:paraId="4B717E69">
            <w:pPr>
              <w:jc w:val="center"/>
              <w:rPr>
                <w:rFonts w:ascii="仿宋_GB2312" w:hAnsi="宋体" w:eastAsia="仿宋_GB2312"/>
                <w:color w:val="auto"/>
                <w:szCs w:val="21"/>
                <w:highlight w:val="none"/>
              </w:rPr>
            </w:pPr>
          </w:p>
        </w:tc>
        <w:tc>
          <w:tcPr>
            <w:tcW w:w="4425" w:type="dxa"/>
            <w:vAlign w:val="center"/>
          </w:tcPr>
          <w:p w14:paraId="0DB52D3C">
            <w:pPr>
              <w:jc w:val="center"/>
              <w:rPr>
                <w:rFonts w:ascii="仿宋_GB2312" w:hAnsi="宋体" w:eastAsia="仿宋_GB2312"/>
                <w:color w:val="auto"/>
                <w:szCs w:val="21"/>
                <w:highlight w:val="none"/>
              </w:rPr>
            </w:pPr>
          </w:p>
        </w:tc>
      </w:tr>
      <w:tr w14:paraId="7C7C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CF30848">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1548" w:type="dxa"/>
            <w:vAlign w:val="center"/>
          </w:tcPr>
          <w:p w14:paraId="0C379714">
            <w:pPr>
              <w:jc w:val="center"/>
              <w:rPr>
                <w:rFonts w:ascii="仿宋_GB2312" w:hAnsi="宋体" w:eastAsia="仿宋_GB2312"/>
                <w:color w:val="auto"/>
                <w:szCs w:val="21"/>
                <w:highlight w:val="none"/>
              </w:rPr>
            </w:pPr>
          </w:p>
        </w:tc>
        <w:tc>
          <w:tcPr>
            <w:tcW w:w="1780" w:type="dxa"/>
            <w:vAlign w:val="center"/>
          </w:tcPr>
          <w:p w14:paraId="3D70777F">
            <w:pPr>
              <w:jc w:val="center"/>
              <w:rPr>
                <w:rFonts w:ascii="仿宋_GB2312" w:hAnsi="宋体" w:eastAsia="仿宋_GB2312"/>
                <w:color w:val="auto"/>
                <w:szCs w:val="21"/>
                <w:highlight w:val="none"/>
              </w:rPr>
            </w:pPr>
          </w:p>
        </w:tc>
        <w:tc>
          <w:tcPr>
            <w:tcW w:w="4425" w:type="dxa"/>
            <w:vAlign w:val="center"/>
          </w:tcPr>
          <w:p w14:paraId="0E1DC318">
            <w:pPr>
              <w:jc w:val="center"/>
              <w:rPr>
                <w:rFonts w:ascii="仿宋_GB2312" w:hAnsi="宋体" w:eastAsia="仿宋_GB2312"/>
                <w:color w:val="auto"/>
                <w:szCs w:val="21"/>
                <w:highlight w:val="none"/>
              </w:rPr>
            </w:pPr>
          </w:p>
        </w:tc>
      </w:tr>
      <w:tr w14:paraId="522D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4263D12">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1548" w:type="dxa"/>
            <w:vAlign w:val="center"/>
          </w:tcPr>
          <w:p w14:paraId="7D3C1997">
            <w:pPr>
              <w:jc w:val="center"/>
              <w:rPr>
                <w:rFonts w:ascii="仿宋_GB2312" w:hAnsi="宋体" w:eastAsia="仿宋_GB2312"/>
                <w:color w:val="auto"/>
                <w:szCs w:val="21"/>
                <w:highlight w:val="none"/>
              </w:rPr>
            </w:pPr>
          </w:p>
        </w:tc>
        <w:tc>
          <w:tcPr>
            <w:tcW w:w="1780" w:type="dxa"/>
            <w:vAlign w:val="center"/>
          </w:tcPr>
          <w:p w14:paraId="11F9FFFA">
            <w:pPr>
              <w:jc w:val="center"/>
              <w:rPr>
                <w:rFonts w:ascii="仿宋_GB2312" w:hAnsi="宋体" w:eastAsia="仿宋_GB2312"/>
                <w:color w:val="auto"/>
                <w:szCs w:val="21"/>
                <w:highlight w:val="none"/>
              </w:rPr>
            </w:pPr>
          </w:p>
        </w:tc>
        <w:tc>
          <w:tcPr>
            <w:tcW w:w="4425" w:type="dxa"/>
            <w:vAlign w:val="center"/>
          </w:tcPr>
          <w:p w14:paraId="6E160AA7">
            <w:pPr>
              <w:jc w:val="center"/>
              <w:rPr>
                <w:rFonts w:ascii="仿宋_GB2312" w:hAnsi="宋体" w:eastAsia="仿宋_GB2312"/>
                <w:color w:val="auto"/>
                <w:szCs w:val="21"/>
                <w:highlight w:val="none"/>
              </w:rPr>
            </w:pPr>
          </w:p>
        </w:tc>
      </w:tr>
      <w:tr w14:paraId="1EE1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4D73719">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1548" w:type="dxa"/>
            <w:vAlign w:val="center"/>
          </w:tcPr>
          <w:p w14:paraId="2EBA5B41">
            <w:pPr>
              <w:jc w:val="center"/>
              <w:rPr>
                <w:rFonts w:ascii="仿宋_GB2312" w:hAnsi="宋体" w:eastAsia="仿宋_GB2312"/>
                <w:color w:val="auto"/>
                <w:szCs w:val="21"/>
                <w:highlight w:val="none"/>
              </w:rPr>
            </w:pPr>
          </w:p>
        </w:tc>
        <w:tc>
          <w:tcPr>
            <w:tcW w:w="1780" w:type="dxa"/>
            <w:vAlign w:val="center"/>
          </w:tcPr>
          <w:p w14:paraId="79E2DCBD">
            <w:pPr>
              <w:jc w:val="center"/>
              <w:rPr>
                <w:rFonts w:ascii="仿宋_GB2312" w:hAnsi="宋体" w:eastAsia="仿宋_GB2312"/>
                <w:color w:val="auto"/>
                <w:szCs w:val="21"/>
                <w:highlight w:val="none"/>
              </w:rPr>
            </w:pPr>
          </w:p>
        </w:tc>
        <w:tc>
          <w:tcPr>
            <w:tcW w:w="4425" w:type="dxa"/>
            <w:vAlign w:val="center"/>
          </w:tcPr>
          <w:p w14:paraId="1D036CE1">
            <w:pPr>
              <w:jc w:val="center"/>
              <w:rPr>
                <w:rFonts w:ascii="仿宋_GB2312" w:hAnsi="宋体" w:eastAsia="仿宋_GB2312"/>
                <w:color w:val="auto"/>
                <w:szCs w:val="21"/>
                <w:highlight w:val="none"/>
              </w:rPr>
            </w:pPr>
          </w:p>
        </w:tc>
      </w:tr>
      <w:tr w14:paraId="2AE9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D158E9D">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1548" w:type="dxa"/>
            <w:vAlign w:val="center"/>
          </w:tcPr>
          <w:p w14:paraId="44A21827">
            <w:pPr>
              <w:jc w:val="center"/>
              <w:rPr>
                <w:rFonts w:ascii="仿宋_GB2312" w:hAnsi="宋体" w:eastAsia="仿宋_GB2312"/>
                <w:color w:val="auto"/>
                <w:szCs w:val="21"/>
                <w:highlight w:val="none"/>
              </w:rPr>
            </w:pPr>
          </w:p>
        </w:tc>
        <w:tc>
          <w:tcPr>
            <w:tcW w:w="1780" w:type="dxa"/>
            <w:vAlign w:val="center"/>
          </w:tcPr>
          <w:p w14:paraId="19C8F0A0">
            <w:pPr>
              <w:jc w:val="center"/>
              <w:rPr>
                <w:rFonts w:ascii="仿宋_GB2312" w:hAnsi="宋体" w:eastAsia="仿宋_GB2312"/>
                <w:color w:val="auto"/>
                <w:szCs w:val="21"/>
                <w:highlight w:val="none"/>
              </w:rPr>
            </w:pPr>
          </w:p>
        </w:tc>
        <w:tc>
          <w:tcPr>
            <w:tcW w:w="4425" w:type="dxa"/>
            <w:vAlign w:val="center"/>
          </w:tcPr>
          <w:p w14:paraId="6954E25E">
            <w:pPr>
              <w:jc w:val="center"/>
              <w:rPr>
                <w:rFonts w:ascii="仿宋_GB2312" w:hAnsi="宋体" w:eastAsia="仿宋_GB2312"/>
                <w:color w:val="auto"/>
                <w:szCs w:val="21"/>
                <w:highlight w:val="none"/>
              </w:rPr>
            </w:pPr>
          </w:p>
        </w:tc>
      </w:tr>
      <w:tr w14:paraId="2A9F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417C6DC">
            <w:pPr>
              <w:jc w:val="center"/>
              <w:rPr>
                <w:rFonts w:ascii="仿宋_GB2312" w:hAnsi="宋体" w:eastAsia="仿宋_GB2312"/>
                <w:color w:val="auto"/>
                <w:sz w:val="24"/>
                <w:highlight w:val="none"/>
              </w:rPr>
            </w:pPr>
            <w:r>
              <w:rPr>
                <w:rFonts w:hint="eastAsia" w:ascii="黑体" w:hAnsi="黑体" w:eastAsia="黑体"/>
                <w:color w:val="auto"/>
                <w:szCs w:val="44"/>
                <w:highlight w:val="none"/>
              </w:rPr>
              <w:t>…</w:t>
            </w:r>
          </w:p>
        </w:tc>
        <w:tc>
          <w:tcPr>
            <w:tcW w:w="1548" w:type="dxa"/>
            <w:vAlign w:val="center"/>
          </w:tcPr>
          <w:p w14:paraId="327D7845">
            <w:pPr>
              <w:jc w:val="center"/>
              <w:rPr>
                <w:rFonts w:ascii="仿宋_GB2312" w:hAnsi="宋体" w:eastAsia="仿宋_GB2312"/>
                <w:color w:val="auto"/>
                <w:szCs w:val="21"/>
                <w:highlight w:val="none"/>
              </w:rPr>
            </w:pPr>
          </w:p>
        </w:tc>
        <w:tc>
          <w:tcPr>
            <w:tcW w:w="1780" w:type="dxa"/>
            <w:vAlign w:val="center"/>
          </w:tcPr>
          <w:p w14:paraId="043157BB">
            <w:pPr>
              <w:jc w:val="center"/>
              <w:rPr>
                <w:rFonts w:ascii="仿宋_GB2312" w:hAnsi="宋体" w:eastAsia="仿宋_GB2312"/>
                <w:color w:val="auto"/>
                <w:szCs w:val="21"/>
                <w:highlight w:val="none"/>
              </w:rPr>
            </w:pPr>
          </w:p>
        </w:tc>
        <w:tc>
          <w:tcPr>
            <w:tcW w:w="4425" w:type="dxa"/>
            <w:vAlign w:val="center"/>
          </w:tcPr>
          <w:p w14:paraId="1AE0B8D5">
            <w:pPr>
              <w:jc w:val="center"/>
              <w:rPr>
                <w:rFonts w:ascii="仿宋_GB2312" w:hAnsi="宋体" w:eastAsia="仿宋_GB2312"/>
                <w:color w:val="auto"/>
                <w:szCs w:val="21"/>
                <w:highlight w:val="none"/>
              </w:rPr>
            </w:pPr>
          </w:p>
        </w:tc>
      </w:tr>
      <w:tr w14:paraId="5BC2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438" w:type="dxa"/>
            <w:gridSpan w:val="4"/>
            <w:vAlign w:val="center"/>
          </w:tcPr>
          <w:p w14:paraId="6D183442">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642BEFE">
            <w:pPr>
              <w:jc w:val="left"/>
              <w:rPr>
                <w:rFonts w:ascii="宋体" w:hAnsi="宋体"/>
                <w:color w:val="auto"/>
                <w:szCs w:val="44"/>
                <w:highlight w:val="none"/>
              </w:rPr>
            </w:pPr>
          </w:p>
          <w:p w14:paraId="6E0872D4">
            <w:pPr>
              <w:jc w:val="left"/>
              <w:rPr>
                <w:rFonts w:ascii="宋体" w:hAnsi="宋体"/>
                <w:color w:val="auto"/>
                <w:szCs w:val="44"/>
                <w:highlight w:val="none"/>
              </w:rPr>
            </w:pPr>
          </w:p>
          <w:p w14:paraId="007CFAE8">
            <w:pPr>
              <w:jc w:val="left"/>
              <w:rPr>
                <w:rFonts w:ascii="宋体" w:hAnsi="宋体"/>
                <w:color w:val="auto"/>
                <w:szCs w:val="44"/>
                <w:highlight w:val="none"/>
              </w:rPr>
            </w:pPr>
          </w:p>
          <w:p w14:paraId="6854888D">
            <w:pPr>
              <w:jc w:val="left"/>
              <w:rPr>
                <w:rFonts w:ascii="宋体" w:hAnsi="宋体"/>
                <w:color w:val="auto"/>
                <w:szCs w:val="44"/>
                <w:highlight w:val="none"/>
              </w:rPr>
            </w:pPr>
          </w:p>
          <w:p w14:paraId="393FF8E6">
            <w:pPr>
              <w:jc w:val="left"/>
              <w:rPr>
                <w:rFonts w:ascii="宋体" w:hAnsi="宋体"/>
                <w:color w:val="auto"/>
                <w:szCs w:val="44"/>
                <w:highlight w:val="none"/>
              </w:rPr>
            </w:pPr>
          </w:p>
          <w:p w14:paraId="1DCC5574">
            <w:pPr>
              <w:jc w:val="left"/>
              <w:rPr>
                <w:rFonts w:ascii="宋体" w:hAnsi="宋体"/>
                <w:color w:val="auto"/>
                <w:szCs w:val="44"/>
                <w:highlight w:val="none"/>
              </w:rPr>
            </w:pPr>
          </w:p>
          <w:p w14:paraId="72C09E50">
            <w:pPr>
              <w:jc w:val="center"/>
              <w:rPr>
                <w:rFonts w:ascii="仿宋_GB2312" w:hAnsi="宋体" w:eastAsia="仿宋_GB2312"/>
                <w:color w:val="auto"/>
                <w:szCs w:val="21"/>
                <w:highlight w:val="none"/>
              </w:rPr>
            </w:pPr>
          </w:p>
        </w:tc>
      </w:tr>
    </w:tbl>
    <w:p w14:paraId="5156C846">
      <w:pPr>
        <w:ind w:firstLine="2310" w:firstLineChars="1100"/>
        <w:rPr>
          <w:rFonts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33A0A0F2">
      <w:pPr>
        <w:rPr>
          <w:color w:val="auto"/>
          <w:highlight w:val="none"/>
        </w:rPr>
      </w:pPr>
      <w:r>
        <w:rPr>
          <w:color w:val="auto"/>
          <w:highlight w:val="none"/>
        </w:rPr>
        <w:br w:type="page"/>
      </w:r>
    </w:p>
    <w:p w14:paraId="66951044">
      <w:pPr>
        <w:pStyle w:val="32"/>
        <w:ind w:firstLine="118"/>
        <w:rPr>
          <w:color w:val="auto"/>
          <w:highlight w:val="none"/>
        </w:rPr>
      </w:pPr>
      <w:bookmarkStart w:id="922" w:name="_Toc256000143"/>
      <w:bookmarkStart w:id="923" w:name="_Toc148860671"/>
      <w:bookmarkStart w:id="924" w:name="_Toc8097"/>
      <w:bookmarkStart w:id="925" w:name="_Toc164716313"/>
      <w:r>
        <w:rPr>
          <w:rFonts w:hint="eastAsia"/>
          <w:color w:val="auto"/>
          <w:highlight w:val="none"/>
        </w:rPr>
        <w:t>附表A-</w:t>
      </w:r>
      <w:r>
        <w:rPr>
          <w:color w:val="auto"/>
          <w:highlight w:val="none"/>
        </w:rPr>
        <w:t>10</w:t>
      </w:r>
      <w:r>
        <w:rPr>
          <w:rFonts w:hint="eastAsia"/>
          <w:color w:val="auto"/>
          <w:highlight w:val="none"/>
        </w:rPr>
        <w:t>：经济标评分记录表</w:t>
      </w:r>
      <w:bookmarkEnd w:id="922"/>
      <w:bookmarkEnd w:id="923"/>
      <w:bookmarkEnd w:id="924"/>
      <w:bookmarkEnd w:id="925"/>
    </w:p>
    <w:p w14:paraId="1C5CC66D">
      <w:pPr>
        <w:spacing w:after="240" w:afterLines="100"/>
        <w:jc w:val="center"/>
        <w:rPr>
          <w:rFonts w:ascii="黑体" w:hAnsi="宋体" w:eastAsia="黑体"/>
          <w:color w:val="auto"/>
          <w:sz w:val="36"/>
          <w:szCs w:val="36"/>
          <w:highlight w:val="none"/>
        </w:rPr>
      </w:pPr>
      <w:bookmarkStart w:id="926" w:name="_Toc149054712"/>
      <w:bookmarkStart w:id="927" w:name="_Toc30764"/>
      <w:bookmarkStart w:id="928" w:name="_Toc148860672"/>
      <w:bookmarkStart w:id="929" w:name="_Toc145516072"/>
      <w:bookmarkStart w:id="930" w:name="_Toc149060945"/>
    </w:p>
    <w:p w14:paraId="7AD85FD3">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31" w:name="_Hlk149220314"/>
      <w:r>
        <w:rPr>
          <w:rFonts w:hint="eastAsia" w:ascii="黑体" w:hAnsi="宋体" w:eastAsia="黑体"/>
          <w:color w:val="auto"/>
          <w:sz w:val="36"/>
          <w:szCs w:val="36"/>
          <w:highlight w:val="none"/>
        </w:rPr>
        <w:t>经济标</w:t>
      </w:r>
      <w:bookmarkEnd w:id="931"/>
      <w:r>
        <w:rPr>
          <w:rFonts w:hint="eastAsia" w:ascii="黑体" w:hAnsi="宋体" w:eastAsia="黑体"/>
          <w:color w:val="auto"/>
          <w:sz w:val="36"/>
          <w:szCs w:val="36"/>
          <w:highlight w:val="none"/>
        </w:rPr>
        <w:t>评审记录表</w:t>
      </w:r>
      <w:bookmarkEnd w:id="926"/>
      <w:bookmarkEnd w:id="927"/>
      <w:bookmarkEnd w:id="928"/>
      <w:bookmarkEnd w:id="929"/>
      <w:bookmarkEnd w:id="930"/>
    </w:p>
    <w:p w14:paraId="105E01A0">
      <w:pPr>
        <w:rPr>
          <w:rFonts w:ascii="宋体" w:hAnsi="宋体"/>
          <w:color w:val="auto"/>
          <w:szCs w:val="44"/>
          <w:highlight w:val="none"/>
        </w:rPr>
      </w:pPr>
      <w:r>
        <w:rPr>
          <w:rFonts w:hint="eastAsia" w:ascii="宋体" w:hAnsi="宋体"/>
          <w:color w:val="auto"/>
          <w:szCs w:val="44"/>
          <w:highlight w:val="none"/>
        </w:rPr>
        <w:t>标段名称：</w:t>
      </w:r>
    </w:p>
    <w:p w14:paraId="528EA605">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6542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248E8D8B">
            <w:pPr>
              <w:jc w:val="center"/>
              <w:rPr>
                <w:b/>
                <w:bCs/>
                <w:color w:val="auto"/>
                <w:highlight w:val="none"/>
              </w:rPr>
            </w:pPr>
            <w:r>
              <w:rPr>
                <w:rFonts w:hint="eastAsia"/>
                <w:b/>
                <w:bCs/>
                <w:color w:val="auto"/>
                <w:highlight w:val="none"/>
              </w:rPr>
              <w:t>序号</w:t>
            </w:r>
          </w:p>
        </w:tc>
        <w:tc>
          <w:tcPr>
            <w:tcW w:w="1331" w:type="dxa"/>
            <w:vMerge w:val="restart"/>
            <w:vAlign w:val="center"/>
          </w:tcPr>
          <w:p w14:paraId="5125990F">
            <w:pPr>
              <w:jc w:val="center"/>
              <w:rPr>
                <w:b/>
                <w:bCs/>
                <w:color w:val="auto"/>
                <w:highlight w:val="none"/>
              </w:rPr>
            </w:pPr>
            <w:r>
              <w:rPr>
                <w:rFonts w:hint="eastAsia"/>
                <w:b/>
                <w:bCs/>
                <w:color w:val="auto"/>
                <w:highlight w:val="none"/>
              </w:rPr>
              <w:t>投标人名称</w:t>
            </w:r>
          </w:p>
        </w:tc>
        <w:tc>
          <w:tcPr>
            <w:tcW w:w="6592" w:type="dxa"/>
            <w:gridSpan w:val="7"/>
            <w:vAlign w:val="center"/>
          </w:tcPr>
          <w:p w14:paraId="23F34BF6">
            <w:pPr>
              <w:jc w:val="center"/>
              <w:rPr>
                <w:b/>
                <w:bCs/>
                <w:color w:val="auto"/>
                <w:highlight w:val="none"/>
              </w:rPr>
            </w:pPr>
            <w:r>
              <w:rPr>
                <w:rFonts w:hint="eastAsia"/>
                <w:b/>
                <w:bCs/>
                <w:color w:val="auto"/>
                <w:highlight w:val="none"/>
              </w:rPr>
              <w:t>评审项目</w:t>
            </w:r>
          </w:p>
        </w:tc>
      </w:tr>
      <w:tr w14:paraId="686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24DBB350">
            <w:pPr>
              <w:jc w:val="center"/>
              <w:rPr>
                <w:b/>
                <w:bCs/>
                <w:color w:val="auto"/>
                <w:highlight w:val="none"/>
              </w:rPr>
            </w:pPr>
          </w:p>
        </w:tc>
        <w:tc>
          <w:tcPr>
            <w:tcW w:w="1331" w:type="dxa"/>
            <w:vMerge w:val="continue"/>
            <w:vAlign w:val="center"/>
          </w:tcPr>
          <w:p w14:paraId="06E0AC6B">
            <w:pPr>
              <w:jc w:val="center"/>
              <w:rPr>
                <w:b/>
                <w:bCs/>
                <w:color w:val="auto"/>
                <w:highlight w:val="none"/>
              </w:rPr>
            </w:pPr>
          </w:p>
        </w:tc>
        <w:tc>
          <w:tcPr>
            <w:tcW w:w="701" w:type="dxa"/>
            <w:vAlign w:val="center"/>
          </w:tcPr>
          <w:p w14:paraId="32B50027">
            <w:pPr>
              <w:jc w:val="center"/>
              <w:rPr>
                <w:b/>
                <w:bCs/>
                <w:color w:val="auto"/>
                <w:highlight w:val="none"/>
              </w:rPr>
            </w:pPr>
            <w:r>
              <w:rPr>
                <w:rFonts w:hint="eastAsia"/>
                <w:b/>
                <w:bCs/>
                <w:color w:val="auto"/>
                <w:highlight w:val="none"/>
              </w:rPr>
              <w:t>投标报价</w:t>
            </w:r>
          </w:p>
        </w:tc>
        <w:tc>
          <w:tcPr>
            <w:tcW w:w="997" w:type="dxa"/>
            <w:vAlign w:val="center"/>
          </w:tcPr>
          <w:p w14:paraId="6582F54D">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3F1BC275">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1D673032">
            <w:pPr>
              <w:jc w:val="center"/>
              <w:rPr>
                <w:b/>
                <w:bCs/>
                <w:color w:val="auto"/>
                <w:highlight w:val="none"/>
              </w:rPr>
            </w:pPr>
            <w:r>
              <w:rPr>
                <w:rFonts w:hint="eastAsia"/>
                <w:b/>
                <w:bCs/>
                <w:color w:val="auto"/>
                <w:highlight w:val="none"/>
              </w:rPr>
              <w:t>评标基准价</w:t>
            </w:r>
          </w:p>
        </w:tc>
        <w:tc>
          <w:tcPr>
            <w:tcW w:w="841" w:type="dxa"/>
            <w:vAlign w:val="center"/>
          </w:tcPr>
          <w:p w14:paraId="6D3CC134">
            <w:pPr>
              <w:jc w:val="center"/>
              <w:rPr>
                <w:b/>
                <w:bCs/>
                <w:color w:val="auto"/>
                <w:highlight w:val="none"/>
              </w:rPr>
            </w:pPr>
            <w:r>
              <w:rPr>
                <w:rFonts w:hint="eastAsia"/>
                <w:b/>
                <w:bCs/>
                <w:color w:val="auto"/>
                <w:highlight w:val="none"/>
              </w:rPr>
              <w:t>偏差率</w:t>
            </w:r>
          </w:p>
        </w:tc>
        <w:tc>
          <w:tcPr>
            <w:tcW w:w="841" w:type="dxa"/>
            <w:vAlign w:val="center"/>
          </w:tcPr>
          <w:p w14:paraId="11003534">
            <w:pPr>
              <w:jc w:val="center"/>
              <w:rPr>
                <w:b/>
                <w:bCs/>
                <w:color w:val="auto"/>
                <w:highlight w:val="none"/>
              </w:rPr>
            </w:pPr>
            <w:r>
              <w:rPr>
                <w:rFonts w:hint="eastAsia"/>
                <w:b/>
                <w:bCs/>
                <w:color w:val="auto"/>
                <w:highlight w:val="none"/>
              </w:rPr>
              <w:t>计算投标报价得分</w:t>
            </w:r>
          </w:p>
        </w:tc>
        <w:tc>
          <w:tcPr>
            <w:tcW w:w="1528" w:type="dxa"/>
            <w:vAlign w:val="center"/>
          </w:tcPr>
          <w:p w14:paraId="5FC90BDA">
            <w:pPr>
              <w:jc w:val="center"/>
              <w:rPr>
                <w:b/>
                <w:bCs/>
                <w:color w:val="auto"/>
                <w:highlight w:val="none"/>
              </w:rPr>
            </w:pPr>
            <w:r>
              <w:rPr>
                <w:rFonts w:hint="eastAsia"/>
                <w:b/>
                <w:bCs/>
                <w:color w:val="auto"/>
                <w:highlight w:val="none"/>
              </w:rPr>
              <w:t>投标报价最终得分</w:t>
            </w:r>
          </w:p>
        </w:tc>
      </w:tr>
      <w:tr w14:paraId="0FED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0EBD2B34">
            <w:pPr>
              <w:jc w:val="center"/>
              <w:rPr>
                <w:color w:val="auto"/>
                <w:highlight w:val="none"/>
              </w:rPr>
            </w:pPr>
            <w:r>
              <w:rPr>
                <w:rFonts w:hint="eastAsia"/>
                <w:color w:val="auto"/>
                <w:highlight w:val="none"/>
              </w:rPr>
              <w:t>1</w:t>
            </w:r>
          </w:p>
        </w:tc>
        <w:tc>
          <w:tcPr>
            <w:tcW w:w="1331" w:type="dxa"/>
            <w:vAlign w:val="center"/>
          </w:tcPr>
          <w:p w14:paraId="1272D05A">
            <w:pPr>
              <w:jc w:val="center"/>
              <w:rPr>
                <w:color w:val="auto"/>
                <w:highlight w:val="none"/>
              </w:rPr>
            </w:pPr>
          </w:p>
        </w:tc>
        <w:tc>
          <w:tcPr>
            <w:tcW w:w="701" w:type="dxa"/>
            <w:vAlign w:val="center"/>
          </w:tcPr>
          <w:p w14:paraId="24101935">
            <w:pPr>
              <w:jc w:val="center"/>
              <w:rPr>
                <w:color w:val="auto"/>
                <w:highlight w:val="none"/>
              </w:rPr>
            </w:pPr>
          </w:p>
        </w:tc>
        <w:tc>
          <w:tcPr>
            <w:tcW w:w="997" w:type="dxa"/>
            <w:vAlign w:val="center"/>
          </w:tcPr>
          <w:p w14:paraId="5187F6F4">
            <w:pPr>
              <w:jc w:val="center"/>
              <w:rPr>
                <w:color w:val="auto"/>
                <w:highlight w:val="none"/>
              </w:rPr>
            </w:pPr>
          </w:p>
        </w:tc>
        <w:tc>
          <w:tcPr>
            <w:tcW w:w="738" w:type="dxa"/>
            <w:vAlign w:val="center"/>
          </w:tcPr>
          <w:p w14:paraId="3887FCBE">
            <w:pPr>
              <w:jc w:val="center"/>
              <w:rPr>
                <w:color w:val="auto"/>
                <w:highlight w:val="none"/>
              </w:rPr>
            </w:pPr>
          </w:p>
        </w:tc>
        <w:tc>
          <w:tcPr>
            <w:tcW w:w="946" w:type="dxa"/>
            <w:vMerge w:val="restart"/>
            <w:vAlign w:val="center"/>
          </w:tcPr>
          <w:p w14:paraId="338DFC18">
            <w:pPr>
              <w:jc w:val="center"/>
              <w:rPr>
                <w:color w:val="auto"/>
                <w:highlight w:val="none"/>
              </w:rPr>
            </w:pPr>
          </w:p>
        </w:tc>
        <w:tc>
          <w:tcPr>
            <w:tcW w:w="841" w:type="dxa"/>
            <w:vAlign w:val="center"/>
          </w:tcPr>
          <w:p w14:paraId="5FD00CF5">
            <w:pPr>
              <w:jc w:val="center"/>
              <w:rPr>
                <w:color w:val="auto"/>
                <w:highlight w:val="none"/>
              </w:rPr>
            </w:pPr>
          </w:p>
        </w:tc>
        <w:tc>
          <w:tcPr>
            <w:tcW w:w="841" w:type="dxa"/>
            <w:vAlign w:val="center"/>
          </w:tcPr>
          <w:p w14:paraId="30EA9131">
            <w:pPr>
              <w:jc w:val="center"/>
              <w:rPr>
                <w:color w:val="auto"/>
                <w:highlight w:val="none"/>
              </w:rPr>
            </w:pPr>
          </w:p>
        </w:tc>
        <w:tc>
          <w:tcPr>
            <w:tcW w:w="1528" w:type="dxa"/>
            <w:vAlign w:val="center"/>
          </w:tcPr>
          <w:p w14:paraId="3E36A905">
            <w:pPr>
              <w:jc w:val="center"/>
              <w:rPr>
                <w:color w:val="auto"/>
                <w:highlight w:val="none"/>
              </w:rPr>
            </w:pPr>
          </w:p>
        </w:tc>
      </w:tr>
      <w:tr w14:paraId="184F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286AD462">
            <w:pPr>
              <w:spacing w:after="120" w:afterLines="50"/>
              <w:jc w:val="center"/>
              <w:rPr>
                <w:rFonts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006118B6">
            <w:pPr>
              <w:spacing w:after="120" w:afterLines="50"/>
              <w:jc w:val="center"/>
              <w:rPr>
                <w:rFonts w:ascii="宋体" w:hAnsi="宋体" w:cs="Arial"/>
                <w:color w:val="auto"/>
                <w:szCs w:val="21"/>
                <w:highlight w:val="none"/>
              </w:rPr>
            </w:pPr>
          </w:p>
        </w:tc>
        <w:tc>
          <w:tcPr>
            <w:tcW w:w="701" w:type="dxa"/>
            <w:vAlign w:val="center"/>
          </w:tcPr>
          <w:p w14:paraId="5540CF90">
            <w:pPr>
              <w:jc w:val="center"/>
              <w:rPr>
                <w:color w:val="auto"/>
                <w:highlight w:val="none"/>
              </w:rPr>
            </w:pPr>
          </w:p>
        </w:tc>
        <w:tc>
          <w:tcPr>
            <w:tcW w:w="997" w:type="dxa"/>
            <w:vAlign w:val="center"/>
          </w:tcPr>
          <w:p w14:paraId="24E22F62">
            <w:pPr>
              <w:jc w:val="center"/>
              <w:rPr>
                <w:color w:val="auto"/>
                <w:highlight w:val="none"/>
              </w:rPr>
            </w:pPr>
          </w:p>
        </w:tc>
        <w:tc>
          <w:tcPr>
            <w:tcW w:w="738" w:type="dxa"/>
            <w:vAlign w:val="center"/>
          </w:tcPr>
          <w:p w14:paraId="2CFE6AB3">
            <w:pPr>
              <w:jc w:val="center"/>
              <w:rPr>
                <w:color w:val="auto"/>
                <w:highlight w:val="none"/>
              </w:rPr>
            </w:pPr>
          </w:p>
        </w:tc>
        <w:tc>
          <w:tcPr>
            <w:tcW w:w="946" w:type="dxa"/>
            <w:vMerge w:val="continue"/>
            <w:vAlign w:val="center"/>
          </w:tcPr>
          <w:p w14:paraId="22E6556B">
            <w:pPr>
              <w:jc w:val="center"/>
              <w:rPr>
                <w:color w:val="auto"/>
                <w:highlight w:val="none"/>
              </w:rPr>
            </w:pPr>
          </w:p>
        </w:tc>
        <w:tc>
          <w:tcPr>
            <w:tcW w:w="841" w:type="dxa"/>
            <w:vAlign w:val="center"/>
          </w:tcPr>
          <w:p w14:paraId="52E757EF">
            <w:pPr>
              <w:jc w:val="center"/>
              <w:rPr>
                <w:color w:val="auto"/>
                <w:highlight w:val="none"/>
              </w:rPr>
            </w:pPr>
          </w:p>
        </w:tc>
        <w:tc>
          <w:tcPr>
            <w:tcW w:w="841" w:type="dxa"/>
            <w:vAlign w:val="center"/>
          </w:tcPr>
          <w:p w14:paraId="0A0BA58C">
            <w:pPr>
              <w:jc w:val="center"/>
              <w:rPr>
                <w:color w:val="auto"/>
                <w:highlight w:val="none"/>
              </w:rPr>
            </w:pPr>
          </w:p>
        </w:tc>
        <w:tc>
          <w:tcPr>
            <w:tcW w:w="1528" w:type="dxa"/>
            <w:vAlign w:val="center"/>
          </w:tcPr>
          <w:p w14:paraId="7321FECD">
            <w:pPr>
              <w:jc w:val="center"/>
              <w:rPr>
                <w:color w:val="auto"/>
                <w:highlight w:val="none"/>
              </w:rPr>
            </w:pPr>
          </w:p>
        </w:tc>
      </w:tr>
      <w:tr w14:paraId="21FF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51957ED8">
            <w:pPr>
              <w:jc w:val="center"/>
              <w:rPr>
                <w:color w:val="auto"/>
                <w:highlight w:val="none"/>
              </w:rPr>
            </w:pPr>
            <w:r>
              <w:rPr>
                <w:rFonts w:hint="eastAsia"/>
                <w:color w:val="auto"/>
                <w:highlight w:val="none"/>
              </w:rPr>
              <w:t>3</w:t>
            </w:r>
          </w:p>
        </w:tc>
        <w:tc>
          <w:tcPr>
            <w:tcW w:w="1331" w:type="dxa"/>
            <w:vAlign w:val="center"/>
          </w:tcPr>
          <w:p w14:paraId="00F43BA6">
            <w:pPr>
              <w:jc w:val="center"/>
              <w:rPr>
                <w:color w:val="auto"/>
                <w:highlight w:val="none"/>
              </w:rPr>
            </w:pPr>
          </w:p>
        </w:tc>
        <w:tc>
          <w:tcPr>
            <w:tcW w:w="701" w:type="dxa"/>
            <w:vAlign w:val="center"/>
          </w:tcPr>
          <w:p w14:paraId="23FC154C">
            <w:pPr>
              <w:jc w:val="center"/>
              <w:rPr>
                <w:color w:val="auto"/>
                <w:highlight w:val="none"/>
              </w:rPr>
            </w:pPr>
          </w:p>
        </w:tc>
        <w:tc>
          <w:tcPr>
            <w:tcW w:w="997" w:type="dxa"/>
            <w:vAlign w:val="center"/>
          </w:tcPr>
          <w:p w14:paraId="066CA582">
            <w:pPr>
              <w:jc w:val="center"/>
              <w:rPr>
                <w:color w:val="auto"/>
                <w:highlight w:val="none"/>
              </w:rPr>
            </w:pPr>
          </w:p>
        </w:tc>
        <w:tc>
          <w:tcPr>
            <w:tcW w:w="738" w:type="dxa"/>
            <w:vAlign w:val="center"/>
          </w:tcPr>
          <w:p w14:paraId="4CBF9E11">
            <w:pPr>
              <w:jc w:val="center"/>
              <w:rPr>
                <w:color w:val="auto"/>
                <w:highlight w:val="none"/>
              </w:rPr>
            </w:pPr>
          </w:p>
        </w:tc>
        <w:tc>
          <w:tcPr>
            <w:tcW w:w="946" w:type="dxa"/>
            <w:vMerge w:val="continue"/>
            <w:vAlign w:val="center"/>
          </w:tcPr>
          <w:p w14:paraId="04EFE606">
            <w:pPr>
              <w:jc w:val="center"/>
              <w:rPr>
                <w:color w:val="auto"/>
                <w:highlight w:val="none"/>
              </w:rPr>
            </w:pPr>
          </w:p>
        </w:tc>
        <w:tc>
          <w:tcPr>
            <w:tcW w:w="841" w:type="dxa"/>
            <w:vAlign w:val="center"/>
          </w:tcPr>
          <w:p w14:paraId="1A61EFF8">
            <w:pPr>
              <w:jc w:val="center"/>
              <w:rPr>
                <w:color w:val="auto"/>
                <w:highlight w:val="none"/>
              </w:rPr>
            </w:pPr>
          </w:p>
        </w:tc>
        <w:tc>
          <w:tcPr>
            <w:tcW w:w="841" w:type="dxa"/>
            <w:vAlign w:val="center"/>
          </w:tcPr>
          <w:p w14:paraId="610CAB97">
            <w:pPr>
              <w:jc w:val="center"/>
              <w:rPr>
                <w:color w:val="auto"/>
                <w:highlight w:val="none"/>
              </w:rPr>
            </w:pPr>
          </w:p>
        </w:tc>
        <w:tc>
          <w:tcPr>
            <w:tcW w:w="1528" w:type="dxa"/>
            <w:vAlign w:val="center"/>
          </w:tcPr>
          <w:p w14:paraId="43B4C528">
            <w:pPr>
              <w:jc w:val="center"/>
              <w:rPr>
                <w:color w:val="auto"/>
                <w:highlight w:val="none"/>
              </w:rPr>
            </w:pPr>
          </w:p>
        </w:tc>
      </w:tr>
      <w:tr w14:paraId="1A01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192FC9D5">
            <w:pPr>
              <w:jc w:val="center"/>
              <w:rPr>
                <w:rFonts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02AD0BB3">
            <w:pPr>
              <w:jc w:val="center"/>
              <w:rPr>
                <w:rFonts w:ascii="宋体" w:hAnsi="宋体" w:cs="Arial"/>
                <w:color w:val="auto"/>
                <w:szCs w:val="21"/>
                <w:highlight w:val="none"/>
              </w:rPr>
            </w:pPr>
          </w:p>
        </w:tc>
        <w:tc>
          <w:tcPr>
            <w:tcW w:w="701" w:type="dxa"/>
            <w:vAlign w:val="center"/>
          </w:tcPr>
          <w:p w14:paraId="22F3838C">
            <w:pPr>
              <w:jc w:val="center"/>
              <w:rPr>
                <w:color w:val="auto"/>
                <w:highlight w:val="none"/>
              </w:rPr>
            </w:pPr>
          </w:p>
        </w:tc>
        <w:tc>
          <w:tcPr>
            <w:tcW w:w="997" w:type="dxa"/>
            <w:vAlign w:val="center"/>
          </w:tcPr>
          <w:p w14:paraId="6EB12B2D">
            <w:pPr>
              <w:jc w:val="center"/>
              <w:rPr>
                <w:color w:val="auto"/>
                <w:highlight w:val="none"/>
              </w:rPr>
            </w:pPr>
          </w:p>
        </w:tc>
        <w:tc>
          <w:tcPr>
            <w:tcW w:w="738" w:type="dxa"/>
            <w:vAlign w:val="center"/>
          </w:tcPr>
          <w:p w14:paraId="2E1C38F9">
            <w:pPr>
              <w:jc w:val="center"/>
              <w:rPr>
                <w:color w:val="auto"/>
                <w:highlight w:val="none"/>
              </w:rPr>
            </w:pPr>
          </w:p>
        </w:tc>
        <w:tc>
          <w:tcPr>
            <w:tcW w:w="946" w:type="dxa"/>
            <w:vMerge w:val="continue"/>
            <w:vAlign w:val="center"/>
          </w:tcPr>
          <w:p w14:paraId="70BAAEA1">
            <w:pPr>
              <w:jc w:val="center"/>
              <w:rPr>
                <w:color w:val="auto"/>
                <w:highlight w:val="none"/>
              </w:rPr>
            </w:pPr>
          </w:p>
        </w:tc>
        <w:tc>
          <w:tcPr>
            <w:tcW w:w="841" w:type="dxa"/>
            <w:vAlign w:val="center"/>
          </w:tcPr>
          <w:p w14:paraId="72291459">
            <w:pPr>
              <w:jc w:val="center"/>
              <w:rPr>
                <w:color w:val="auto"/>
                <w:highlight w:val="none"/>
              </w:rPr>
            </w:pPr>
          </w:p>
        </w:tc>
        <w:tc>
          <w:tcPr>
            <w:tcW w:w="841" w:type="dxa"/>
            <w:vAlign w:val="center"/>
          </w:tcPr>
          <w:p w14:paraId="2FA6FF72">
            <w:pPr>
              <w:jc w:val="center"/>
              <w:rPr>
                <w:color w:val="auto"/>
                <w:highlight w:val="none"/>
              </w:rPr>
            </w:pPr>
          </w:p>
        </w:tc>
        <w:tc>
          <w:tcPr>
            <w:tcW w:w="1528" w:type="dxa"/>
            <w:vAlign w:val="center"/>
          </w:tcPr>
          <w:p w14:paraId="7EE10BF9">
            <w:pPr>
              <w:jc w:val="center"/>
              <w:rPr>
                <w:color w:val="auto"/>
                <w:highlight w:val="none"/>
              </w:rPr>
            </w:pPr>
          </w:p>
        </w:tc>
      </w:tr>
      <w:tr w14:paraId="382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1A61D37E">
            <w:pPr>
              <w:jc w:val="center"/>
              <w:rPr>
                <w:color w:val="auto"/>
                <w:highlight w:val="none"/>
              </w:rPr>
            </w:pPr>
            <w:r>
              <w:rPr>
                <w:rFonts w:hint="eastAsia"/>
                <w:color w:val="auto"/>
                <w:highlight w:val="none"/>
              </w:rPr>
              <w:t>5</w:t>
            </w:r>
          </w:p>
        </w:tc>
        <w:tc>
          <w:tcPr>
            <w:tcW w:w="1331" w:type="dxa"/>
            <w:vAlign w:val="center"/>
          </w:tcPr>
          <w:p w14:paraId="6266BB25">
            <w:pPr>
              <w:jc w:val="center"/>
              <w:rPr>
                <w:color w:val="auto"/>
                <w:highlight w:val="none"/>
              </w:rPr>
            </w:pPr>
          </w:p>
        </w:tc>
        <w:tc>
          <w:tcPr>
            <w:tcW w:w="701" w:type="dxa"/>
            <w:vAlign w:val="center"/>
          </w:tcPr>
          <w:p w14:paraId="4D03599F">
            <w:pPr>
              <w:jc w:val="center"/>
              <w:rPr>
                <w:color w:val="auto"/>
                <w:highlight w:val="none"/>
              </w:rPr>
            </w:pPr>
          </w:p>
        </w:tc>
        <w:tc>
          <w:tcPr>
            <w:tcW w:w="997" w:type="dxa"/>
            <w:vAlign w:val="center"/>
          </w:tcPr>
          <w:p w14:paraId="1C0C2007">
            <w:pPr>
              <w:jc w:val="center"/>
              <w:rPr>
                <w:color w:val="auto"/>
                <w:highlight w:val="none"/>
              </w:rPr>
            </w:pPr>
          </w:p>
        </w:tc>
        <w:tc>
          <w:tcPr>
            <w:tcW w:w="738" w:type="dxa"/>
            <w:vAlign w:val="center"/>
          </w:tcPr>
          <w:p w14:paraId="6DFE7270">
            <w:pPr>
              <w:jc w:val="center"/>
              <w:rPr>
                <w:color w:val="auto"/>
                <w:highlight w:val="none"/>
              </w:rPr>
            </w:pPr>
          </w:p>
        </w:tc>
        <w:tc>
          <w:tcPr>
            <w:tcW w:w="946" w:type="dxa"/>
            <w:vMerge w:val="continue"/>
            <w:vAlign w:val="center"/>
          </w:tcPr>
          <w:p w14:paraId="4EB723AA">
            <w:pPr>
              <w:jc w:val="center"/>
              <w:rPr>
                <w:color w:val="auto"/>
                <w:highlight w:val="none"/>
              </w:rPr>
            </w:pPr>
          </w:p>
        </w:tc>
        <w:tc>
          <w:tcPr>
            <w:tcW w:w="841" w:type="dxa"/>
            <w:vAlign w:val="center"/>
          </w:tcPr>
          <w:p w14:paraId="144E02EC">
            <w:pPr>
              <w:jc w:val="center"/>
              <w:rPr>
                <w:color w:val="auto"/>
                <w:highlight w:val="none"/>
              </w:rPr>
            </w:pPr>
          </w:p>
        </w:tc>
        <w:tc>
          <w:tcPr>
            <w:tcW w:w="841" w:type="dxa"/>
            <w:vAlign w:val="center"/>
          </w:tcPr>
          <w:p w14:paraId="4A2C54BA">
            <w:pPr>
              <w:jc w:val="center"/>
              <w:rPr>
                <w:color w:val="auto"/>
                <w:highlight w:val="none"/>
              </w:rPr>
            </w:pPr>
          </w:p>
        </w:tc>
        <w:tc>
          <w:tcPr>
            <w:tcW w:w="1528" w:type="dxa"/>
            <w:vAlign w:val="center"/>
          </w:tcPr>
          <w:p w14:paraId="00A5F459">
            <w:pPr>
              <w:jc w:val="center"/>
              <w:rPr>
                <w:color w:val="auto"/>
                <w:highlight w:val="none"/>
              </w:rPr>
            </w:pPr>
          </w:p>
        </w:tc>
      </w:tr>
      <w:tr w14:paraId="474E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09FD571A">
            <w:pPr>
              <w:jc w:val="center"/>
              <w:rPr>
                <w:color w:val="auto"/>
                <w:highlight w:val="none"/>
              </w:rPr>
            </w:pPr>
            <w:r>
              <w:rPr>
                <w:rFonts w:hint="eastAsia"/>
                <w:color w:val="auto"/>
                <w:highlight w:val="none"/>
              </w:rPr>
              <w:t>6</w:t>
            </w:r>
          </w:p>
        </w:tc>
        <w:tc>
          <w:tcPr>
            <w:tcW w:w="1331" w:type="dxa"/>
            <w:vAlign w:val="center"/>
          </w:tcPr>
          <w:p w14:paraId="356FB0D1">
            <w:pPr>
              <w:jc w:val="center"/>
              <w:rPr>
                <w:color w:val="auto"/>
                <w:highlight w:val="none"/>
              </w:rPr>
            </w:pPr>
          </w:p>
        </w:tc>
        <w:tc>
          <w:tcPr>
            <w:tcW w:w="701" w:type="dxa"/>
            <w:vAlign w:val="center"/>
          </w:tcPr>
          <w:p w14:paraId="6B7546E5">
            <w:pPr>
              <w:jc w:val="center"/>
              <w:rPr>
                <w:color w:val="auto"/>
                <w:highlight w:val="none"/>
              </w:rPr>
            </w:pPr>
          </w:p>
        </w:tc>
        <w:tc>
          <w:tcPr>
            <w:tcW w:w="997" w:type="dxa"/>
            <w:vAlign w:val="center"/>
          </w:tcPr>
          <w:p w14:paraId="571D49B8">
            <w:pPr>
              <w:jc w:val="center"/>
              <w:rPr>
                <w:color w:val="auto"/>
                <w:highlight w:val="none"/>
              </w:rPr>
            </w:pPr>
          </w:p>
        </w:tc>
        <w:tc>
          <w:tcPr>
            <w:tcW w:w="738" w:type="dxa"/>
            <w:vAlign w:val="center"/>
          </w:tcPr>
          <w:p w14:paraId="3DEB45D7">
            <w:pPr>
              <w:jc w:val="center"/>
              <w:rPr>
                <w:color w:val="auto"/>
                <w:highlight w:val="none"/>
              </w:rPr>
            </w:pPr>
          </w:p>
        </w:tc>
        <w:tc>
          <w:tcPr>
            <w:tcW w:w="946" w:type="dxa"/>
            <w:vMerge w:val="continue"/>
            <w:vAlign w:val="center"/>
          </w:tcPr>
          <w:p w14:paraId="2ED1A99B">
            <w:pPr>
              <w:jc w:val="center"/>
              <w:rPr>
                <w:color w:val="auto"/>
                <w:highlight w:val="none"/>
              </w:rPr>
            </w:pPr>
          </w:p>
        </w:tc>
        <w:tc>
          <w:tcPr>
            <w:tcW w:w="841" w:type="dxa"/>
            <w:vAlign w:val="center"/>
          </w:tcPr>
          <w:p w14:paraId="6680BB76">
            <w:pPr>
              <w:jc w:val="center"/>
              <w:rPr>
                <w:color w:val="auto"/>
                <w:highlight w:val="none"/>
              </w:rPr>
            </w:pPr>
          </w:p>
        </w:tc>
        <w:tc>
          <w:tcPr>
            <w:tcW w:w="841" w:type="dxa"/>
            <w:vAlign w:val="center"/>
          </w:tcPr>
          <w:p w14:paraId="2AEE376A">
            <w:pPr>
              <w:jc w:val="center"/>
              <w:rPr>
                <w:color w:val="auto"/>
                <w:highlight w:val="none"/>
              </w:rPr>
            </w:pPr>
          </w:p>
        </w:tc>
        <w:tc>
          <w:tcPr>
            <w:tcW w:w="1528" w:type="dxa"/>
            <w:vAlign w:val="center"/>
          </w:tcPr>
          <w:p w14:paraId="79B1AB09">
            <w:pPr>
              <w:jc w:val="center"/>
              <w:rPr>
                <w:color w:val="auto"/>
                <w:highlight w:val="none"/>
              </w:rPr>
            </w:pPr>
          </w:p>
        </w:tc>
      </w:tr>
      <w:tr w14:paraId="005A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1D7DC66B">
            <w:pPr>
              <w:jc w:val="center"/>
              <w:rPr>
                <w:color w:val="auto"/>
                <w:highlight w:val="none"/>
              </w:rPr>
            </w:pPr>
            <w:r>
              <w:rPr>
                <w:rFonts w:hint="eastAsia" w:ascii="宋体" w:hAnsi="宋体"/>
                <w:color w:val="auto"/>
                <w:szCs w:val="44"/>
                <w:highlight w:val="none"/>
              </w:rPr>
              <w:t>…</w:t>
            </w:r>
          </w:p>
        </w:tc>
        <w:tc>
          <w:tcPr>
            <w:tcW w:w="1331" w:type="dxa"/>
            <w:vAlign w:val="center"/>
          </w:tcPr>
          <w:p w14:paraId="5EE24BC6">
            <w:pPr>
              <w:jc w:val="center"/>
              <w:rPr>
                <w:color w:val="auto"/>
                <w:highlight w:val="none"/>
              </w:rPr>
            </w:pPr>
          </w:p>
        </w:tc>
        <w:tc>
          <w:tcPr>
            <w:tcW w:w="701" w:type="dxa"/>
            <w:vAlign w:val="center"/>
          </w:tcPr>
          <w:p w14:paraId="01A47CFF">
            <w:pPr>
              <w:jc w:val="center"/>
              <w:rPr>
                <w:color w:val="auto"/>
                <w:highlight w:val="none"/>
              </w:rPr>
            </w:pPr>
          </w:p>
        </w:tc>
        <w:tc>
          <w:tcPr>
            <w:tcW w:w="997" w:type="dxa"/>
            <w:vAlign w:val="center"/>
          </w:tcPr>
          <w:p w14:paraId="3FBCBEB4">
            <w:pPr>
              <w:jc w:val="center"/>
              <w:rPr>
                <w:color w:val="auto"/>
                <w:highlight w:val="none"/>
              </w:rPr>
            </w:pPr>
          </w:p>
        </w:tc>
        <w:tc>
          <w:tcPr>
            <w:tcW w:w="738" w:type="dxa"/>
            <w:vAlign w:val="center"/>
          </w:tcPr>
          <w:p w14:paraId="6E3DD166">
            <w:pPr>
              <w:jc w:val="center"/>
              <w:rPr>
                <w:color w:val="auto"/>
                <w:highlight w:val="none"/>
              </w:rPr>
            </w:pPr>
          </w:p>
        </w:tc>
        <w:tc>
          <w:tcPr>
            <w:tcW w:w="946" w:type="dxa"/>
            <w:vMerge w:val="continue"/>
            <w:vAlign w:val="center"/>
          </w:tcPr>
          <w:p w14:paraId="59610A45">
            <w:pPr>
              <w:jc w:val="center"/>
              <w:rPr>
                <w:color w:val="auto"/>
                <w:highlight w:val="none"/>
              </w:rPr>
            </w:pPr>
          </w:p>
        </w:tc>
        <w:tc>
          <w:tcPr>
            <w:tcW w:w="841" w:type="dxa"/>
            <w:vAlign w:val="center"/>
          </w:tcPr>
          <w:p w14:paraId="2CDA4B91">
            <w:pPr>
              <w:jc w:val="center"/>
              <w:rPr>
                <w:color w:val="auto"/>
                <w:highlight w:val="none"/>
              </w:rPr>
            </w:pPr>
          </w:p>
        </w:tc>
        <w:tc>
          <w:tcPr>
            <w:tcW w:w="841" w:type="dxa"/>
            <w:vAlign w:val="center"/>
          </w:tcPr>
          <w:p w14:paraId="3B93BB98">
            <w:pPr>
              <w:jc w:val="center"/>
              <w:rPr>
                <w:color w:val="auto"/>
                <w:highlight w:val="none"/>
              </w:rPr>
            </w:pPr>
          </w:p>
        </w:tc>
        <w:tc>
          <w:tcPr>
            <w:tcW w:w="1528" w:type="dxa"/>
            <w:vAlign w:val="center"/>
          </w:tcPr>
          <w:p w14:paraId="1A052000">
            <w:pPr>
              <w:jc w:val="center"/>
              <w:rPr>
                <w:color w:val="auto"/>
                <w:highlight w:val="none"/>
              </w:rPr>
            </w:pPr>
          </w:p>
        </w:tc>
      </w:tr>
      <w:tr w14:paraId="5FEE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4F6028CB">
            <w:pPr>
              <w:rPr>
                <w:color w:val="auto"/>
                <w:highlight w:val="none"/>
              </w:rPr>
            </w:pPr>
          </w:p>
          <w:p w14:paraId="57896D1E">
            <w:pPr>
              <w:jc w:val="left"/>
              <w:rPr>
                <w:rFonts w:ascii="宋体" w:hAnsi="宋体"/>
                <w:color w:val="auto"/>
                <w:szCs w:val="44"/>
                <w:highlight w:val="none"/>
              </w:rPr>
            </w:pPr>
            <w:r>
              <w:rPr>
                <w:rFonts w:hint="eastAsia" w:ascii="宋体" w:hAnsi="宋体"/>
                <w:color w:val="auto"/>
                <w:szCs w:val="44"/>
                <w:highlight w:val="none"/>
              </w:rPr>
              <w:t xml:space="preserve">经济标评委签名： </w:t>
            </w:r>
          </w:p>
          <w:p w14:paraId="734E4566">
            <w:pPr>
              <w:jc w:val="center"/>
              <w:rPr>
                <w:rFonts w:ascii="宋体" w:hAnsi="宋体"/>
                <w:color w:val="auto"/>
                <w:szCs w:val="44"/>
                <w:highlight w:val="none"/>
              </w:rPr>
            </w:pPr>
          </w:p>
          <w:p w14:paraId="658B815A">
            <w:pPr>
              <w:jc w:val="center"/>
              <w:rPr>
                <w:rFonts w:ascii="宋体" w:hAnsi="宋体"/>
                <w:color w:val="auto"/>
                <w:szCs w:val="44"/>
                <w:highlight w:val="none"/>
              </w:rPr>
            </w:pPr>
          </w:p>
          <w:p w14:paraId="4AB80419">
            <w:pPr>
              <w:jc w:val="center"/>
              <w:rPr>
                <w:rFonts w:ascii="宋体" w:hAnsi="宋体"/>
                <w:color w:val="auto"/>
                <w:szCs w:val="44"/>
                <w:highlight w:val="none"/>
              </w:rPr>
            </w:pPr>
          </w:p>
          <w:p w14:paraId="23D481B0">
            <w:pPr>
              <w:jc w:val="center"/>
              <w:rPr>
                <w:rFonts w:ascii="宋体" w:hAnsi="宋体"/>
                <w:color w:val="auto"/>
                <w:szCs w:val="44"/>
                <w:highlight w:val="none"/>
              </w:rPr>
            </w:pPr>
          </w:p>
          <w:p w14:paraId="0227982F">
            <w:pPr>
              <w:jc w:val="center"/>
              <w:rPr>
                <w:color w:val="auto"/>
                <w:highlight w:val="none"/>
              </w:rPr>
            </w:pPr>
          </w:p>
        </w:tc>
      </w:tr>
    </w:tbl>
    <w:p w14:paraId="62779F8B">
      <w:pPr>
        <w:rPr>
          <w:rFonts w:ascii="宋体" w:hAnsi="宋体"/>
          <w:color w:val="auto"/>
          <w:szCs w:val="44"/>
          <w:highlight w:val="none"/>
        </w:rPr>
        <w:sectPr>
          <w:type w:val="continuous"/>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5B719A24">
      <w:pPr>
        <w:rPr>
          <w:rFonts w:ascii="宋体" w:hAnsi="宋体"/>
          <w:color w:val="auto"/>
          <w:szCs w:val="44"/>
          <w:highlight w:val="none"/>
        </w:rPr>
      </w:pPr>
    </w:p>
    <w:p w14:paraId="39D09627">
      <w:pPr>
        <w:pStyle w:val="32"/>
        <w:ind w:firstLine="118"/>
        <w:rPr>
          <w:color w:val="auto"/>
          <w:highlight w:val="none"/>
        </w:rPr>
      </w:pPr>
      <w:bookmarkStart w:id="932" w:name="_Toc256000144"/>
      <w:bookmarkStart w:id="933" w:name="_Toc10826"/>
      <w:bookmarkStart w:id="934" w:name="_Toc164716314"/>
      <w:bookmarkStart w:id="935" w:name="_Toc148860673"/>
      <w:r>
        <w:rPr>
          <w:rFonts w:hint="eastAsia"/>
          <w:color w:val="auto"/>
          <w:highlight w:val="none"/>
        </w:rPr>
        <w:t>附表A-1</w:t>
      </w:r>
      <w:r>
        <w:rPr>
          <w:color w:val="auto"/>
          <w:highlight w:val="none"/>
        </w:rPr>
        <w:t>1</w:t>
      </w:r>
      <w:r>
        <w:rPr>
          <w:rFonts w:hint="eastAsia"/>
          <w:color w:val="auto"/>
          <w:highlight w:val="none"/>
        </w:rPr>
        <w:t>：承包人建议书评审记录表</w:t>
      </w:r>
      <w:bookmarkEnd w:id="932"/>
      <w:bookmarkEnd w:id="933"/>
      <w:bookmarkEnd w:id="934"/>
      <w:bookmarkEnd w:id="935"/>
    </w:p>
    <w:p w14:paraId="0A04A478">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36" w:name="_Hlk149219463"/>
      <w:r>
        <w:rPr>
          <w:rFonts w:hint="eastAsia" w:ascii="黑体" w:hAnsi="宋体" w:eastAsia="黑体"/>
          <w:color w:val="auto"/>
          <w:sz w:val="36"/>
          <w:szCs w:val="36"/>
          <w:highlight w:val="none"/>
        </w:rPr>
        <w:t>承包人</w:t>
      </w:r>
      <w:r>
        <w:rPr>
          <w:rFonts w:hint="eastAsia" w:ascii="黑体" w:hAnsi="黑体" w:eastAsia="黑体"/>
          <w:bCs/>
          <w:color w:val="auto"/>
          <w:sz w:val="36"/>
          <w:szCs w:val="36"/>
          <w:highlight w:val="none"/>
        </w:rPr>
        <w:t>建议书</w:t>
      </w:r>
      <w:bookmarkEnd w:id="936"/>
      <w:r>
        <w:rPr>
          <w:rFonts w:hint="eastAsia" w:ascii="黑体" w:hAnsi="宋体" w:eastAsia="黑体"/>
          <w:color w:val="auto"/>
          <w:sz w:val="36"/>
          <w:szCs w:val="36"/>
          <w:highlight w:val="none"/>
        </w:rPr>
        <w:t>评审记录表</w:t>
      </w:r>
    </w:p>
    <w:p w14:paraId="5BE53A3E">
      <w:pPr>
        <w:rPr>
          <w:rFonts w:ascii="宋体" w:hAnsi="宋体"/>
          <w:color w:val="auto"/>
          <w:szCs w:val="44"/>
          <w:highlight w:val="none"/>
        </w:rPr>
      </w:pPr>
      <w:r>
        <w:rPr>
          <w:rFonts w:hint="eastAsia" w:ascii="宋体" w:hAnsi="宋体"/>
          <w:color w:val="auto"/>
          <w:szCs w:val="44"/>
          <w:highlight w:val="none"/>
        </w:rPr>
        <w:t>标段名称：</w:t>
      </w:r>
    </w:p>
    <w:p w14:paraId="66F74E8A">
      <w:pPr>
        <w:rPr>
          <w:color w:val="auto"/>
          <w:szCs w:val="44"/>
          <w:highlight w:val="none"/>
        </w:rPr>
      </w:pPr>
      <w:r>
        <w:rPr>
          <w:rFonts w:hint="eastAsia"/>
          <w:color w:val="auto"/>
          <w:szCs w:val="44"/>
          <w:highlight w:val="none"/>
        </w:rPr>
        <w:t>标段唯一标识码：</w:t>
      </w:r>
    </w:p>
    <w:tbl>
      <w:tblPr>
        <w:tblStyle w:val="23"/>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787"/>
        <w:gridCol w:w="1339"/>
        <w:gridCol w:w="1340"/>
        <w:gridCol w:w="1340"/>
        <w:gridCol w:w="1339"/>
        <w:gridCol w:w="1340"/>
        <w:gridCol w:w="1340"/>
        <w:gridCol w:w="1351"/>
        <w:gridCol w:w="2069"/>
      </w:tblGrid>
      <w:tr w14:paraId="0F6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vAlign w:val="center"/>
          </w:tcPr>
          <w:p w14:paraId="6615FF1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87" w:type="dxa"/>
            <w:vMerge w:val="restart"/>
            <w:vAlign w:val="center"/>
          </w:tcPr>
          <w:p w14:paraId="159816D8">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389" w:type="dxa"/>
            <w:gridSpan w:val="7"/>
            <w:vAlign w:val="center"/>
          </w:tcPr>
          <w:p w14:paraId="7E3EF92B">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069" w:type="dxa"/>
            <w:vMerge w:val="restart"/>
            <w:vAlign w:val="center"/>
          </w:tcPr>
          <w:p w14:paraId="3F5234DE">
            <w:pPr>
              <w:jc w:val="center"/>
              <w:rPr>
                <w:rFonts w:ascii="宋体" w:hAnsi="宋体"/>
                <w:b/>
                <w:bCs/>
                <w:color w:val="auto"/>
                <w:szCs w:val="44"/>
                <w:highlight w:val="none"/>
              </w:rPr>
            </w:pPr>
            <w:r>
              <w:rPr>
                <w:rFonts w:hint="eastAsia" w:ascii="宋体" w:hAnsi="宋体"/>
                <w:b/>
                <w:bCs/>
                <w:color w:val="auto"/>
                <w:szCs w:val="44"/>
                <w:highlight w:val="none"/>
              </w:rPr>
              <w:t>承包人建议书最终得分</w:t>
            </w:r>
          </w:p>
        </w:tc>
      </w:tr>
      <w:tr w14:paraId="035C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continue"/>
            <w:vAlign w:val="center"/>
          </w:tcPr>
          <w:p w14:paraId="5EEC0429">
            <w:pPr>
              <w:jc w:val="center"/>
              <w:rPr>
                <w:rFonts w:ascii="宋体" w:hAnsi="宋体"/>
                <w:b/>
                <w:bCs/>
                <w:color w:val="auto"/>
                <w:szCs w:val="44"/>
                <w:highlight w:val="none"/>
              </w:rPr>
            </w:pPr>
          </w:p>
        </w:tc>
        <w:tc>
          <w:tcPr>
            <w:tcW w:w="1787" w:type="dxa"/>
            <w:vMerge w:val="continue"/>
          </w:tcPr>
          <w:p w14:paraId="7720B1EC">
            <w:pPr>
              <w:jc w:val="center"/>
              <w:rPr>
                <w:rFonts w:ascii="宋体" w:hAnsi="宋体"/>
                <w:b/>
                <w:bCs/>
                <w:color w:val="auto"/>
                <w:szCs w:val="44"/>
                <w:highlight w:val="none"/>
              </w:rPr>
            </w:pPr>
          </w:p>
        </w:tc>
        <w:tc>
          <w:tcPr>
            <w:tcW w:w="1339" w:type="dxa"/>
            <w:vAlign w:val="center"/>
          </w:tcPr>
          <w:p w14:paraId="0AB411EC">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0" w:type="dxa"/>
            <w:vAlign w:val="center"/>
          </w:tcPr>
          <w:p w14:paraId="3A556185">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0" w:type="dxa"/>
            <w:vAlign w:val="center"/>
          </w:tcPr>
          <w:p w14:paraId="3FFDE442">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39" w:type="dxa"/>
            <w:vAlign w:val="center"/>
          </w:tcPr>
          <w:p w14:paraId="44F64A30">
            <w:pPr>
              <w:jc w:val="center"/>
              <w:rPr>
                <w:rFonts w:ascii="宋体" w:hAnsi="宋体"/>
                <w:b/>
                <w:bCs/>
                <w:color w:val="auto"/>
                <w:szCs w:val="44"/>
                <w:highlight w:val="none"/>
              </w:rPr>
            </w:pPr>
          </w:p>
        </w:tc>
        <w:tc>
          <w:tcPr>
            <w:tcW w:w="1340" w:type="dxa"/>
            <w:vAlign w:val="center"/>
          </w:tcPr>
          <w:p w14:paraId="7577ECC1">
            <w:pPr>
              <w:jc w:val="center"/>
              <w:rPr>
                <w:rFonts w:ascii="宋体" w:hAnsi="宋体"/>
                <w:b/>
                <w:bCs/>
                <w:color w:val="auto"/>
                <w:szCs w:val="44"/>
                <w:highlight w:val="none"/>
              </w:rPr>
            </w:pPr>
          </w:p>
        </w:tc>
        <w:tc>
          <w:tcPr>
            <w:tcW w:w="1340" w:type="dxa"/>
            <w:vAlign w:val="center"/>
          </w:tcPr>
          <w:p w14:paraId="51E9165C">
            <w:pPr>
              <w:jc w:val="center"/>
              <w:rPr>
                <w:rFonts w:ascii="宋体" w:hAnsi="宋体"/>
                <w:b/>
                <w:bCs/>
                <w:color w:val="auto"/>
                <w:szCs w:val="44"/>
                <w:highlight w:val="none"/>
              </w:rPr>
            </w:pPr>
          </w:p>
        </w:tc>
        <w:tc>
          <w:tcPr>
            <w:tcW w:w="1351" w:type="dxa"/>
            <w:vAlign w:val="center"/>
          </w:tcPr>
          <w:p w14:paraId="756684BA">
            <w:pPr>
              <w:jc w:val="center"/>
              <w:rPr>
                <w:rFonts w:ascii="宋体" w:hAnsi="宋体"/>
                <w:b/>
                <w:bCs/>
                <w:color w:val="auto"/>
                <w:szCs w:val="44"/>
                <w:highlight w:val="none"/>
              </w:rPr>
            </w:pPr>
          </w:p>
        </w:tc>
        <w:tc>
          <w:tcPr>
            <w:tcW w:w="2069" w:type="dxa"/>
            <w:vMerge w:val="continue"/>
            <w:vAlign w:val="center"/>
          </w:tcPr>
          <w:p w14:paraId="496D7FCE">
            <w:pPr>
              <w:jc w:val="center"/>
              <w:rPr>
                <w:rFonts w:ascii="宋体" w:hAnsi="宋体"/>
                <w:b/>
                <w:bCs/>
                <w:color w:val="auto"/>
                <w:szCs w:val="44"/>
                <w:highlight w:val="none"/>
              </w:rPr>
            </w:pPr>
          </w:p>
        </w:tc>
      </w:tr>
      <w:tr w14:paraId="0D91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42D75C03">
            <w:pPr>
              <w:jc w:val="center"/>
              <w:rPr>
                <w:rFonts w:ascii="宋体" w:hAnsi="宋体"/>
                <w:color w:val="auto"/>
                <w:szCs w:val="44"/>
                <w:highlight w:val="none"/>
              </w:rPr>
            </w:pPr>
            <w:r>
              <w:rPr>
                <w:rFonts w:hint="eastAsia" w:ascii="宋体" w:hAnsi="宋体"/>
                <w:color w:val="auto"/>
                <w:szCs w:val="44"/>
                <w:highlight w:val="none"/>
              </w:rPr>
              <w:t>1</w:t>
            </w:r>
          </w:p>
        </w:tc>
        <w:tc>
          <w:tcPr>
            <w:tcW w:w="1787" w:type="dxa"/>
            <w:vAlign w:val="center"/>
          </w:tcPr>
          <w:p w14:paraId="504F940F">
            <w:pPr>
              <w:jc w:val="center"/>
              <w:rPr>
                <w:rFonts w:ascii="宋体" w:hAnsi="宋体"/>
                <w:color w:val="auto"/>
                <w:szCs w:val="21"/>
                <w:highlight w:val="none"/>
              </w:rPr>
            </w:pPr>
          </w:p>
        </w:tc>
        <w:tc>
          <w:tcPr>
            <w:tcW w:w="1339" w:type="dxa"/>
            <w:vAlign w:val="center"/>
          </w:tcPr>
          <w:p w14:paraId="288DB07D">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0" w:type="dxa"/>
            <w:vAlign w:val="center"/>
          </w:tcPr>
          <w:p w14:paraId="466E41A2">
            <w:pPr>
              <w:jc w:val="center"/>
              <w:rPr>
                <w:rFonts w:ascii="宋体" w:hAnsi="宋体"/>
                <w:color w:val="auto"/>
                <w:szCs w:val="44"/>
                <w:highlight w:val="none"/>
              </w:rPr>
            </w:pPr>
          </w:p>
        </w:tc>
        <w:tc>
          <w:tcPr>
            <w:tcW w:w="1340" w:type="dxa"/>
            <w:vAlign w:val="center"/>
          </w:tcPr>
          <w:p w14:paraId="40DDA679">
            <w:pPr>
              <w:jc w:val="center"/>
              <w:rPr>
                <w:rFonts w:ascii="宋体" w:hAnsi="宋体"/>
                <w:color w:val="auto"/>
                <w:szCs w:val="44"/>
                <w:highlight w:val="none"/>
              </w:rPr>
            </w:pPr>
          </w:p>
        </w:tc>
        <w:tc>
          <w:tcPr>
            <w:tcW w:w="1339" w:type="dxa"/>
            <w:vAlign w:val="center"/>
          </w:tcPr>
          <w:p w14:paraId="644045DF">
            <w:pPr>
              <w:jc w:val="center"/>
              <w:rPr>
                <w:rFonts w:ascii="宋体" w:hAnsi="宋体"/>
                <w:color w:val="auto"/>
                <w:szCs w:val="44"/>
                <w:highlight w:val="none"/>
              </w:rPr>
            </w:pPr>
          </w:p>
        </w:tc>
        <w:tc>
          <w:tcPr>
            <w:tcW w:w="1340" w:type="dxa"/>
            <w:vAlign w:val="center"/>
          </w:tcPr>
          <w:p w14:paraId="7A9B3F4F">
            <w:pPr>
              <w:jc w:val="center"/>
              <w:rPr>
                <w:rFonts w:ascii="宋体" w:hAnsi="宋体"/>
                <w:color w:val="auto"/>
                <w:szCs w:val="44"/>
                <w:highlight w:val="none"/>
              </w:rPr>
            </w:pPr>
          </w:p>
        </w:tc>
        <w:tc>
          <w:tcPr>
            <w:tcW w:w="1340" w:type="dxa"/>
            <w:vAlign w:val="center"/>
          </w:tcPr>
          <w:p w14:paraId="209802F3">
            <w:pPr>
              <w:jc w:val="center"/>
              <w:rPr>
                <w:rFonts w:ascii="宋体" w:hAnsi="宋体"/>
                <w:color w:val="auto"/>
                <w:szCs w:val="44"/>
                <w:highlight w:val="none"/>
              </w:rPr>
            </w:pPr>
          </w:p>
        </w:tc>
        <w:tc>
          <w:tcPr>
            <w:tcW w:w="1351" w:type="dxa"/>
            <w:vAlign w:val="center"/>
          </w:tcPr>
          <w:p w14:paraId="01838A6D">
            <w:pPr>
              <w:jc w:val="center"/>
              <w:rPr>
                <w:rFonts w:ascii="宋体" w:hAnsi="宋体"/>
                <w:color w:val="auto"/>
                <w:szCs w:val="44"/>
                <w:highlight w:val="none"/>
              </w:rPr>
            </w:pPr>
          </w:p>
        </w:tc>
        <w:tc>
          <w:tcPr>
            <w:tcW w:w="2069" w:type="dxa"/>
            <w:vAlign w:val="center"/>
          </w:tcPr>
          <w:p w14:paraId="2CB91C0F">
            <w:pPr>
              <w:jc w:val="center"/>
              <w:rPr>
                <w:rFonts w:ascii="宋体" w:hAnsi="宋体"/>
                <w:color w:val="auto"/>
                <w:szCs w:val="44"/>
                <w:highlight w:val="none"/>
              </w:rPr>
            </w:pPr>
          </w:p>
        </w:tc>
      </w:tr>
      <w:tr w14:paraId="3B93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0550B5AF">
            <w:pPr>
              <w:jc w:val="center"/>
              <w:rPr>
                <w:rFonts w:ascii="宋体" w:hAnsi="宋体"/>
                <w:color w:val="auto"/>
                <w:szCs w:val="44"/>
                <w:highlight w:val="none"/>
              </w:rPr>
            </w:pPr>
            <w:r>
              <w:rPr>
                <w:rFonts w:hint="eastAsia" w:ascii="宋体" w:hAnsi="宋体"/>
                <w:color w:val="auto"/>
                <w:szCs w:val="44"/>
                <w:highlight w:val="none"/>
              </w:rPr>
              <w:t>2</w:t>
            </w:r>
          </w:p>
        </w:tc>
        <w:tc>
          <w:tcPr>
            <w:tcW w:w="1787" w:type="dxa"/>
            <w:vAlign w:val="center"/>
          </w:tcPr>
          <w:p w14:paraId="0A4DDC67">
            <w:pPr>
              <w:jc w:val="center"/>
              <w:rPr>
                <w:rFonts w:ascii="宋体" w:hAnsi="宋体"/>
                <w:color w:val="auto"/>
                <w:szCs w:val="44"/>
                <w:highlight w:val="none"/>
              </w:rPr>
            </w:pPr>
          </w:p>
        </w:tc>
        <w:tc>
          <w:tcPr>
            <w:tcW w:w="1339" w:type="dxa"/>
            <w:vAlign w:val="center"/>
          </w:tcPr>
          <w:p w14:paraId="32C313D9">
            <w:pPr>
              <w:jc w:val="center"/>
              <w:rPr>
                <w:color w:val="auto"/>
                <w:highlight w:val="none"/>
              </w:rPr>
            </w:pPr>
          </w:p>
        </w:tc>
        <w:tc>
          <w:tcPr>
            <w:tcW w:w="1340" w:type="dxa"/>
            <w:vAlign w:val="center"/>
          </w:tcPr>
          <w:p w14:paraId="2DEA7CCE">
            <w:pPr>
              <w:jc w:val="center"/>
              <w:rPr>
                <w:rFonts w:ascii="宋体" w:hAnsi="宋体"/>
                <w:color w:val="auto"/>
                <w:szCs w:val="44"/>
                <w:highlight w:val="none"/>
              </w:rPr>
            </w:pPr>
          </w:p>
        </w:tc>
        <w:tc>
          <w:tcPr>
            <w:tcW w:w="1340" w:type="dxa"/>
            <w:vAlign w:val="center"/>
          </w:tcPr>
          <w:p w14:paraId="44FE12EB">
            <w:pPr>
              <w:jc w:val="center"/>
              <w:rPr>
                <w:rFonts w:ascii="宋体" w:hAnsi="宋体"/>
                <w:color w:val="auto"/>
                <w:szCs w:val="44"/>
                <w:highlight w:val="none"/>
              </w:rPr>
            </w:pPr>
          </w:p>
        </w:tc>
        <w:tc>
          <w:tcPr>
            <w:tcW w:w="1339" w:type="dxa"/>
            <w:vAlign w:val="center"/>
          </w:tcPr>
          <w:p w14:paraId="74E489A1">
            <w:pPr>
              <w:jc w:val="center"/>
              <w:rPr>
                <w:rFonts w:ascii="宋体" w:hAnsi="宋体"/>
                <w:color w:val="auto"/>
                <w:szCs w:val="44"/>
                <w:highlight w:val="none"/>
              </w:rPr>
            </w:pPr>
          </w:p>
        </w:tc>
        <w:tc>
          <w:tcPr>
            <w:tcW w:w="1340" w:type="dxa"/>
            <w:vAlign w:val="center"/>
          </w:tcPr>
          <w:p w14:paraId="7C190858">
            <w:pPr>
              <w:jc w:val="center"/>
              <w:rPr>
                <w:rFonts w:ascii="宋体" w:hAnsi="宋体"/>
                <w:color w:val="auto"/>
                <w:szCs w:val="44"/>
                <w:highlight w:val="none"/>
              </w:rPr>
            </w:pPr>
          </w:p>
        </w:tc>
        <w:tc>
          <w:tcPr>
            <w:tcW w:w="1340" w:type="dxa"/>
            <w:vAlign w:val="center"/>
          </w:tcPr>
          <w:p w14:paraId="59F2323A">
            <w:pPr>
              <w:jc w:val="center"/>
              <w:rPr>
                <w:rFonts w:ascii="宋体" w:hAnsi="宋体"/>
                <w:color w:val="auto"/>
                <w:szCs w:val="44"/>
                <w:highlight w:val="none"/>
              </w:rPr>
            </w:pPr>
          </w:p>
        </w:tc>
        <w:tc>
          <w:tcPr>
            <w:tcW w:w="1351" w:type="dxa"/>
            <w:vAlign w:val="center"/>
          </w:tcPr>
          <w:p w14:paraId="71C82FA5">
            <w:pPr>
              <w:jc w:val="center"/>
              <w:rPr>
                <w:rFonts w:ascii="宋体" w:hAnsi="宋体"/>
                <w:color w:val="auto"/>
                <w:szCs w:val="44"/>
                <w:highlight w:val="none"/>
              </w:rPr>
            </w:pPr>
          </w:p>
        </w:tc>
        <w:tc>
          <w:tcPr>
            <w:tcW w:w="2069" w:type="dxa"/>
            <w:vAlign w:val="center"/>
          </w:tcPr>
          <w:p w14:paraId="0DBE591C">
            <w:pPr>
              <w:jc w:val="center"/>
              <w:rPr>
                <w:rFonts w:ascii="宋体" w:hAnsi="宋体"/>
                <w:color w:val="auto"/>
                <w:szCs w:val="44"/>
                <w:highlight w:val="none"/>
              </w:rPr>
            </w:pPr>
          </w:p>
        </w:tc>
      </w:tr>
      <w:tr w14:paraId="5C85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5F5C024F">
            <w:pPr>
              <w:jc w:val="center"/>
              <w:rPr>
                <w:rFonts w:ascii="宋体" w:hAnsi="宋体"/>
                <w:color w:val="auto"/>
                <w:szCs w:val="44"/>
                <w:highlight w:val="none"/>
              </w:rPr>
            </w:pPr>
            <w:r>
              <w:rPr>
                <w:rFonts w:hint="eastAsia" w:ascii="宋体" w:hAnsi="宋体"/>
                <w:color w:val="auto"/>
                <w:szCs w:val="44"/>
                <w:highlight w:val="none"/>
              </w:rPr>
              <w:t>3</w:t>
            </w:r>
          </w:p>
        </w:tc>
        <w:tc>
          <w:tcPr>
            <w:tcW w:w="1787" w:type="dxa"/>
            <w:vAlign w:val="center"/>
          </w:tcPr>
          <w:p w14:paraId="4E5DAB1C">
            <w:pPr>
              <w:jc w:val="center"/>
              <w:rPr>
                <w:rFonts w:ascii="宋体" w:hAnsi="宋体"/>
                <w:color w:val="auto"/>
                <w:szCs w:val="44"/>
                <w:highlight w:val="none"/>
              </w:rPr>
            </w:pPr>
          </w:p>
        </w:tc>
        <w:tc>
          <w:tcPr>
            <w:tcW w:w="1339" w:type="dxa"/>
            <w:vAlign w:val="center"/>
          </w:tcPr>
          <w:p w14:paraId="14045D69">
            <w:pPr>
              <w:jc w:val="center"/>
              <w:rPr>
                <w:color w:val="auto"/>
                <w:highlight w:val="none"/>
              </w:rPr>
            </w:pPr>
          </w:p>
        </w:tc>
        <w:tc>
          <w:tcPr>
            <w:tcW w:w="1340" w:type="dxa"/>
            <w:vAlign w:val="center"/>
          </w:tcPr>
          <w:p w14:paraId="32A8375C">
            <w:pPr>
              <w:jc w:val="center"/>
              <w:rPr>
                <w:rFonts w:ascii="宋体" w:hAnsi="宋体"/>
                <w:color w:val="auto"/>
                <w:szCs w:val="44"/>
                <w:highlight w:val="none"/>
              </w:rPr>
            </w:pPr>
          </w:p>
        </w:tc>
        <w:tc>
          <w:tcPr>
            <w:tcW w:w="1340" w:type="dxa"/>
            <w:vAlign w:val="center"/>
          </w:tcPr>
          <w:p w14:paraId="2A941C90">
            <w:pPr>
              <w:jc w:val="center"/>
              <w:rPr>
                <w:rFonts w:ascii="宋体" w:hAnsi="宋体"/>
                <w:color w:val="auto"/>
                <w:szCs w:val="44"/>
                <w:highlight w:val="none"/>
              </w:rPr>
            </w:pPr>
          </w:p>
        </w:tc>
        <w:tc>
          <w:tcPr>
            <w:tcW w:w="1339" w:type="dxa"/>
            <w:vAlign w:val="center"/>
          </w:tcPr>
          <w:p w14:paraId="3D074C57">
            <w:pPr>
              <w:jc w:val="center"/>
              <w:rPr>
                <w:rFonts w:ascii="宋体" w:hAnsi="宋体"/>
                <w:color w:val="auto"/>
                <w:szCs w:val="44"/>
                <w:highlight w:val="none"/>
              </w:rPr>
            </w:pPr>
          </w:p>
        </w:tc>
        <w:tc>
          <w:tcPr>
            <w:tcW w:w="1340" w:type="dxa"/>
            <w:vAlign w:val="center"/>
          </w:tcPr>
          <w:p w14:paraId="1AB9FC79">
            <w:pPr>
              <w:jc w:val="center"/>
              <w:rPr>
                <w:rFonts w:ascii="宋体" w:hAnsi="宋体"/>
                <w:color w:val="auto"/>
                <w:szCs w:val="44"/>
                <w:highlight w:val="none"/>
              </w:rPr>
            </w:pPr>
          </w:p>
        </w:tc>
        <w:tc>
          <w:tcPr>
            <w:tcW w:w="1340" w:type="dxa"/>
            <w:vAlign w:val="center"/>
          </w:tcPr>
          <w:p w14:paraId="5D4EDC4D">
            <w:pPr>
              <w:jc w:val="center"/>
              <w:rPr>
                <w:rFonts w:ascii="宋体" w:hAnsi="宋体"/>
                <w:color w:val="auto"/>
                <w:szCs w:val="44"/>
                <w:highlight w:val="none"/>
              </w:rPr>
            </w:pPr>
          </w:p>
        </w:tc>
        <w:tc>
          <w:tcPr>
            <w:tcW w:w="1351" w:type="dxa"/>
            <w:vAlign w:val="center"/>
          </w:tcPr>
          <w:p w14:paraId="3480A1AA">
            <w:pPr>
              <w:jc w:val="center"/>
              <w:rPr>
                <w:rFonts w:ascii="宋体" w:hAnsi="宋体"/>
                <w:color w:val="auto"/>
                <w:szCs w:val="44"/>
                <w:highlight w:val="none"/>
              </w:rPr>
            </w:pPr>
          </w:p>
        </w:tc>
        <w:tc>
          <w:tcPr>
            <w:tcW w:w="2069" w:type="dxa"/>
            <w:vAlign w:val="center"/>
          </w:tcPr>
          <w:p w14:paraId="29CF8339">
            <w:pPr>
              <w:jc w:val="center"/>
              <w:rPr>
                <w:rFonts w:ascii="宋体" w:hAnsi="宋体"/>
                <w:color w:val="auto"/>
                <w:szCs w:val="44"/>
                <w:highlight w:val="none"/>
              </w:rPr>
            </w:pPr>
          </w:p>
        </w:tc>
      </w:tr>
      <w:tr w14:paraId="5958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26E08D89">
            <w:pPr>
              <w:jc w:val="center"/>
              <w:rPr>
                <w:rFonts w:ascii="宋体" w:hAnsi="宋体"/>
                <w:color w:val="auto"/>
                <w:szCs w:val="44"/>
                <w:highlight w:val="none"/>
              </w:rPr>
            </w:pPr>
            <w:r>
              <w:rPr>
                <w:rFonts w:hint="eastAsia" w:ascii="宋体" w:hAnsi="宋体"/>
                <w:color w:val="auto"/>
                <w:szCs w:val="44"/>
                <w:highlight w:val="none"/>
              </w:rPr>
              <w:t>4</w:t>
            </w:r>
          </w:p>
        </w:tc>
        <w:tc>
          <w:tcPr>
            <w:tcW w:w="1787" w:type="dxa"/>
            <w:vAlign w:val="center"/>
          </w:tcPr>
          <w:p w14:paraId="7021A553">
            <w:pPr>
              <w:jc w:val="center"/>
              <w:rPr>
                <w:rFonts w:ascii="宋体" w:hAnsi="宋体"/>
                <w:color w:val="auto"/>
                <w:szCs w:val="44"/>
                <w:highlight w:val="none"/>
              </w:rPr>
            </w:pPr>
          </w:p>
        </w:tc>
        <w:tc>
          <w:tcPr>
            <w:tcW w:w="1339" w:type="dxa"/>
            <w:vAlign w:val="center"/>
          </w:tcPr>
          <w:p w14:paraId="34803C78">
            <w:pPr>
              <w:jc w:val="center"/>
              <w:rPr>
                <w:color w:val="auto"/>
                <w:highlight w:val="none"/>
              </w:rPr>
            </w:pPr>
          </w:p>
        </w:tc>
        <w:tc>
          <w:tcPr>
            <w:tcW w:w="1340" w:type="dxa"/>
            <w:vAlign w:val="center"/>
          </w:tcPr>
          <w:p w14:paraId="3830E904">
            <w:pPr>
              <w:jc w:val="center"/>
              <w:rPr>
                <w:rFonts w:ascii="宋体" w:hAnsi="宋体"/>
                <w:color w:val="auto"/>
                <w:szCs w:val="44"/>
                <w:highlight w:val="none"/>
              </w:rPr>
            </w:pPr>
          </w:p>
        </w:tc>
        <w:tc>
          <w:tcPr>
            <w:tcW w:w="1340" w:type="dxa"/>
            <w:vAlign w:val="center"/>
          </w:tcPr>
          <w:p w14:paraId="1E961304">
            <w:pPr>
              <w:jc w:val="center"/>
              <w:rPr>
                <w:rFonts w:ascii="宋体" w:hAnsi="宋体"/>
                <w:color w:val="auto"/>
                <w:szCs w:val="44"/>
                <w:highlight w:val="none"/>
              </w:rPr>
            </w:pPr>
          </w:p>
        </w:tc>
        <w:tc>
          <w:tcPr>
            <w:tcW w:w="1339" w:type="dxa"/>
            <w:vAlign w:val="center"/>
          </w:tcPr>
          <w:p w14:paraId="35916E77">
            <w:pPr>
              <w:jc w:val="center"/>
              <w:rPr>
                <w:rFonts w:ascii="宋体" w:hAnsi="宋体"/>
                <w:color w:val="auto"/>
                <w:szCs w:val="44"/>
                <w:highlight w:val="none"/>
              </w:rPr>
            </w:pPr>
          </w:p>
        </w:tc>
        <w:tc>
          <w:tcPr>
            <w:tcW w:w="1340" w:type="dxa"/>
            <w:vAlign w:val="center"/>
          </w:tcPr>
          <w:p w14:paraId="740C5C57">
            <w:pPr>
              <w:jc w:val="center"/>
              <w:rPr>
                <w:rFonts w:ascii="宋体" w:hAnsi="宋体"/>
                <w:color w:val="auto"/>
                <w:szCs w:val="44"/>
                <w:highlight w:val="none"/>
              </w:rPr>
            </w:pPr>
          </w:p>
        </w:tc>
        <w:tc>
          <w:tcPr>
            <w:tcW w:w="1340" w:type="dxa"/>
            <w:vAlign w:val="center"/>
          </w:tcPr>
          <w:p w14:paraId="7D4EB599">
            <w:pPr>
              <w:jc w:val="center"/>
              <w:rPr>
                <w:rFonts w:ascii="宋体" w:hAnsi="宋体"/>
                <w:color w:val="auto"/>
                <w:szCs w:val="44"/>
                <w:highlight w:val="none"/>
              </w:rPr>
            </w:pPr>
          </w:p>
        </w:tc>
        <w:tc>
          <w:tcPr>
            <w:tcW w:w="1351" w:type="dxa"/>
            <w:vAlign w:val="center"/>
          </w:tcPr>
          <w:p w14:paraId="0C4504C3">
            <w:pPr>
              <w:jc w:val="center"/>
              <w:rPr>
                <w:rFonts w:ascii="宋体" w:hAnsi="宋体"/>
                <w:color w:val="auto"/>
                <w:szCs w:val="44"/>
                <w:highlight w:val="none"/>
              </w:rPr>
            </w:pPr>
          </w:p>
        </w:tc>
        <w:tc>
          <w:tcPr>
            <w:tcW w:w="2069" w:type="dxa"/>
            <w:vAlign w:val="center"/>
          </w:tcPr>
          <w:p w14:paraId="68F101D5">
            <w:pPr>
              <w:jc w:val="center"/>
              <w:rPr>
                <w:rFonts w:ascii="宋体" w:hAnsi="宋体"/>
                <w:color w:val="auto"/>
                <w:szCs w:val="44"/>
                <w:highlight w:val="none"/>
              </w:rPr>
            </w:pPr>
          </w:p>
        </w:tc>
      </w:tr>
      <w:tr w14:paraId="7B2A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6E931EB3">
            <w:pPr>
              <w:jc w:val="center"/>
              <w:rPr>
                <w:rFonts w:ascii="宋体" w:hAnsi="宋体"/>
                <w:color w:val="auto"/>
                <w:szCs w:val="44"/>
                <w:highlight w:val="none"/>
              </w:rPr>
            </w:pPr>
            <w:r>
              <w:rPr>
                <w:rFonts w:hint="eastAsia" w:ascii="宋体" w:hAnsi="宋体"/>
                <w:color w:val="auto"/>
                <w:szCs w:val="44"/>
                <w:highlight w:val="none"/>
              </w:rPr>
              <w:t>5</w:t>
            </w:r>
          </w:p>
        </w:tc>
        <w:tc>
          <w:tcPr>
            <w:tcW w:w="1787" w:type="dxa"/>
            <w:vAlign w:val="center"/>
          </w:tcPr>
          <w:p w14:paraId="00736A2E">
            <w:pPr>
              <w:jc w:val="center"/>
              <w:rPr>
                <w:rFonts w:ascii="宋体" w:hAnsi="宋体"/>
                <w:color w:val="auto"/>
                <w:szCs w:val="44"/>
                <w:highlight w:val="none"/>
              </w:rPr>
            </w:pPr>
          </w:p>
        </w:tc>
        <w:tc>
          <w:tcPr>
            <w:tcW w:w="1339" w:type="dxa"/>
            <w:vAlign w:val="center"/>
          </w:tcPr>
          <w:p w14:paraId="0CF9FCAD">
            <w:pPr>
              <w:jc w:val="center"/>
              <w:rPr>
                <w:color w:val="auto"/>
                <w:highlight w:val="none"/>
              </w:rPr>
            </w:pPr>
          </w:p>
        </w:tc>
        <w:tc>
          <w:tcPr>
            <w:tcW w:w="1340" w:type="dxa"/>
            <w:vAlign w:val="center"/>
          </w:tcPr>
          <w:p w14:paraId="4C1D1E46">
            <w:pPr>
              <w:jc w:val="center"/>
              <w:rPr>
                <w:rFonts w:ascii="宋体" w:hAnsi="宋体"/>
                <w:color w:val="auto"/>
                <w:szCs w:val="44"/>
                <w:highlight w:val="none"/>
              </w:rPr>
            </w:pPr>
          </w:p>
        </w:tc>
        <w:tc>
          <w:tcPr>
            <w:tcW w:w="1340" w:type="dxa"/>
            <w:vAlign w:val="center"/>
          </w:tcPr>
          <w:p w14:paraId="6058EC23">
            <w:pPr>
              <w:jc w:val="center"/>
              <w:rPr>
                <w:rFonts w:ascii="宋体" w:hAnsi="宋体"/>
                <w:color w:val="auto"/>
                <w:szCs w:val="44"/>
                <w:highlight w:val="none"/>
              </w:rPr>
            </w:pPr>
          </w:p>
        </w:tc>
        <w:tc>
          <w:tcPr>
            <w:tcW w:w="1339" w:type="dxa"/>
            <w:vAlign w:val="center"/>
          </w:tcPr>
          <w:p w14:paraId="592BD839">
            <w:pPr>
              <w:jc w:val="center"/>
              <w:rPr>
                <w:rFonts w:ascii="宋体" w:hAnsi="宋体"/>
                <w:color w:val="auto"/>
                <w:szCs w:val="44"/>
                <w:highlight w:val="none"/>
              </w:rPr>
            </w:pPr>
          </w:p>
        </w:tc>
        <w:tc>
          <w:tcPr>
            <w:tcW w:w="1340" w:type="dxa"/>
            <w:vAlign w:val="center"/>
          </w:tcPr>
          <w:p w14:paraId="14A15018">
            <w:pPr>
              <w:jc w:val="center"/>
              <w:rPr>
                <w:rFonts w:ascii="宋体" w:hAnsi="宋体"/>
                <w:color w:val="auto"/>
                <w:szCs w:val="44"/>
                <w:highlight w:val="none"/>
              </w:rPr>
            </w:pPr>
          </w:p>
        </w:tc>
        <w:tc>
          <w:tcPr>
            <w:tcW w:w="1340" w:type="dxa"/>
            <w:vAlign w:val="center"/>
          </w:tcPr>
          <w:p w14:paraId="282D93E4">
            <w:pPr>
              <w:jc w:val="center"/>
              <w:rPr>
                <w:rFonts w:ascii="宋体" w:hAnsi="宋体"/>
                <w:color w:val="auto"/>
                <w:szCs w:val="44"/>
                <w:highlight w:val="none"/>
              </w:rPr>
            </w:pPr>
          </w:p>
        </w:tc>
        <w:tc>
          <w:tcPr>
            <w:tcW w:w="1351" w:type="dxa"/>
            <w:vAlign w:val="center"/>
          </w:tcPr>
          <w:p w14:paraId="22F18BF9">
            <w:pPr>
              <w:jc w:val="center"/>
              <w:rPr>
                <w:rFonts w:ascii="宋体" w:hAnsi="宋体"/>
                <w:color w:val="auto"/>
                <w:szCs w:val="44"/>
                <w:highlight w:val="none"/>
              </w:rPr>
            </w:pPr>
          </w:p>
        </w:tc>
        <w:tc>
          <w:tcPr>
            <w:tcW w:w="2069" w:type="dxa"/>
            <w:vAlign w:val="center"/>
          </w:tcPr>
          <w:p w14:paraId="290715CE">
            <w:pPr>
              <w:jc w:val="center"/>
              <w:rPr>
                <w:rFonts w:ascii="宋体" w:hAnsi="宋体"/>
                <w:color w:val="auto"/>
                <w:szCs w:val="44"/>
                <w:highlight w:val="none"/>
              </w:rPr>
            </w:pPr>
          </w:p>
        </w:tc>
      </w:tr>
      <w:tr w14:paraId="2753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5F748F86">
            <w:pPr>
              <w:jc w:val="center"/>
              <w:rPr>
                <w:rFonts w:ascii="宋体" w:hAnsi="宋体"/>
                <w:color w:val="auto"/>
                <w:szCs w:val="44"/>
                <w:highlight w:val="none"/>
              </w:rPr>
            </w:pPr>
            <w:r>
              <w:rPr>
                <w:rFonts w:hint="eastAsia" w:ascii="宋体" w:hAnsi="宋体"/>
                <w:color w:val="auto"/>
                <w:szCs w:val="44"/>
                <w:highlight w:val="none"/>
              </w:rPr>
              <w:t>6</w:t>
            </w:r>
          </w:p>
        </w:tc>
        <w:tc>
          <w:tcPr>
            <w:tcW w:w="1787" w:type="dxa"/>
            <w:vAlign w:val="center"/>
          </w:tcPr>
          <w:p w14:paraId="0BBE822D">
            <w:pPr>
              <w:jc w:val="center"/>
              <w:rPr>
                <w:rFonts w:ascii="宋体" w:hAnsi="宋体"/>
                <w:color w:val="auto"/>
                <w:szCs w:val="44"/>
                <w:highlight w:val="none"/>
              </w:rPr>
            </w:pPr>
          </w:p>
        </w:tc>
        <w:tc>
          <w:tcPr>
            <w:tcW w:w="1339" w:type="dxa"/>
            <w:vAlign w:val="center"/>
          </w:tcPr>
          <w:p w14:paraId="4A4F0F3D">
            <w:pPr>
              <w:jc w:val="center"/>
              <w:rPr>
                <w:color w:val="auto"/>
                <w:highlight w:val="none"/>
              </w:rPr>
            </w:pPr>
          </w:p>
        </w:tc>
        <w:tc>
          <w:tcPr>
            <w:tcW w:w="1340" w:type="dxa"/>
            <w:vAlign w:val="center"/>
          </w:tcPr>
          <w:p w14:paraId="1D69B175">
            <w:pPr>
              <w:jc w:val="center"/>
              <w:rPr>
                <w:rFonts w:ascii="宋体" w:hAnsi="宋体"/>
                <w:color w:val="auto"/>
                <w:szCs w:val="44"/>
                <w:highlight w:val="none"/>
              </w:rPr>
            </w:pPr>
          </w:p>
        </w:tc>
        <w:tc>
          <w:tcPr>
            <w:tcW w:w="1340" w:type="dxa"/>
            <w:vAlign w:val="center"/>
          </w:tcPr>
          <w:p w14:paraId="709B3A53">
            <w:pPr>
              <w:jc w:val="center"/>
              <w:rPr>
                <w:rFonts w:ascii="宋体" w:hAnsi="宋体"/>
                <w:color w:val="auto"/>
                <w:szCs w:val="44"/>
                <w:highlight w:val="none"/>
              </w:rPr>
            </w:pPr>
          </w:p>
        </w:tc>
        <w:tc>
          <w:tcPr>
            <w:tcW w:w="1339" w:type="dxa"/>
            <w:vAlign w:val="center"/>
          </w:tcPr>
          <w:p w14:paraId="6563B868">
            <w:pPr>
              <w:jc w:val="center"/>
              <w:rPr>
                <w:rFonts w:ascii="宋体" w:hAnsi="宋体"/>
                <w:color w:val="auto"/>
                <w:szCs w:val="44"/>
                <w:highlight w:val="none"/>
              </w:rPr>
            </w:pPr>
          </w:p>
        </w:tc>
        <w:tc>
          <w:tcPr>
            <w:tcW w:w="1340" w:type="dxa"/>
            <w:vAlign w:val="center"/>
          </w:tcPr>
          <w:p w14:paraId="44183D11">
            <w:pPr>
              <w:jc w:val="center"/>
              <w:rPr>
                <w:rFonts w:ascii="宋体" w:hAnsi="宋体"/>
                <w:color w:val="auto"/>
                <w:szCs w:val="44"/>
                <w:highlight w:val="none"/>
              </w:rPr>
            </w:pPr>
          </w:p>
        </w:tc>
        <w:tc>
          <w:tcPr>
            <w:tcW w:w="1340" w:type="dxa"/>
            <w:vAlign w:val="center"/>
          </w:tcPr>
          <w:p w14:paraId="0CAF7DAA">
            <w:pPr>
              <w:jc w:val="center"/>
              <w:rPr>
                <w:rFonts w:ascii="宋体" w:hAnsi="宋体"/>
                <w:color w:val="auto"/>
                <w:szCs w:val="44"/>
                <w:highlight w:val="none"/>
              </w:rPr>
            </w:pPr>
          </w:p>
        </w:tc>
        <w:tc>
          <w:tcPr>
            <w:tcW w:w="1351" w:type="dxa"/>
            <w:vAlign w:val="center"/>
          </w:tcPr>
          <w:p w14:paraId="7E019B27">
            <w:pPr>
              <w:jc w:val="center"/>
              <w:rPr>
                <w:rFonts w:ascii="宋体" w:hAnsi="宋体"/>
                <w:color w:val="auto"/>
                <w:szCs w:val="44"/>
                <w:highlight w:val="none"/>
              </w:rPr>
            </w:pPr>
          </w:p>
        </w:tc>
        <w:tc>
          <w:tcPr>
            <w:tcW w:w="2069" w:type="dxa"/>
            <w:vAlign w:val="center"/>
          </w:tcPr>
          <w:p w14:paraId="68C7302C">
            <w:pPr>
              <w:jc w:val="center"/>
              <w:rPr>
                <w:rFonts w:ascii="宋体" w:hAnsi="宋体"/>
                <w:color w:val="auto"/>
                <w:szCs w:val="44"/>
                <w:highlight w:val="none"/>
              </w:rPr>
            </w:pPr>
          </w:p>
        </w:tc>
      </w:tr>
      <w:tr w14:paraId="3241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1162AE17">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87" w:type="dxa"/>
            <w:vAlign w:val="center"/>
          </w:tcPr>
          <w:p w14:paraId="54706B4D">
            <w:pPr>
              <w:rPr>
                <w:rFonts w:ascii="宋体" w:hAnsi="宋体"/>
                <w:color w:val="auto"/>
                <w:szCs w:val="21"/>
                <w:highlight w:val="none"/>
              </w:rPr>
            </w:pPr>
          </w:p>
        </w:tc>
        <w:tc>
          <w:tcPr>
            <w:tcW w:w="1339" w:type="dxa"/>
            <w:vAlign w:val="center"/>
          </w:tcPr>
          <w:p w14:paraId="647DF120">
            <w:pPr>
              <w:jc w:val="center"/>
              <w:rPr>
                <w:color w:val="auto"/>
                <w:highlight w:val="none"/>
              </w:rPr>
            </w:pPr>
          </w:p>
        </w:tc>
        <w:tc>
          <w:tcPr>
            <w:tcW w:w="1340" w:type="dxa"/>
            <w:vAlign w:val="center"/>
          </w:tcPr>
          <w:p w14:paraId="27156AEE">
            <w:pPr>
              <w:jc w:val="center"/>
              <w:rPr>
                <w:rFonts w:ascii="宋体" w:hAnsi="宋体"/>
                <w:color w:val="auto"/>
                <w:szCs w:val="44"/>
                <w:highlight w:val="none"/>
              </w:rPr>
            </w:pPr>
          </w:p>
        </w:tc>
        <w:tc>
          <w:tcPr>
            <w:tcW w:w="1340" w:type="dxa"/>
            <w:vAlign w:val="center"/>
          </w:tcPr>
          <w:p w14:paraId="2D5B99E0">
            <w:pPr>
              <w:jc w:val="center"/>
              <w:rPr>
                <w:rFonts w:ascii="宋体" w:hAnsi="宋体"/>
                <w:color w:val="auto"/>
                <w:szCs w:val="44"/>
                <w:highlight w:val="none"/>
              </w:rPr>
            </w:pPr>
          </w:p>
        </w:tc>
        <w:tc>
          <w:tcPr>
            <w:tcW w:w="1339" w:type="dxa"/>
            <w:vAlign w:val="center"/>
          </w:tcPr>
          <w:p w14:paraId="0D855E59">
            <w:pPr>
              <w:jc w:val="center"/>
              <w:rPr>
                <w:rFonts w:ascii="宋体" w:hAnsi="宋体"/>
                <w:color w:val="auto"/>
                <w:szCs w:val="44"/>
                <w:highlight w:val="none"/>
              </w:rPr>
            </w:pPr>
          </w:p>
        </w:tc>
        <w:tc>
          <w:tcPr>
            <w:tcW w:w="1340" w:type="dxa"/>
            <w:vAlign w:val="center"/>
          </w:tcPr>
          <w:p w14:paraId="5131548A">
            <w:pPr>
              <w:jc w:val="center"/>
              <w:rPr>
                <w:rFonts w:ascii="宋体" w:hAnsi="宋体"/>
                <w:color w:val="auto"/>
                <w:szCs w:val="44"/>
                <w:highlight w:val="none"/>
              </w:rPr>
            </w:pPr>
          </w:p>
        </w:tc>
        <w:tc>
          <w:tcPr>
            <w:tcW w:w="1340" w:type="dxa"/>
            <w:vAlign w:val="center"/>
          </w:tcPr>
          <w:p w14:paraId="4B451B96">
            <w:pPr>
              <w:jc w:val="center"/>
              <w:rPr>
                <w:rFonts w:ascii="宋体" w:hAnsi="宋体"/>
                <w:color w:val="auto"/>
                <w:szCs w:val="44"/>
                <w:highlight w:val="none"/>
              </w:rPr>
            </w:pPr>
          </w:p>
        </w:tc>
        <w:tc>
          <w:tcPr>
            <w:tcW w:w="1351" w:type="dxa"/>
            <w:vAlign w:val="center"/>
          </w:tcPr>
          <w:p w14:paraId="352501C6">
            <w:pPr>
              <w:jc w:val="center"/>
              <w:rPr>
                <w:rFonts w:ascii="宋体" w:hAnsi="宋体"/>
                <w:color w:val="auto"/>
                <w:szCs w:val="44"/>
                <w:highlight w:val="none"/>
              </w:rPr>
            </w:pPr>
          </w:p>
        </w:tc>
        <w:tc>
          <w:tcPr>
            <w:tcW w:w="2069" w:type="dxa"/>
            <w:vAlign w:val="center"/>
          </w:tcPr>
          <w:p w14:paraId="3227CB3A">
            <w:pPr>
              <w:jc w:val="center"/>
              <w:rPr>
                <w:rFonts w:ascii="宋体" w:hAnsi="宋体"/>
                <w:color w:val="auto"/>
                <w:szCs w:val="44"/>
                <w:highlight w:val="none"/>
              </w:rPr>
            </w:pPr>
          </w:p>
        </w:tc>
      </w:tr>
      <w:tr w14:paraId="5442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029" w:type="dxa"/>
            <w:gridSpan w:val="10"/>
            <w:vAlign w:val="center"/>
          </w:tcPr>
          <w:p w14:paraId="645B06AF">
            <w:pPr>
              <w:jc w:val="left"/>
              <w:rPr>
                <w:rFonts w:ascii="宋体" w:hAnsi="宋体"/>
                <w:color w:val="auto"/>
                <w:szCs w:val="44"/>
                <w:highlight w:val="none"/>
              </w:rPr>
            </w:pPr>
            <w:r>
              <w:rPr>
                <w:rFonts w:hint="eastAsia" w:ascii="宋体" w:hAnsi="宋体"/>
                <w:color w:val="auto"/>
                <w:szCs w:val="44"/>
                <w:highlight w:val="none"/>
              </w:rPr>
              <w:t>承包人建议书评委签名：</w:t>
            </w:r>
          </w:p>
          <w:p w14:paraId="4120A91A">
            <w:pPr>
              <w:jc w:val="center"/>
              <w:rPr>
                <w:rFonts w:ascii="宋体" w:hAnsi="宋体"/>
                <w:color w:val="auto"/>
                <w:szCs w:val="44"/>
                <w:highlight w:val="none"/>
              </w:rPr>
            </w:pPr>
          </w:p>
          <w:p w14:paraId="636D4751">
            <w:pPr>
              <w:jc w:val="center"/>
              <w:rPr>
                <w:rFonts w:ascii="宋体" w:hAnsi="宋体"/>
                <w:color w:val="auto"/>
                <w:szCs w:val="44"/>
                <w:highlight w:val="none"/>
              </w:rPr>
            </w:pPr>
          </w:p>
          <w:p w14:paraId="49826774">
            <w:pPr>
              <w:jc w:val="center"/>
              <w:rPr>
                <w:rFonts w:ascii="宋体" w:hAnsi="宋体"/>
                <w:color w:val="auto"/>
                <w:szCs w:val="44"/>
                <w:highlight w:val="none"/>
              </w:rPr>
            </w:pPr>
          </w:p>
        </w:tc>
      </w:tr>
    </w:tbl>
    <w:p w14:paraId="66CDBA90">
      <w:pPr>
        <w:ind w:right="420"/>
        <w:jc w:val="right"/>
        <w:rPr>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p w14:paraId="54CBA433">
      <w:pPr>
        <w:pStyle w:val="32"/>
        <w:ind w:firstLine="118"/>
        <w:rPr>
          <w:color w:val="auto"/>
          <w:highlight w:val="none"/>
        </w:rPr>
      </w:pPr>
      <w:bookmarkStart w:id="937" w:name="_Toc256000145"/>
      <w:bookmarkStart w:id="938" w:name="_Toc164716315"/>
      <w:bookmarkStart w:id="939" w:name="_Toc10018"/>
      <w:r>
        <w:rPr>
          <w:rFonts w:hint="eastAsia"/>
          <w:color w:val="auto"/>
          <w:highlight w:val="none"/>
        </w:rPr>
        <w:t>附表A-</w:t>
      </w:r>
      <w:r>
        <w:rPr>
          <w:color w:val="auto"/>
          <w:highlight w:val="none"/>
        </w:rPr>
        <w:t>12</w:t>
      </w:r>
      <w:r>
        <w:rPr>
          <w:rFonts w:hint="eastAsia"/>
          <w:color w:val="auto"/>
          <w:highlight w:val="none"/>
        </w:rPr>
        <w:t>：技术标评审记录表（评分）</w:t>
      </w:r>
      <w:bookmarkEnd w:id="937"/>
      <w:bookmarkEnd w:id="938"/>
      <w:bookmarkEnd w:id="939"/>
    </w:p>
    <w:p w14:paraId="2867426A">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w:t>
      </w:r>
    </w:p>
    <w:p w14:paraId="4F7A06ED">
      <w:pPr>
        <w:rPr>
          <w:rFonts w:ascii="宋体" w:hAnsi="宋体"/>
          <w:color w:val="auto"/>
          <w:szCs w:val="44"/>
          <w:highlight w:val="none"/>
        </w:rPr>
      </w:pPr>
      <w:r>
        <w:rPr>
          <w:rFonts w:hint="eastAsia" w:ascii="宋体" w:hAnsi="宋体"/>
          <w:color w:val="auto"/>
          <w:szCs w:val="44"/>
          <w:highlight w:val="none"/>
        </w:rPr>
        <w:t>标段名称：</w:t>
      </w:r>
    </w:p>
    <w:p w14:paraId="583EBC1E">
      <w:pPr>
        <w:rPr>
          <w:color w:val="auto"/>
          <w:szCs w:val="44"/>
          <w:highlight w:val="none"/>
        </w:rPr>
      </w:pPr>
      <w:r>
        <w:rPr>
          <w:rFonts w:hint="eastAsia"/>
          <w:color w:val="auto"/>
          <w:szCs w:val="44"/>
          <w:highlight w:val="none"/>
        </w:rPr>
        <w:t>标段唯一标识码：</w:t>
      </w:r>
    </w:p>
    <w:tbl>
      <w:tblPr>
        <w:tblStyle w:val="23"/>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2"/>
        <w:gridCol w:w="1342"/>
        <w:gridCol w:w="1343"/>
        <w:gridCol w:w="1343"/>
        <w:gridCol w:w="1342"/>
        <w:gridCol w:w="1343"/>
        <w:gridCol w:w="1343"/>
        <w:gridCol w:w="1355"/>
        <w:gridCol w:w="2182"/>
      </w:tblGrid>
      <w:tr w14:paraId="1265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85" w:type="dxa"/>
            <w:vMerge w:val="restart"/>
            <w:vAlign w:val="center"/>
          </w:tcPr>
          <w:p w14:paraId="5C84E8AE">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92" w:type="dxa"/>
            <w:vMerge w:val="restart"/>
            <w:vAlign w:val="center"/>
          </w:tcPr>
          <w:p w14:paraId="02D7D5B4">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11" w:type="dxa"/>
            <w:gridSpan w:val="7"/>
            <w:vAlign w:val="center"/>
          </w:tcPr>
          <w:p w14:paraId="28CD3A8E">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182" w:type="dxa"/>
            <w:vMerge w:val="restart"/>
            <w:vAlign w:val="center"/>
          </w:tcPr>
          <w:p w14:paraId="50214738">
            <w:pPr>
              <w:jc w:val="center"/>
              <w:rPr>
                <w:rFonts w:ascii="宋体" w:hAnsi="宋体"/>
                <w:b/>
                <w:bCs/>
                <w:color w:val="auto"/>
                <w:szCs w:val="44"/>
                <w:highlight w:val="none"/>
              </w:rPr>
            </w:pPr>
            <w:r>
              <w:rPr>
                <w:rFonts w:hint="eastAsia" w:ascii="宋体" w:hAnsi="宋体"/>
                <w:b/>
                <w:bCs/>
                <w:color w:val="auto"/>
                <w:szCs w:val="44"/>
                <w:highlight w:val="none"/>
              </w:rPr>
              <w:t>承包人实施方案最终得分</w:t>
            </w:r>
          </w:p>
        </w:tc>
      </w:tr>
      <w:tr w14:paraId="5181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85" w:type="dxa"/>
            <w:vMerge w:val="continue"/>
            <w:vAlign w:val="center"/>
          </w:tcPr>
          <w:p w14:paraId="32589F0D">
            <w:pPr>
              <w:jc w:val="center"/>
              <w:rPr>
                <w:rFonts w:ascii="宋体" w:hAnsi="宋体"/>
                <w:b/>
                <w:bCs/>
                <w:color w:val="auto"/>
                <w:szCs w:val="44"/>
                <w:highlight w:val="none"/>
              </w:rPr>
            </w:pPr>
          </w:p>
        </w:tc>
        <w:tc>
          <w:tcPr>
            <w:tcW w:w="1792" w:type="dxa"/>
            <w:vMerge w:val="continue"/>
          </w:tcPr>
          <w:p w14:paraId="502E62BA">
            <w:pPr>
              <w:jc w:val="center"/>
              <w:rPr>
                <w:rFonts w:ascii="宋体" w:hAnsi="宋体"/>
                <w:b/>
                <w:bCs/>
                <w:color w:val="auto"/>
                <w:szCs w:val="44"/>
                <w:highlight w:val="none"/>
              </w:rPr>
            </w:pPr>
          </w:p>
        </w:tc>
        <w:tc>
          <w:tcPr>
            <w:tcW w:w="1342" w:type="dxa"/>
            <w:vAlign w:val="center"/>
          </w:tcPr>
          <w:p w14:paraId="35477699">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3" w:type="dxa"/>
            <w:vAlign w:val="center"/>
          </w:tcPr>
          <w:p w14:paraId="709A4379">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3" w:type="dxa"/>
            <w:vAlign w:val="center"/>
          </w:tcPr>
          <w:p w14:paraId="09BC9E1A">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42" w:type="dxa"/>
            <w:vAlign w:val="center"/>
          </w:tcPr>
          <w:p w14:paraId="4069D330">
            <w:pPr>
              <w:jc w:val="center"/>
              <w:rPr>
                <w:rFonts w:ascii="宋体" w:hAnsi="宋体"/>
                <w:b/>
                <w:bCs/>
                <w:color w:val="auto"/>
                <w:szCs w:val="44"/>
                <w:highlight w:val="none"/>
              </w:rPr>
            </w:pPr>
          </w:p>
        </w:tc>
        <w:tc>
          <w:tcPr>
            <w:tcW w:w="1343" w:type="dxa"/>
            <w:vAlign w:val="center"/>
          </w:tcPr>
          <w:p w14:paraId="3FB07C61">
            <w:pPr>
              <w:jc w:val="center"/>
              <w:rPr>
                <w:rFonts w:ascii="宋体" w:hAnsi="宋体"/>
                <w:b/>
                <w:bCs/>
                <w:color w:val="auto"/>
                <w:szCs w:val="44"/>
                <w:highlight w:val="none"/>
              </w:rPr>
            </w:pPr>
          </w:p>
        </w:tc>
        <w:tc>
          <w:tcPr>
            <w:tcW w:w="1343" w:type="dxa"/>
            <w:vAlign w:val="center"/>
          </w:tcPr>
          <w:p w14:paraId="3BA08031">
            <w:pPr>
              <w:jc w:val="center"/>
              <w:rPr>
                <w:rFonts w:ascii="宋体" w:hAnsi="宋体"/>
                <w:b/>
                <w:bCs/>
                <w:color w:val="auto"/>
                <w:szCs w:val="44"/>
                <w:highlight w:val="none"/>
              </w:rPr>
            </w:pPr>
          </w:p>
        </w:tc>
        <w:tc>
          <w:tcPr>
            <w:tcW w:w="1355" w:type="dxa"/>
            <w:vAlign w:val="center"/>
          </w:tcPr>
          <w:p w14:paraId="12EE897B">
            <w:pPr>
              <w:jc w:val="center"/>
              <w:rPr>
                <w:rFonts w:ascii="宋体" w:hAnsi="宋体"/>
                <w:b/>
                <w:bCs/>
                <w:color w:val="auto"/>
                <w:szCs w:val="44"/>
                <w:highlight w:val="none"/>
              </w:rPr>
            </w:pPr>
          </w:p>
        </w:tc>
        <w:tc>
          <w:tcPr>
            <w:tcW w:w="2182" w:type="dxa"/>
            <w:vMerge w:val="continue"/>
            <w:vAlign w:val="center"/>
          </w:tcPr>
          <w:p w14:paraId="3C8AB75D">
            <w:pPr>
              <w:jc w:val="center"/>
              <w:rPr>
                <w:rFonts w:ascii="宋体" w:hAnsi="宋体"/>
                <w:b/>
                <w:bCs/>
                <w:color w:val="auto"/>
                <w:szCs w:val="44"/>
                <w:highlight w:val="none"/>
              </w:rPr>
            </w:pPr>
          </w:p>
        </w:tc>
      </w:tr>
      <w:tr w14:paraId="7E58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3636DF6D">
            <w:pPr>
              <w:jc w:val="center"/>
              <w:rPr>
                <w:rFonts w:ascii="宋体" w:hAnsi="宋体"/>
                <w:color w:val="auto"/>
                <w:szCs w:val="44"/>
                <w:highlight w:val="none"/>
              </w:rPr>
            </w:pPr>
            <w:r>
              <w:rPr>
                <w:rFonts w:hint="eastAsia" w:ascii="宋体" w:hAnsi="宋体"/>
                <w:color w:val="auto"/>
                <w:szCs w:val="44"/>
                <w:highlight w:val="none"/>
              </w:rPr>
              <w:t>1</w:t>
            </w:r>
          </w:p>
        </w:tc>
        <w:tc>
          <w:tcPr>
            <w:tcW w:w="1792" w:type="dxa"/>
            <w:vAlign w:val="center"/>
          </w:tcPr>
          <w:p w14:paraId="4F56DA39">
            <w:pPr>
              <w:jc w:val="center"/>
              <w:rPr>
                <w:rFonts w:ascii="宋体" w:hAnsi="宋体"/>
                <w:color w:val="auto"/>
                <w:szCs w:val="21"/>
                <w:highlight w:val="none"/>
              </w:rPr>
            </w:pPr>
          </w:p>
        </w:tc>
        <w:tc>
          <w:tcPr>
            <w:tcW w:w="1342" w:type="dxa"/>
            <w:vAlign w:val="center"/>
          </w:tcPr>
          <w:p w14:paraId="350929FB">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3" w:type="dxa"/>
            <w:vAlign w:val="center"/>
          </w:tcPr>
          <w:p w14:paraId="555A2163">
            <w:pPr>
              <w:jc w:val="center"/>
              <w:rPr>
                <w:rFonts w:ascii="宋体" w:hAnsi="宋体"/>
                <w:color w:val="auto"/>
                <w:szCs w:val="44"/>
                <w:highlight w:val="none"/>
              </w:rPr>
            </w:pPr>
          </w:p>
        </w:tc>
        <w:tc>
          <w:tcPr>
            <w:tcW w:w="1343" w:type="dxa"/>
            <w:vAlign w:val="center"/>
          </w:tcPr>
          <w:p w14:paraId="3F1151F9">
            <w:pPr>
              <w:jc w:val="center"/>
              <w:rPr>
                <w:rFonts w:ascii="宋体" w:hAnsi="宋体"/>
                <w:color w:val="auto"/>
                <w:szCs w:val="44"/>
                <w:highlight w:val="none"/>
              </w:rPr>
            </w:pPr>
          </w:p>
        </w:tc>
        <w:tc>
          <w:tcPr>
            <w:tcW w:w="1342" w:type="dxa"/>
            <w:vAlign w:val="center"/>
          </w:tcPr>
          <w:p w14:paraId="0F339290">
            <w:pPr>
              <w:jc w:val="center"/>
              <w:rPr>
                <w:rFonts w:ascii="宋体" w:hAnsi="宋体"/>
                <w:color w:val="auto"/>
                <w:szCs w:val="44"/>
                <w:highlight w:val="none"/>
              </w:rPr>
            </w:pPr>
          </w:p>
        </w:tc>
        <w:tc>
          <w:tcPr>
            <w:tcW w:w="1343" w:type="dxa"/>
            <w:vAlign w:val="center"/>
          </w:tcPr>
          <w:p w14:paraId="4EFFE49D">
            <w:pPr>
              <w:jc w:val="center"/>
              <w:rPr>
                <w:rFonts w:ascii="宋体" w:hAnsi="宋体"/>
                <w:color w:val="auto"/>
                <w:szCs w:val="44"/>
                <w:highlight w:val="none"/>
              </w:rPr>
            </w:pPr>
          </w:p>
        </w:tc>
        <w:tc>
          <w:tcPr>
            <w:tcW w:w="1343" w:type="dxa"/>
            <w:vAlign w:val="center"/>
          </w:tcPr>
          <w:p w14:paraId="71320AE8">
            <w:pPr>
              <w:jc w:val="center"/>
              <w:rPr>
                <w:rFonts w:ascii="宋体" w:hAnsi="宋体"/>
                <w:color w:val="auto"/>
                <w:szCs w:val="44"/>
                <w:highlight w:val="none"/>
              </w:rPr>
            </w:pPr>
          </w:p>
        </w:tc>
        <w:tc>
          <w:tcPr>
            <w:tcW w:w="1355" w:type="dxa"/>
            <w:vAlign w:val="center"/>
          </w:tcPr>
          <w:p w14:paraId="6B759A9D">
            <w:pPr>
              <w:jc w:val="center"/>
              <w:rPr>
                <w:rFonts w:ascii="宋体" w:hAnsi="宋体"/>
                <w:color w:val="auto"/>
                <w:szCs w:val="44"/>
                <w:highlight w:val="none"/>
              </w:rPr>
            </w:pPr>
          </w:p>
        </w:tc>
        <w:tc>
          <w:tcPr>
            <w:tcW w:w="2182" w:type="dxa"/>
            <w:vAlign w:val="center"/>
          </w:tcPr>
          <w:p w14:paraId="7C6DEA44">
            <w:pPr>
              <w:jc w:val="center"/>
              <w:rPr>
                <w:rFonts w:ascii="宋体" w:hAnsi="宋体"/>
                <w:color w:val="auto"/>
                <w:szCs w:val="44"/>
                <w:highlight w:val="none"/>
              </w:rPr>
            </w:pPr>
          </w:p>
        </w:tc>
      </w:tr>
      <w:tr w14:paraId="731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28CC0F2C">
            <w:pPr>
              <w:jc w:val="center"/>
              <w:rPr>
                <w:rFonts w:ascii="宋体" w:hAnsi="宋体"/>
                <w:color w:val="auto"/>
                <w:szCs w:val="44"/>
                <w:highlight w:val="none"/>
              </w:rPr>
            </w:pPr>
            <w:r>
              <w:rPr>
                <w:rFonts w:hint="eastAsia" w:ascii="宋体" w:hAnsi="宋体"/>
                <w:color w:val="auto"/>
                <w:szCs w:val="44"/>
                <w:highlight w:val="none"/>
              </w:rPr>
              <w:t>2</w:t>
            </w:r>
          </w:p>
        </w:tc>
        <w:tc>
          <w:tcPr>
            <w:tcW w:w="1792" w:type="dxa"/>
            <w:vAlign w:val="center"/>
          </w:tcPr>
          <w:p w14:paraId="48E67ABE">
            <w:pPr>
              <w:jc w:val="center"/>
              <w:rPr>
                <w:rFonts w:ascii="宋体" w:hAnsi="宋体"/>
                <w:color w:val="auto"/>
                <w:szCs w:val="44"/>
                <w:highlight w:val="none"/>
              </w:rPr>
            </w:pPr>
          </w:p>
        </w:tc>
        <w:tc>
          <w:tcPr>
            <w:tcW w:w="1342" w:type="dxa"/>
            <w:vAlign w:val="center"/>
          </w:tcPr>
          <w:p w14:paraId="5CAFCCB3">
            <w:pPr>
              <w:jc w:val="center"/>
              <w:rPr>
                <w:color w:val="auto"/>
                <w:highlight w:val="none"/>
              </w:rPr>
            </w:pPr>
          </w:p>
        </w:tc>
        <w:tc>
          <w:tcPr>
            <w:tcW w:w="1343" w:type="dxa"/>
            <w:vAlign w:val="center"/>
          </w:tcPr>
          <w:p w14:paraId="556F1570">
            <w:pPr>
              <w:jc w:val="center"/>
              <w:rPr>
                <w:rFonts w:ascii="宋体" w:hAnsi="宋体"/>
                <w:color w:val="auto"/>
                <w:szCs w:val="44"/>
                <w:highlight w:val="none"/>
              </w:rPr>
            </w:pPr>
          </w:p>
        </w:tc>
        <w:tc>
          <w:tcPr>
            <w:tcW w:w="1343" w:type="dxa"/>
            <w:vAlign w:val="center"/>
          </w:tcPr>
          <w:p w14:paraId="39A6821E">
            <w:pPr>
              <w:jc w:val="center"/>
              <w:rPr>
                <w:rFonts w:ascii="宋体" w:hAnsi="宋体"/>
                <w:color w:val="auto"/>
                <w:szCs w:val="44"/>
                <w:highlight w:val="none"/>
              </w:rPr>
            </w:pPr>
          </w:p>
        </w:tc>
        <w:tc>
          <w:tcPr>
            <w:tcW w:w="1342" w:type="dxa"/>
            <w:vAlign w:val="center"/>
          </w:tcPr>
          <w:p w14:paraId="216A8390">
            <w:pPr>
              <w:jc w:val="center"/>
              <w:rPr>
                <w:rFonts w:ascii="宋体" w:hAnsi="宋体"/>
                <w:color w:val="auto"/>
                <w:szCs w:val="44"/>
                <w:highlight w:val="none"/>
              </w:rPr>
            </w:pPr>
          </w:p>
        </w:tc>
        <w:tc>
          <w:tcPr>
            <w:tcW w:w="1343" w:type="dxa"/>
            <w:vAlign w:val="center"/>
          </w:tcPr>
          <w:p w14:paraId="3515187B">
            <w:pPr>
              <w:jc w:val="center"/>
              <w:rPr>
                <w:rFonts w:ascii="宋体" w:hAnsi="宋体"/>
                <w:color w:val="auto"/>
                <w:szCs w:val="44"/>
                <w:highlight w:val="none"/>
              </w:rPr>
            </w:pPr>
          </w:p>
        </w:tc>
        <w:tc>
          <w:tcPr>
            <w:tcW w:w="1343" w:type="dxa"/>
            <w:vAlign w:val="center"/>
          </w:tcPr>
          <w:p w14:paraId="5F15DF5B">
            <w:pPr>
              <w:jc w:val="center"/>
              <w:rPr>
                <w:rFonts w:ascii="宋体" w:hAnsi="宋体"/>
                <w:color w:val="auto"/>
                <w:szCs w:val="44"/>
                <w:highlight w:val="none"/>
              </w:rPr>
            </w:pPr>
          </w:p>
        </w:tc>
        <w:tc>
          <w:tcPr>
            <w:tcW w:w="1355" w:type="dxa"/>
            <w:vAlign w:val="center"/>
          </w:tcPr>
          <w:p w14:paraId="5B8F51F2">
            <w:pPr>
              <w:jc w:val="center"/>
              <w:rPr>
                <w:rFonts w:ascii="宋体" w:hAnsi="宋体"/>
                <w:color w:val="auto"/>
                <w:szCs w:val="44"/>
                <w:highlight w:val="none"/>
              </w:rPr>
            </w:pPr>
          </w:p>
        </w:tc>
        <w:tc>
          <w:tcPr>
            <w:tcW w:w="2182" w:type="dxa"/>
            <w:vAlign w:val="center"/>
          </w:tcPr>
          <w:p w14:paraId="327E8063">
            <w:pPr>
              <w:jc w:val="center"/>
              <w:rPr>
                <w:rFonts w:ascii="宋体" w:hAnsi="宋体"/>
                <w:color w:val="auto"/>
                <w:szCs w:val="44"/>
                <w:highlight w:val="none"/>
              </w:rPr>
            </w:pPr>
          </w:p>
        </w:tc>
      </w:tr>
      <w:tr w14:paraId="035A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118BEC87">
            <w:pPr>
              <w:jc w:val="center"/>
              <w:rPr>
                <w:rFonts w:ascii="宋体" w:hAnsi="宋体"/>
                <w:color w:val="auto"/>
                <w:szCs w:val="44"/>
                <w:highlight w:val="none"/>
              </w:rPr>
            </w:pPr>
            <w:r>
              <w:rPr>
                <w:rFonts w:hint="eastAsia" w:ascii="宋体" w:hAnsi="宋体"/>
                <w:color w:val="auto"/>
                <w:szCs w:val="44"/>
                <w:highlight w:val="none"/>
              </w:rPr>
              <w:t>3</w:t>
            </w:r>
          </w:p>
        </w:tc>
        <w:tc>
          <w:tcPr>
            <w:tcW w:w="1792" w:type="dxa"/>
            <w:vAlign w:val="center"/>
          </w:tcPr>
          <w:p w14:paraId="549B6ED6">
            <w:pPr>
              <w:jc w:val="center"/>
              <w:rPr>
                <w:rFonts w:ascii="宋体" w:hAnsi="宋体"/>
                <w:color w:val="auto"/>
                <w:szCs w:val="44"/>
                <w:highlight w:val="none"/>
              </w:rPr>
            </w:pPr>
          </w:p>
        </w:tc>
        <w:tc>
          <w:tcPr>
            <w:tcW w:w="1342" w:type="dxa"/>
            <w:vAlign w:val="center"/>
          </w:tcPr>
          <w:p w14:paraId="63EE4625">
            <w:pPr>
              <w:jc w:val="center"/>
              <w:rPr>
                <w:color w:val="auto"/>
                <w:highlight w:val="none"/>
              </w:rPr>
            </w:pPr>
          </w:p>
        </w:tc>
        <w:tc>
          <w:tcPr>
            <w:tcW w:w="1343" w:type="dxa"/>
            <w:vAlign w:val="center"/>
          </w:tcPr>
          <w:p w14:paraId="3B02BBDB">
            <w:pPr>
              <w:jc w:val="center"/>
              <w:rPr>
                <w:rFonts w:ascii="宋体" w:hAnsi="宋体"/>
                <w:color w:val="auto"/>
                <w:szCs w:val="44"/>
                <w:highlight w:val="none"/>
              </w:rPr>
            </w:pPr>
          </w:p>
        </w:tc>
        <w:tc>
          <w:tcPr>
            <w:tcW w:w="1343" w:type="dxa"/>
            <w:vAlign w:val="center"/>
          </w:tcPr>
          <w:p w14:paraId="4DBE9212">
            <w:pPr>
              <w:jc w:val="center"/>
              <w:rPr>
                <w:rFonts w:ascii="宋体" w:hAnsi="宋体"/>
                <w:color w:val="auto"/>
                <w:szCs w:val="44"/>
                <w:highlight w:val="none"/>
              </w:rPr>
            </w:pPr>
          </w:p>
        </w:tc>
        <w:tc>
          <w:tcPr>
            <w:tcW w:w="1342" w:type="dxa"/>
            <w:vAlign w:val="center"/>
          </w:tcPr>
          <w:p w14:paraId="635E8150">
            <w:pPr>
              <w:jc w:val="center"/>
              <w:rPr>
                <w:rFonts w:ascii="宋体" w:hAnsi="宋体"/>
                <w:color w:val="auto"/>
                <w:szCs w:val="44"/>
                <w:highlight w:val="none"/>
              </w:rPr>
            </w:pPr>
          </w:p>
        </w:tc>
        <w:tc>
          <w:tcPr>
            <w:tcW w:w="1343" w:type="dxa"/>
            <w:vAlign w:val="center"/>
          </w:tcPr>
          <w:p w14:paraId="15988D61">
            <w:pPr>
              <w:jc w:val="center"/>
              <w:rPr>
                <w:rFonts w:ascii="宋体" w:hAnsi="宋体"/>
                <w:color w:val="auto"/>
                <w:szCs w:val="44"/>
                <w:highlight w:val="none"/>
              </w:rPr>
            </w:pPr>
          </w:p>
        </w:tc>
        <w:tc>
          <w:tcPr>
            <w:tcW w:w="1343" w:type="dxa"/>
            <w:vAlign w:val="center"/>
          </w:tcPr>
          <w:p w14:paraId="40695246">
            <w:pPr>
              <w:jc w:val="center"/>
              <w:rPr>
                <w:rFonts w:ascii="宋体" w:hAnsi="宋体"/>
                <w:color w:val="auto"/>
                <w:szCs w:val="44"/>
                <w:highlight w:val="none"/>
              </w:rPr>
            </w:pPr>
          </w:p>
        </w:tc>
        <w:tc>
          <w:tcPr>
            <w:tcW w:w="1355" w:type="dxa"/>
            <w:vAlign w:val="center"/>
          </w:tcPr>
          <w:p w14:paraId="3EA33EE6">
            <w:pPr>
              <w:jc w:val="center"/>
              <w:rPr>
                <w:rFonts w:ascii="宋体" w:hAnsi="宋体"/>
                <w:color w:val="auto"/>
                <w:szCs w:val="44"/>
                <w:highlight w:val="none"/>
              </w:rPr>
            </w:pPr>
          </w:p>
        </w:tc>
        <w:tc>
          <w:tcPr>
            <w:tcW w:w="2182" w:type="dxa"/>
            <w:vAlign w:val="center"/>
          </w:tcPr>
          <w:p w14:paraId="7068B84E">
            <w:pPr>
              <w:jc w:val="center"/>
              <w:rPr>
                <w:rFonts w:ascii="宋体" w:hAnsi="宋体"/>
                <w:color w:val="auto"/>
                <w:szCs w:val="44"/>
                <w:highlight w:val="none"/>
              </w:rPr>
            </w:pPr>
          </w:p>
        </w:tc>
      </w:tr>
      <w:tr w14:paraId="5F07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737ED7C1">
            <w:pPr>
              <w:jc w:val="center"/>
              <w:rPr>
                <w:rFonts w:ascii="宋体" w:hAnsi="宋体"/>
                <w:color w:val="auto"/>
                <w:szCs w:val="44"/>
                <w:highlight w:val="none"/>
              </w:rPr>
            </w:pPr>
            <w:r>
              <w:rPr>
                <w:rFonts w:hint="eastAsia" w:ascii="宋体" w:hAnsi="宋体"/>
                <w:color w:val="auto"/>
                <w:szCs w:val="44"/>
                <w:highlight w:val="none"/>
              </w:rPr>
              <w:t>4</w:t>
            </w:r>
          </w:p>
        </w:tc>
        <w:tc>
          <w:tcPr>
            <w:tcW w:w="1792" w:type="dxa"/>
            <w:vAlign w:val="center"/>
          </w:tcPr>
          <w:p w14:paraId="748DD3E4">
            <w:pPr>
              <w:jc w:val="center"/>
              <w:rPr>
                <w:rFonts w:ascii="宋体" w:hAnsi="宋体"/>
                <w:color w:val="auto"/>
                <w:szCs w:val="44"/>
                <w:highlight w:val="none"/>
              </w:rPr>
            </w:pPr>
          </w:p>
        </w:tc>
        <w:tc>
          <w:tcPr>
            <w:tcW w:w="1342" w:type="dxa"/>
            <w:vAlign w:val="center"/>
          </w:tcPr>
          <w:p w14:paraId="289C0F34">
            <w:pPr>
              <w:jc w:val="center"/>
              <w:rPr>
                <w:color w:val="auto"/>
                <w:highlight w:val="none"/>
              </w:rPr>
            </w:pPr>
          </w:p>
        </w:tc>
        <w:tc>
          <w:tcPr>
            <w:tcW w:w="1343" w:type="dxa"/>
            <w:vAlign w:val="center"/>
          </w:tcPr>
          <w:p w14:paraId="2B35EC5F">
            <w:pPr>
              <w:jc w:val="center"/>
              <w:rPr>
                <w:rFonts w:ascii="宋体" w:hAnsi="宋体"/>
                <w:color w:val="auto"/>
                <w:szCs w:val="44"/>
                <w:highlight w:val="none"/>
              </w:rPr>
            </w:pPr>
          </w:p>
        </w:tc>
        <w:tc>
          <w:tcPr>
            <w:tcW w:w="1343" w:type="dxa"/>
            <w:vAlign w:val="center"/>
          </w:tcPr>
          <w:p w14:paraId="2A8E0115">
            <w:pPr>
              <w:jc w:val="center"/>
              <w:rPr>
                <w:rFonts w:ascii="宋体" w:hAnsi="宋体"/>
                <w:color w:val="auto"/>
                <w:szCs w:val="44"/>
                <w:highlight w:val="none"/>
              </w:rPr>
            </w:pPr>
          </w:p>
        </w:tc>
        <w:tc>
          <w:tcPr>
            <w:tcW w:w="1342" w:type="dxa"/>
            <w:vAlign w:val="center"/>
          </w:tcPr>
          <w:p w14:paraId="6D20760D">
            <w:pPr>
              <w:jc w:val="center"/>
              <w:rPr>
                <w:rFonts w:ascii="宋体" w:hAnsi="宋体"/>
                <w:color w:val="auto"/>
                <w:szCs w:val="44"/>
                <w:highlight w:val="none"/>
              </w:rPr>
            </w:pPr>
          </w:p>
        </w:tc>
        <w:tc>
          <w:tcPr>
            <w:tcW w:w="1343" w:type="dxa"/>
            <w:vAlign w:val="center"/>
          </w:tcPr>
          <w:p w14:paraId="42100F55">
            <w:pPr>
              <w:jc w:val="center"/>
              <w:rPr>
                <w:rFonts w:ascii="宋体" w:hAnsi="宋体"/>
                <w:color w:val="auto"/>
                <w:szCs w:val="44"/>
                <w:highlight w:val="none"/>
              </w:rPr>
            </w:pPr>
          </w:p>
        </w:tc>
        <w:tc>
          <w:tcPr>
            <w:tcW w:w="1343" w:type="dxa"/>
            <w:vAlign w:val="center"/>
          </w:tcPr>
          <w:p w14:paraId="1CB85885">
            <w:pPr>
              <w:jc w:val="center"/>
              <w:rPr>
                <w:rFonts w:ascii="宋体" w:hAnsi="宋体"/>
                <w:color w:val="auto"/>
                <w:szCs w:val="44"/>
                <w:highlight w:val="none"/>
              </w:rPr>
            </w:pPr>
          </w:p>
        </w:tc>
        <w:tc>
          <w:tcPr>
            <w:tcW w:w="1355" w:type="dxa"/>
            <w:vAlign w:val="center"/>
          </w:tcPr>
          <w:p w14:paraId="23A77B72">
            <w:pPr>
              <w:jc w:val="center"/>
              <w:rPr>
                <w:rFonts w:ascii="宋体" w:hAnsi="宋体"/>
                <w:color w:val="auto"/>
                <w:szCs w:val="44"/>
                <w:highlight w:val="none"/>
              </w:rPr>
            </w:pPr>
          </w:p>
        </w:tc>
        <w:tc>
          <w:tcPr>
            <w:tcW w:w="2182" w:type="dxa"/>
            <w:vAlign w:val="center"/>
          </w:tcPr>
          <w:p w14:paraId="5758366F">
            <w:pPr>
              <w:jc w:val="center"/>
              <w:rPr>
                <w:rFonts w:ascii="宋体" w:hAnsi="宋体"/>
                <w:color w:val="auto"/>
                <w:szCs w:val="44"/>
                <w:highlight w:val="none"/>
              </w:rPr>
            </w:pPr>
          </w:p>
        </w:tc>
      </w:tr>
      <w:tr w14:paraId="15EB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6321F007">
            <w:pPr>
              <w:jc w:val="center"/>
              <w:rPr>
                <w:rFonts w:ascii="宋体" w:hAnsi="宋体"/>
                <w:color w:val="auto"/>
                <w:szCs w:val="44"/>
                <w:highlight w:val="none"/>
              </w:rPr>
            </w:pPr>
            <w:r>
              <w:rPr>
                <w:rFonts w:hint="eastAsia" w:ascii="宋体" w:hAnsi="宋体"/>
                <w:color w:val="auto"/>
                <w:szCs w:val="44"/>
                <w:highlight w:val="none"/>
              </w:rPr>
              <w:t>5</w:t>
            </w:r>
          </w:p>
        </w:tc>
        <w:tc>
          <w:tcPr>
            <w:tcW w:w="1792" w:type="dxa"/>
            <w:vAlign w:val="center"/>
          </w:tcPr>
          <w:p w14:paraId="7097318D">
            <w:pPr>
              <w:jc w:val="center"/>
              <w:rPr>
                <w:rFonts w:ascii="宋体" w:hAnsi="宋体"/>
                <w:color w:val="auto"/>
                <w:szCs w:val="44"/>
                <w:highlight w:val="none"/>
              </w:rPr>
            </w:pPr>
          </w:p>
        </w:tc>
        <w:tc>
          <w:tcPr>
            <w:tcW w:w="1342" w:type="dxa"/>
            <w:vAlign w:val="center"/>
          </w:tcPr>
          <w:p w14:paraId="6059A9C0">
            <w:pPr>
              <w:jc w:val="center"/>
              <w:rPr>
                <w:color w:val="auto"/>
                <w:highlight w:val="none"/>
              </w:rPr>
            </w:pPr>
          </w:p>
        </w:tc>
        <w:tc>
          <w:tcPr>
            <w:tcW w:w="1343" w:type="dxa"/>
            <w:vAlign w:val="center"/>
          </w:tcPr>
          <w:p w14:paraId="08123B47">
            <w:pPr>
              <w:jc w:val="center"/>
              <w:rPr>
                <w:rFonts w:ascii="宋体" w:hAnsi="宋体"/>
                <w:color w:val="auto"/>
                <w:szCs w:val="44"/>
                <w:highlight w:val="none"/>
              </w:rPr>
            </w:pPr>
          </w:p>
        </w:tc>
        <w:tc>
          <w:tcPr>
            <w:tcW w:w="1343" w:type="dxa"/>
            <w:vAlign w:val="center"/>
          </w:tcPr>
          <w:p w14:paraId="17F19FC7">
            <w:pPr>
              <w:jc w:val="center"/>
              <w:rPr>
                <w:rFonts w:ascii="宋体" w:hAnsi="宋体"/>
                <w:color w:val="auto"/>
                <w:szCs w:val="44"/>
                <w:highlight w:val="none"/>
              </w:rPr>
            </w:pPr>
          </w:p>
        </w:tc>
        <w:tc>
          <w:tcPr>
            <w:tcW w:w="1342" w:type="dxa"/>
            <w:vAlign w:val="center"/>
          </w:tcPr>
          <w:p w14:paraId="62B9A3A2">
            <w:pPr>
              <w:jc w:val="center"/>
              <w:rPr>
                <w:rFonts w:ascii="宋体" w:hAnsi="宋体"/>
                <w:color w:val="auto"/>
                <w:szCs w:val="44"/>
                <w:highlight w:val="none"/>
              </w:rPr>
            </w:pPr>
          </w:p>
        </w:tc>
        <w:tc>
          <w:tcPr>
            <w:tcW w:w="1343" w:type="dxa"/>
            <w:vAlign w:val="center"/>
          </w:tcPr>
          <w:p w14:paraId="35DF987B">
            <w:pPr>
              <w:jc w:val="center"/>
              <w:rPr>
                <w:rFonts w:ascii="宋体" w:hAnsi="宋体"/>
                <w:color w:val="auto"/>
                <w:szCs w:val="44"/>
                <w:highlight w:val="none"/>
              </w:rPr>
            </w:pPr>
          </w:p>
        </w:tc>
        <w:tc>
          <w:tcPr>
            <w:tcW w:w="1343" w:type="dxa"/>
            <w:vAlign w:val="center"/>
          </w:tcPr>
          <w:p w14:paraId="00EB7E7A">
            <w:pPr>
              <w:jc w:val="center"/>
              <w:rPr>
                <w:rFonts w:ascii="宋体" w:hAnsi="宋体"/>
                <w:color w:val="auto"/>
                <w:szCs w:val="44"/>
                <w:highlight w:val="none"/>
              </w:rPr>
            </w:pPr>
          </w:p>
        </w:tc>
        <w:tc>
          <w:tcPr>
            <w:tcW w:w="1355" w:type="dxa"/>
            <w:vAlign w:val="center"/>
          </w:tcPr>
          <w:p w14:paraId="56472F45">
            <w:pPr>
              <w:jc w:val="center"/>
              <w:rPr>
                <w:rFonts w:ascii="宋体" w:hAnsi="宋体"/>
                <w:color w:val="auto"/>
                <w:szCs w:val="44"/>
                <w:highlight w:val="none"/>
              </w:rPr>
            </w:pPr>
          </w:p>
        </w:tc>
        <w:tc>
          <w:tcPr>
            <w:tcW w:w="2182" w:type="dxa"/>
            <w:vAlign w:val="center"/>
          </w:tcPr>
          <w:p w14:paraId="0A691766">
            <w:pPr>
              <w:jc w:val="center"/>
              <w:rPr>
                <w:rFonts w:ascii="宋体" w:hAnsi="宋体"/>
                <w:color w:val="auto"/>
                <w:szCs w:val="44"/>
                <w:highlight w:val="none"/>
              </w:rPr>
            </w:pPr>
          </w:p>
        </w:tc>
      </w:tr>
      <w:tr w14:paraId="114C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345A881D">
            <w:pPr>
              <w:jc w:val="center"/>
              <w:rPr>
                <w:rFonts w:ascii="宋体" w:hAnsi="宋体"/>
                <w:color w:val="auto"/>
                <w:szCs w:val="44"/>
                <w:highlight w:val="none"/>
              </w:rPr>
            </w:pPr>
            <w:r>
              <w:rPr>
                <w:rFonts w:hint="eastAsia" w:ascii="宋体" w:hAnsi="宋体"/>
                <w:color w:val="auto"/>
                <w:szCs w:val="44"/>
                <w:highlight w:val="none"/>
              </w:rPr>
              <w:t>6</w:t>
            </w:r>
          </w:p>
        </w:tc>
        <w:tc>
          <w:tcPr>
            <w:tcW w:w="1792" w:type="dxa"/>
            <w:vAlign w:val="center"/>
          </w:tcPr>
          <w:p w14:paraId="2BFA664A">
            <w:pPr>
              <w:jc w:val="center"/>
              <w:rPr>
                <w:rFonts w:ascii="宋体" w:hAnsi="宋体"/>
                <w:color w:val="auto"/>
                <w:szCs w:val="44"/>
                <w:highlight w:val="none"/>
              </w:rPr>
            </w:pPr>
          </w:p>
        </w:tc>
        <w:tc>
          <w:tcPr>
            <w:tcW w:w="1342" w:type="dxa"/>
            <w:vAlign w:val="center"/>
          </w:tcPr>
          <w:p w14:paraId="36AFA487">
            <w:pPr>
              <w:jc w:val="center"/>
              <w:rPr>
                <w:color w:val="auto"/>
                <w:highlight w:val="none"/>
              </w:rPr>
            </w:pPr>
          </w:p>
        </w:tc>
        <w:tc>
          <w:tcPr>
            <w:tcW w:w="1343" w:type="dxa"/>
            <w:vAlign w:val="center"/>
          </w:tcPr>
          <w:p w14:paraId="20961B1D">
            <w:pPr>
              <w:jc w:val="center"/>
              <w:rPr>
                <w:rFonts w:ascii="宋体" w:hAnsi="宋体"/>
                <w:color w:val="auto"/>
                <w:szCs w:val="44"/>
                <w:highlight w:val="none"/>
              </w:rPr>
            </w:pPr>
          </w:p>
        </w:tc>
        <w:tc>
          <w:tcPr>
            <w:tcW w:w="1343" w:type="dxa"/>
            <w:vAlign w:val="center"/>
          </w:tcPr>
          <w:p w14:paraId="6D732146">
            <w:pPr>
              <w:jc w:val="center"/>
              <w:rPr>
                <w:rFonts w:ascii="宋体" w:hAnsi="宋体"/>
                <w:color w:val="auto"/>
                <w:szCs w:val="44"/>
                <w:highlight w:val="none"/>
              </w:rPr>
            </w:pPr>
          </w:p>
        </w:tc>
        <w:tc>
          <w:tcPr>
            <w:tcW w:w="1342" w:type="dxa"/>
            <w:vAlign w:val="center"/>
          </w:tcPr>
          <w:p w14:paraId="341580F5">
            <w:pPr>
              <w:jc w:val="center"/>
              <w:rPr>
                <w:rFonts w:ascii="宋体" w:hAnsi="宋体"/>
                <w:color w:val="auto"/>
                <w:szCs w:val="44"/>
                <w:highlight w:val="none"/>
              </w:rPr>
            </w:pPr>
          </w:p>
        </w:tc>
        <w:tc>
          <w:tcPr>
            <w:tcW w:w="1343" w:type="dxa"/>
            <w:vAlign w:val="center"/>
          </w:tcPr>
          <w:p w14:paraId="02B5D00F">
            <w:pPr>
              <w:jc w:val="center"/>
              <w:rPr>
                <w:rFonts w:ascii="宋体" w:hAnsi="宋体"/>
                <w:color w:val="auto"/>
                <w:szCs w:val="44"/>
                <w:highlight w:val="none"/>
              </w:rPr>
            </w:pPr>
          </w:p>
        </w:tc>
        <w:tc>
          <w:tcPr>
            <w:tcW w:w="1343" w:type="dxa"/>
            <w:vAlign w:val="center"/>
          </w:tcPr>
          <w:p w14:paraId="30E24C68">
            <w:pPr>
              <w:jc w:val="center"/>
              <w:rPr>
                <w:rFonts w:ascii="宋体" w:hAnsi="宋体"/>
                <w:color w:val="auto"/>
                <w:szCs w:val="44"/>
                <w:highlight w:val="none"/>
              </w:rPr>
            </w:pPr>
          </w:p>
        </w:tc>
        <w:tc>
          <w:tcPr>
            <w:tcW w:w="1355" w:type="dxa"/>
            <w:vAlign w:val="center"/>
          </w:tcPr>
          <w:p w14:paraId="3041A087">
            <w:pPr>
              <w:jc w:val="center"/>
              <w:rPr>
                <w:rFonts w:ascii="宋体" w:hAnsi="宋体"/>
                <w:color w:val="auto"/>
                <w:szCs w:val="44"/>
                <w:highlight w:val="none"/>
              </w:rPr>
            </w:pPr>
          </w:p>
        </w:tc>
        <w:tc>
          <w:tcPr>
            <w:tcW w:w="2182" w:type="dxa"/>
            <w:vAlign w:val="center"/>
          </w:tcPr>
          <w:p w14:paraId="4EA5B274">
            <w:pPr>
              <w:jc w:val="center"/>
              <w:rPr>
                <w:rFonts w:ascii="宋体" w:hAnsi="宋体"/>
                <w:color w:val="auto"/>
                <w:szCs w:val="44"/>
                <w:highlight w:val="none"/>
              </w:rPr>
            </w:pPr>
          </w:p>
        </w:tc>
      </w:tr>
      <w:tr w14:paraId="5B68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39B56C0D">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2" w:type="dxa"/>
            <w:vAlign w:val="center"/>
          </w:tcPr>
          <w:p w14:paraId="0A103339">
            <w:pPr>
              <w:rPr>
                <w:rFonts w:ascii="宋体" w:hAnsi="宋体"/>
                <w:color w:val="auto"/>
                <w:szCs w:val="21"/>
                <w:highlight w:val="none"/>
              </w:rPr>
            </w:pPr>
          </w:p>
        </w:tc>
        <w:tc>
          <w:tcPr>
            <w:tcW w:w="1342" w:type="dxa"/>
            <w:vAlign w:val="center"/>
          </w:tcPr>
          <w:p w14:paraId="42B592FE">
            <w:pPr>
              <w:jc w:val="center"/>
              <w:rPr>
                <w:color w:val="auto"/>
                <w:highlight w:val="none"/>
              </w:rPr>
            </w:pPr>
          </w:p>
        </w:tc>
        <w:tc>
          <w:tcPr>
            <w:tcW w:w="1343" w:type="dxa"/>
            <w:vAlign w:val="center"/>
          </w:tcPr>
          <w:p w14:paraId="6CEF7FC7">
            <w:pPr>
              <w:jc w:val="center"/>
              <w:rPr>
                <w:rFonts w:ascii="宋体" w:hAnsi="宋体"/>
                <w:color w:val="auto"/>
                <w:szCs w:val="44"/>
                <w:highlight w:val="none"/>
              </w:rPr>
            </w:pPr>
          </w:p>
        </w:tc>
        <w:tc>
          <w:tcPr>
            <w:tcW w:w="1343" w:type="dxa"/>
            <w:vAlign w:val="center"/>
          </w:tcPr>
          <w:p w14:paraId="55512F46">
            <w:pPr>
              <w:jc w:val="center"/>
              <w:rPr>
                <w:rFonts w:ascii="宋体" w:hAnsi="宋体"/>
                <w:color w:val="auto"/>
                <w:szCs w:val="44"/>
                <w:highlight w:val="none"/>
              </w:rPr>
            </w:pPr>
          </w:p>
        </w:tc>
        <w:tc>
          <w:tcPr>
            <w:tcW w:w="1342" w:type="dxa"/>
            <w:vAlign w:val="center"/>
          </w:tcPr>
          <w:p w14:paraId="02AD2C90">
            <w:pPr>
              <w:jc w:val="center"/>
              <w:rPr>
                <w:rFonts w:ascii="宋体" w:hAnsi="宋体"/>
                <w:color w:val="auto"/>
                <w:szCs w:val="44"/>
                <w:highlight w:val="none"/>
              </w:rPr>
            </w:pPr>
          </w:p>
        </w:tc>
        <w:tc>
          <w:tcPr>
            <w:tcW w:w="1343" w:type="dxa"/>
            <w:vAlign w:val="center"/>
          </w:tcPr>
          <w:p w14:paraId="306FDF01">
            <w:pPr>
              <w:jc w:val="center"/>
              <w:rPr>
                <w:rFonts w:ascii="宋体" w:hAnsi="宋体"/>
                <w:color w:val="auto"/>
                <w:szCs w:val="44"/>
                <w:highlight w:val="none"/>
              </w:rPr>
            </w:pPr>
          </w:p>
        </w:tc>
        <w:tc>
          <w:tcPr>
            <w:tcW w:w="1343" w:type="dxa"/>
            <w:vAlign w:val="center"/>
          </w:tcPr>
          <w:p w14:paraId="633B75A3">
            <w:pPr>
              <w:jc w:val="center"/>
              <w:rPr>
                <w:rFonts w:ascii="宋体" w:hAnsi="宋体"/>
                <w:color w:val="auto"/>
                <w:szCs w:val="44"/>
                <w:highlight w:val="none"/>
              </w:rPr>
            </w:pPr>
          </w:p>
        </w:tc>
        <w:tc>
          <w:tcPr>
            <w:tcW w:w="1355" w:type="dxa"/>
            <w:vAlign w:val="center"/>
          </w:tcPr>
          <w:p w14:paraId="606D87BB">
            <w:pPr>
              <w:jc w:val="center"/>
              <w:rPr>
                <w:rFonts w:ascii="宋体" w:hAnsi="宋体"/>
                <w:color w:val="auto"/>
                <w:szCs w:val="44"/>
                <w:highlight w:val="none"/>
              </w:rPr>
            </w:pPr>
          </w:p>
        </w:tc>
        <w:tc>
          <w:tcPr>
            <w:tcW w:w="2182" w:type="dxa"/>
            <w:vAlign w:val="center"/>
          </w:tcPr>
          <w:p w14:paraId="71FC2C37">
            <w:pPr>
              <w:jc w:val="center"/>
              <w:rPr>
                <w:rFonts w:ascii="宋体" w:hAnsi="宋体"/>
                <w:color w:val="auto"/>
                <w:szCs w:val="44"/>
                <w:highlight w:val="none"/>
              </w:rPr>
            </w:pPr>
          </w:p>
        </w:tc>
      </w:tr>
      <w:tr w14:paraId="1D2C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70" w:type="dxa"/>
            <w:gridSpan w:val="10"/>
            <w:vAlign w:val="center"/>
          </w:tcPr>
          <w:p w14:paraId="77518060">
            <w:pPr>
              <w:jc w:val="left"/>
              <w:rPr>
                <w:color w:val="auto"/>
                <w:highlight w:val="none"/>
              </w:rPr>
            </w:pPr>
            <w:r>
              <w:rPr>
                <w:rFonts w:hint="eastAsia" w:ascii="宋体" w:hAnsi="宋体"/>
                <w:color w:val="auto"/>
                <w:szCs w:val="44"/>
                <w:highlight w:val="none"/>
              </w:rPr>
              <w:t>承包人实施方案评委签名：</w:t>
            </w:r>
          </w:p>
          <w:p w14:paraId="4EC376BD">
            <w:pPr>
              <w:jc w:val="center"/>
              <w:rPr>
                <w:rFonts w:ascii="宋体" w:hAnsi="宋体"/>
                <w:color w:val="auto"/>
                <w:szCs w:val="44"/>
                <w:highlight w:val="none"/>
              </w:rPr>
            </w:pPr>
          </w:p>
          <w:p w14:paraId="20477628">
            <w:pPr>
              <w:jc w:val="center"/>
              <w:rPr>
                <w:rFonts w:ascii="宋体" w:hAnsi="宋体"/>
                <w:color w:val="auto"/>
                <w:szCs w:val="44"/>
                <w:highlight w:val="none"/>
              </w:rPr>
            </w:pPr>
          </w:p>
          <w:p w14:paraId="5EEED3B1">
            <w:pPr>
              <w:jc w:val="center"/>
              <w:rPr>
                <w:rFonts w:ascii="宋体" w:hAnsi="宋体"/>
                <w:color w:val="auto"/>
                <w:szCs w:val="44"/>
                <w:highlight w:val="none"/>
              </w:rPr>
            </w:pPr>
          </w:p>
        </w:tc>
      </w:tr>
    </w:tbl>
    <w:p w14:paraId="31B1A364">
      <w:pPr>
        <w:ind w:right="63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p w14:paraId="3CDADF5C">
      <w:pPr>
        <w:widowControl/>
        <w:jc w:val="left"/>
        <w:rPr>
          <w:color w:val="auto"/>
          <w:highlight w:val="none"/>
        </w:rPr>
      </w:pPr>
      <w:r>
        <w:rPr>
          <w:color w:val="auto"/>
          <w:highlight w:val="none"/>
        </w:rPr>
        <w:br w:type="page"/>
      </w:r>
    </w:p>
    <w:p w14:paraId="2F526C99">
      <w:pPr>
        <w:pStyle w:val="32"/>
        <w:ind w:firstLine="118"/>
        <w:rPr>
          <w:color w:val="auto"/>
          <w:highlight w:val="none"/>
        </w:rPr>
      </w:pPr>
      <w:bookmarkStart w:id="940" w:name="_Toc256000146"/>
      <w:bookmarkStart w:id="941" w:name="_Toc164716316"/>
      <w:bookmarkStart w:id="942" w:name="_Toc148860676"/>
      <w:bookmarkStart w:id="943" w:name="_Toc25520"/>
      <w:r>
        <w:rPr>
          <w:rFonts w:hint="eastAsia"/>
          <w:color w:val="auto"/>
          <w:highlight w:val="none"/>
        </w:rPr>
        <w:t>附表A-</w:t>
      </w:r>
      <w:r>
        <w:rPr>
          <w:color w:val="auto"/>
          <w:highlight w:val="none"/>
        </w:rPr>
        <w:t>13</w:t>
      </w:r>
      <w:r>
        <w:rPr>
          <w:rFonts w:hint="eastAsia"/>
          <w:color w:val="auto"/>
          <w:highlight w:val="none"/>
        </w:rPr>
        <w:t>：技术标评审记录表（个人）</w:t>
      </w:r>
      <w:bookmarkEnd w:id="940"/>
      <w:bookmarkEnd w:id="941"/>
      <w:bookmarkEnd w:id="942"/>
      <w:bookmarkEnd w:id="943"/>
    </w:p>
    <w:p w14:paraId="3B77ADE3">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技术标评审记录表（个人）</w:t>
      </w:r>
    </w:p>
    <w:p w14:paraId="4D9F4C25">
      <w:pPr>
        <w:rPr>
          <w:rFonts w:ascii="宋体" w:hAnsi="宋体"/>
          <w:color w:val="auto"/>
          <w:szCs w:val="44"/>
          <w:highlight w:val="none"/>
        </w:rPr>
      </w:pPr>
      <w:r>
        <w:rPr>
          <w:rFonts w:hint="eastAsia" w:ascii="宋体" w:hAnsi="宋体"/>
          <w:color w:val="auto"/>
          <w:szCs w:val="44"/>
          <w:highlight w:val="none"/>
        </w:rPr>
        <w:t>标段名称：</w:t>
      </w:r>
    </w:p>
    <w:p w14:paraId="1603137D">
      <w:pPr>
        <w:rPr>
          <w:color w:val="auto"/>
          <w:szCs w:val="44"/>
          <w:highlight w:val="none"/>
        </w:rPr>
      </w:pPr>
      <w:r>
        <w:rPr>
          <w:rFonts w:hint="eastAsia"/>
          <w:color w:val="auto"/>
          <w:szCs w:val="44"/>
          <w:highlight w:val="none"/>
        </w:rPr>
        <w:t>标段唯一标识码：</w:t>
      </w:r>
    </w:p>
    <w:tbl>
      <w:tblPr>
        <w:tblStyle w:val="23"/>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2203"/>
        <w:gridCol w:w="1111"/>
        <w:gridCol w:w="1112"/>
        <w:gridCol w:w="1112"/>
        <w:gridCol w:w="1112"/>
        <w:gridCol w:w="1112"/>
        <w:gridCol w:w="1111"/>
        <w:gridCol w:w="1112"/>
        <w:gridCol w:w="1112"/>
        <w:gridCol w:w="1026"/>
        <w:gridCol w:w="1200"/>
      </w:tblGrid>
      <w:tr w14:paraId="1AD3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293937">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60370B">
            <w:pPr>
              <w:jc w:val="center"/>
              <w:rPr>
                <w:rFonts w:ascii="宋体" w:hAnsi="宋体" w:cs="宋体"/>
                <w:b/>
                <w:bCs/>
                <w:color w:val="auto"/>
                <w:szCs w:val="21"/>
                <w:highlight w:val="none"/>
              </w:rPr>
            </w:pPr>
            <w:r>
              <w:rPr>
                <w:rFonts w:hint="eastAsia" w:ascii="宋体" w:hAnsi="宋体" w:cs="宋体"/>
                <w:b/>
                <w:bCs/>
                <w:color w:val="auto"/>
                <w:szCs w:val="21"/>
                <w:highlight w:val="none"/>
              </w:rPr>
              <w:t>投标人名称</w:t>
            </w:r>
          </w:p>
        </w:tc>
        <w:tc>
          <w:tcPr>
            <w:tcW w:w="9920" w:type="dxa"/>
            <w:gridSpan w:val="9"/>
            <w:tcBorders>
              <w:top w:val="single" w:color="auto" w:sz="4" w:space="0"/>
              <w:left w:val="single" w:color="auto" w:sz="4" w:space="0"/>
              <w:bottom w:val="single" w:color="auto" w:sz="4" w:space="0"/>
              <w:right w:val="single" w:color="auto" w:sz="4" w:space="0"/>
            </w:tcBorders>
            <w:shd w:val="clear" w:color="auto" w:fill="auto"/>
          </w:tcPr>
          <w:p w14:paraId="23FCE4F3">
            <w:pPr>
              <w:jc w:val="center"/>
              <w:rPr>
                <w:rFonts w:ascii="宋体" w:hAnsi="宋体" w:cs="宋体"/>
                <w:b/>
                <w:bCs/>
                <w:color w:val="auto"/>
                <w:szCs w:val="21"/>
                <w:highlight w:val="none"/>
              </w:rPr>
            </w:pPr>
            <w:r>
              <w:rPr>
                <w:rFonts w:hint="eastAsia" w:ascii="宋体" w:hAnsi="宋体" w:cs="宋体"/>
                <w:b/>
                <w:bCs/>
                <w:color w:val="auto"/>
                <w:szCs w:val="21"/>
                <w:highlight w:val="none"/>
              </w:rPr>
              <w:t>评审因素及评审得分</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BE88C6">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7E2B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9E67A">
            <w:pPr>
              <w:rPr>
                <w:rFonts w:ascii="宋体" w:hAnsi="宋体" w:cs="宋体"/>
                <w:b/>
                <w:bCs/>
                <w:color w:val="auto"/>
                <w:szCs w:val="21"/>
                <w:highlight w:val="none"/>
              </w:rPr>
            </w:pPr>
          </w:p>
        </w:tc>
        <w:tc>
          <w:tcPr>
            <w:tcW w:w="2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37704">
            <w:pP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D61FAC2">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3D2623A">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47B04AA">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C02AD92">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818F18A">
            <w:pPr>
              <w:jc w:val="cente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39EA38B">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07FE393">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2DE01D7">
            <w:pPr>
              <w:jc w:val="center"/>
              <w:rPr>
                <w:rFonts w:ascii="宋体" w:hAnsi="宋体" w:cs="宋体"/>
                <w:b/>
                <w:bCs/>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AACA38">
            <w:pPr>
              <w:jc w:val="center"/>
              <w:rPr>
                <w:rFonts w:ascii="宋体" w:hAnsi="宋体" w:cs="宋体"/>
                <w:b/>
                <w:bCs/>
                <w:color w:val="auto"/>
                <w:szCs w:val="21"/>
                <w:highlight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B7829">
            <w:pPr>
              <w:rPr>
                <w:rFonts w:ascii="宋体" w:hAnsi="宋体" w:cs="宋体"/>
                <w:b/>
                <w:bCs/>
                <w:color w:val="auto"/>
                <w:szCs w:val="21"/>
                <w:highlight w:val="none"/>
              </w:rPr>
            </w:pPr>
          </w:p>
        </w:tc>
      </w:tr>
      <w:tr w14:paraId="7A35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A3C62">
            <w:pPr>
              <w:rPr>
                <w:rFonts w:ascii="宋体" w:hAnsi="宋体" w:cs="宋体"/>
                <w:b/>
                <w:bCs/>
                <w:color w:val="auto"/>
                <w:szCs w:val="21"/>
                <w:highlight w:val="none"/>
              </w:rPr>
            </w:pPr>
          </w:p>
        </w:tc>
        <w:tc>
          <w:tcPr>
            <w:tcW w:w="2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8A4F4">
            <w:pP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B7CD2C8">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6DB4076">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FE82ECA">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AC4F7C4">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D5D2F91">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9F1577A">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BB38737">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AAAE094">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2A07713">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C107D">
            <w:pPr>
              <w:rPr>
                <w:rFonts w:ascii="宋体" w:hAnsi="宋体" w:cs="宋体"/>
                <w:b/>
                <w:bCs/>
                <w:color w:val="auto"/>
                <w:szCs w:val="21"/>
                <w:highlight w:val="none"/>
              </w:rPr>
            </w:pPr>
          </w:p>
        </w:tc>
      </w:tr>
      <w:tr w14:paraId="09F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8E8F2D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46AEB46B">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A52F8D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9D1F8D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75E0F0C">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BC1C677">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4EEF686">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5FD18E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275E46B">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05C41793">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59E6B21">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B762567">
            <w:pPr>
              <w:jc w:val="center"/>
              <w:rPr>
                <w:rFonts w:ascii="宋体" w:hAnsi="宋体" w:cs="宋体"/>
                <w:color w:val="auto"/>
                <w:szCs w:val="21"/>
                <w:highlight w:val="none"/>
              </w:rPr>
            </w:pPr>
          </w:p>
        </w:tc>
      </w:tr>
      <w:tr w14:paraId="383C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72B066D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668E536D">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5B4B98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CEC3DD7">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350E358">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2285E4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16E5DF7">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8C57E9D">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24A145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3C88228">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2CD217">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26A1863">
            <w:pPr>
              <w:jc w:val="center"/>
              <w:rPr>
                <w:rFonts w:ascii="宋体" w:hAnsi="宋体" w:cs="宋体"/>
                <w:color w:val="auto"/>
                <w:szCs w:val="21"/>
                <w:highlight w:val="none"/>
              </w:rPr>
            </w:pPr>
          </w:p>
        </w:tc>
      </w:tr>
      <w:tr w14:paraId="14E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1686111B">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7B154370">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59C213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06FC01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46BAC23">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11641B2">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8628624">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C06F59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C450736">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07971248">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3AC1C84">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470A6D4">
            <w:pPr>
              <w:jc w:val="center"/>
              <w:rPr>
                <w:rFonts w:ascii="宋体" w:hAnsi="宋体" w:cs="宋体"/>
                <w:color w:val="auto"/>
                <w:szCs w:val="21"/>
                <w:highlight w:val="none"/>
              </w:rPr>
            </w:pPr>
          </w:p>
        </w:tc>
      </w:tr>
      <w:tr w14:paraId="71A6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C5E030C">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24EDEE73">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AF57008">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05ABB3B">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FEA3D7A">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CF27803">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BB6A35B">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8E6FB6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3A8FCC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C784F52">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BDFEEDF">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9CD08A">
            <w:pPr>
              <w:jc w:val="center"/>
              <w:rPr>
                <w:rFonts w:ascii="宋体" w:hAnsi="宋体" w:cs="宋体"/>
                <w:color w:val="auto"/>
                <w:szCs w:val="21"/>
                <w:highlight w:val="none"/>
              </w:rPr>
            </w:pPr>
          </w:p>
        </w:tc>
      </w:tr>
      <w:tr w14:paraId="670D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983A05E">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1D8B10CC">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FDBBAC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736279F">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3B0CECC">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76E3AA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516715E">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686E38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A37581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0D5534D0">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AE7BB9">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817F30D">
            <w:pPr>
              <w:jc w:val="center"/>
              <w:rPr>
                <w:rFonts w:ascii="宋体" w:hAnsi="宋体" w:cs="宋体"/>
                <w:color w:val="auto"/>
                <w:szCs w:val="21"/>
                <w:highlight w:val="none"/>
              </w:rPr>
            </w:pPr>
          </w:p>
        </w:tc>
      </w:tr>
      <w:tr w14:paraId="571C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4D112A2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140C51C8">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63C9FF5">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2CD9FAD">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3C9462F">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E50C99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772D7FC">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8E4B13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5A4B52A">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5CADE8D1">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CE504E6">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C41E28">
            <w:pPr>
              <w:jc w:val="center"/>
              <w:rPr>
                <w:rFonts w:ascii="宋体" w:hAnsi="宋体" w:cs="宋体"/>
                <w:color w:val="auto"/>
                <w:szCs w:val="21"/>
                <w:highlight w:val="none"/>
              </w:rPr>
            </w:pPr>
          </w:p>
        </w:tc>
      </w:tr>
    </w:tbl>
    <w:p w14:paraId="12CAC783">
      <w:pPr>
        <w:rPr>
          <w:color w:val="auto"/>
          <w:highlight w:val="none"/>
        </w:rPr>
      </w:pPr>
    </w:p>
    <w:p w14:paraId="53089828">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p>
    <w:p w14:paraId="55F776FF">
      <w:pPr>
        <w:widowControl/>
        <w:jc w:val="left"/>
        <w:rPr>
          <w:rFonts w:ascii="宋体" w:hAnsi="宋体"/>
          <w:color w:val="auto"/>
          <w:szCs w:val="44"/>
          <w:highlight w:val="none"/>
        </w:rPr>
      </w:pPr>
      <w:r>
        <w:rPr>
          <w:rFonts w:ascii="宋体" w:hAnsi="宋体"/>
          <w:color w:val="auto"/>
          <w:szCs w:val="44"/>
          <w:highlight w:val="none"/>
        </w:rPr>
        <w:br w:type="page"/>
      </w:r>
    </w:p>
    <w:p w14:paraId="4D772DCC">
      <w:pPr>
        <w:jc w:val="right"/>
        <w:rPr>
          <w:rFonts w:ascii="宋体" w:hAnsi="宋体"/>
          <w:color w:val="auto"/>
          <w:szCs w:val="44"/>
          <w:highlight w:val="none"/>
        </w:rPr>
      </w:pPr>
    </w:p>
    <w:p w14:paraId="2374227C">
      <w:pPr>
        <w:pStyle w:val="32"/>
        <w:ind w:firstLine="118"/>
        <w:rPr>
          <w:color w:val="auto"/>
          <w:highlight w:val="none"/>
        </w:rPr>
      </w:pPr>
      <w:bookmarkStart w:id="944" w:name="_Toc164716317"/>
      <w:bookmarkStart w:id="945" w:name="_Toc3765"/>
      <w:bookmarkStart w:id="946" w:name="_Toc148860674"/>
      <w:bookmarkStart w:id="947" w:name="_Toc256000147"/>
      <w:r>
        <w:rPr>
          <w:rFonts w:hint="eastAsia"/>
          <w:color w:val="auto"/>
          <w:highlight w:val="none"/>
        </w:rPr>
        <w:t>附表A-1</w:t>
      </w:r>
      <w:r>
        <w:rPr>
          <w:color w:val="auto"/>
          <w:highlight w:val="none"/>
        </w:rPr>
        <w:t>4</w:t>
      </w:r>
      <w:r>
        <w:rPr>
          <w:rFonts w:hint="eastAsia"/>
          <w:color w:val="auto"/>
          <w:highlight w:val="none"/>
        </w:rPr>
        <w:t>：资信业绩评审记录表</w:t>
      </w:r>
      <w:bookmarkEnd w:id="944"/>
      <w:bookmarkEnd w:id="945"/>
      <w:bookmarkEnd w:id="946"/>
      <w:bookmarkEnd w:id="947"/>
    </w:p>
    <w:p w14:paraId="7D9AAD76">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48" w:name="_Hlk149219837"/>
      <w:r>
        <w:rPr>
          <w:rFonts w:hint="eastAsia" w:ascii="黑体" w:hAnsi="宋体" w:eastAsia="黑体"/>
          <w:color w:val="auto"/>
          <w:sz w:val="36"/>
          <w:szCs w:val="36"/>
          <w:highlight w:val="none"/>
        </w:rPr>
        <w:t>资信业绩</w:t>
      </w:r>
      <w:bookmarkEnd w:id="948"/>
      <w:r>
        <w:rPr>
          <w:rFonts w:hint="eastAsia" w:ascii="黑体" w:hAnsi="宋体" w:eastAsia="黑体"/>
          <w:color w:val="auto"/>
          <w:sz w:val="36"/>
          <w:szCs w:val="36"/>
          <w:highlight w:val="none"/>
        </w:rPr>
        <w:t>评审记录表</w:t>
      </w:r>
    </w:p>
    <w:p w14:paraId="362E9B7F">
      <w:pPr>
        <w:rPr>
          <w:rFonts w:ascii="宋体" w:hAnsi="宋体"/>
          <w:color w:val="auto"/>
          <w:szCs w:val="44"/>
          <w:highlight w:val="none"/>
        </w:rPr>
      </w:pPr>
      <w:r>
        <w:rPr>
          <w:rFonts w:hint="eastAsia" w:ascii="宋体" w:hAnsi="宋体"/>
          <w:color w:val="auto"/>
          <w:szCs w:val="44"/>
          <w:highlight w:val="none"/>
        </w:rPr>
        <w:t>标段名称：</w:t>
      </w:r>
    </w:p>
    <w:p w14:paraId="53888A58">
      <w:pPr>
        <w:rPr>
          <w:color w:val="auto"/>
          <w:szCs w:val="44"/>
          <w:highlight w:val="none"/>
        </w:rPr>
      </w:pPr>
      <w:r>
        <w:rPr>
          <w:rFonts w:hint="eastAsia"/>
          <w:color w:val="auto"/>
          <w:szCs w:val="44"/>
          <w:highlight w:val="none"/>
        </w:rPr>
        <w:t>标段唯一标识码：</w:t>
      </w:r>
    </w:p>
    <w:tbl>
      <w:tblPr>
        <w:tblStyle w:val="23"/>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04"/>
        <w:gridCol w:w="1351"/>
        <w:gridCol w:w="1352"/>
        <w:gridCol w:w="1352"/>
        <w:gridCol w:w="1351"/>
        <w:gridCol w:w="1352"/>
        <w:gridCol w:w="1352"/>
        <w:gridCol w:w="1359"/>
        <w:gridCol w:w="1967"/>
      </w:tblGrid>
      <w:tr w14:paraId="56C2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789" w:type="dxa"/>
            <w:vMerge w:val="restart"/>
            <w:vAlign w:val="center"/>
          </w:tcPr>
          <w:p w14:paraId="3E13CF2F">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804" w:type="dxa"/>
            <w:vMerge w:val="restart"/>
            <w:vAlign w:val="center"/>
          </w:tcPr>
          <w:p w14:paraId="7D6F84CB">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69" w:type="dxa"/>
            <w:gridSpan w:val="7"/>
            <w:vAlign w:val="center"/>
          </w:tcPr>
          <w:p w14:paraId="516C1273">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967" w:type="dxa"/>
            <w:vMerge w:val="restart"/>
            <w:vAlign w:val="center"/>
          </w:tcPr>
          <w:p w14:paraId="081E6F09">
            <w:pPr>
              <w:jc w:val="center"/>
              <w:rPr>
                <w:rFonts w:ascii="宋体" w:hAnsi="宋体"/>
                <w:b/>
                <w:bCs/>
                <w:color w:val="auto"/>
                <w:szCs w:val="44"/>
                <w:highlight w:val="none"/>
              </w:rPr>
            </w:pPr>
            <w:r>
              <w:rPr>
                <w:rFonts w:hint="eastAsia" w:ascii="宋体" w:hAnsi="宋体"/>
                <w:b/>
                <w:bCs/>
                <w:color w:val="auto"/>
                <w:szCs w:val="44"/>
                <w:highlight w:val="none"/>
              </w:rPr>
              <w:t>资信业绩最终得分</w:t>
            </w:r>
          </w:p>
        </w:tc>
      </w:tr>
      <w:tr w14:paraId="25BB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89" w:type="dxa"/>
            <w:vMerge w:val="continue"/>
            <w:vAlign w:val="center"/>
          </w:tcPr>
          <w:p w14:paraId="1D29291B">
            <w:pPr>
              <w:jc w:val="center"/>
              <w:rPr>
                <w:rFonts w:ascii="宋体" w:hAnsi="宋体"/>
                <w:color w:val="auto"/>
                <w:szCs w:val="44"/>
                <w:highlight w:val="none"/>
              </w:rPr>
            </w:pPr>
          </w:p>
        </w:tc>
        <w:tc>
          <w:tcPr>
            <w:tcW w:w="1804" w:type="dxa"/>
            <w:vMerge w:val="continue"/>
          </w:tcPr>
          <w:p w14:paraId="467AA2A7">
            <w:pPr>
              <w:jc w:val="center"/>
              <w:rPr>
                <w:rFonts w:ascii="宋体" w:hAnsi="宋体"/>
                <w:color w:val="auto"/>
                <w:szCs w:val="44"/>
                <w:highlight w:val="none"/>
              </w:rPr>
            </w:pPr>
          </w:p>
        </w:tc>
        <w:tc>
          <w:tcPr>
            <w:tcW w:w="1351" w:type="dxa"/>
            <w:vAlign w:val="center"/>
          </w:tcPr>
          <w:p w14:paraId="6DC76A92">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52" w:type="dxa"/>
            <w:vAlign w:val="center"/>
          </w:tcPr>
          <w:p w14:paraId="1D6305F7">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2" w:type="dxa"/>
            <w:vAlign w:val="center"/>
          </w:tcPr>
          <w:p w14:paraId="76A7CBAB">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51" w:type="dxa"/>
            <w:vAlign w:val="center"/>
          </w:tcPr>
          <w:p w14:paraId="649A6485">
            <w:pPr>
              <w:jc w:val="center"/>
              <w:rPr>
                <w:rFonts w:ascii="宋体" w:hAnsi="宋体"/>
                <w:b/>
                <w:bCs/>
                <w:color w:val="auto"/>
                <w:szCs w:val="44"/>
                <w:highlight w:val="none"/>
              </w:rPr>
            </w:pPr>
          </w:p>
        </w:tc>
        <w:tc>
          <w:tcPr>
            <w:tcW w:w="1352" w:type="dxa"/>
            <w:vAlign w:val="center"/>
          </w:tcPr>
          <w:p w14:paraId="61B020ED">
            <w:pPr>
              <w:jc w:val="center"/>
              <w:rPr>
                <w:rFonts w:ascii="宋体" w:hAnsi="宋体"/>
                <w:b/>
                <w:bCs/>
                <w:color w:val="auto"/>
                <w:szCs w:val="44"/>
                <w:highlight w:val="none"/>
              </w:rPr>
            </w:pPr>
          </w:p>
        </w:tc>
        <w:tc>
          <w:tcPr>
            <w:tcW w:w="1352" w:type="dxa"/>
            <w:vAlign w:val="center"/>
          </w:tcPr>
          <w:p w14:paraId="368932B1">
            <w:pPr>
              <w:jc w:val="center"/>
              <w:rPr>
                <w:rFonts w:ascii="宋体" w:hAnsi="宋体"/>
                <w:b/>
                <w:bCs/>
                <w:color w:val="auto"/>
                <w:szCs w:val="44"/>
                <w:highlight w:val="none"/>
              </w:rPr>
            </w:pPr>
          </w:p>
        </w:tc>
        <w:tc>
          <w:tcPr>
            <w:tcW w:w="1359" w:type="dxa"/>
            <w:vAlign w:val="center"/>
          </w:tcPr>
          <w:p w14:paraId="5E8E80FF">
            <w:pPr>
              <w:jc w:val="center"/>
              <w:rPr>
                <w:rFonts w:ascii="宋体" w:hAnsi="宋体"/>
                <w:b/>
                <w:bCs/>
                <w:color w:val="auto"/>
                <w:szCs w:val="44"/>
                <w:highlight w:val="none"/>
              </w:rPr>
            </w:pPr>
          </w:p>
        </w:tc>
        <w:tc>
          <w:tcPr>
            <w:tcW w:w="1967" w:type="dxa"/>
            <w:vMerge w:val="continue"/>
            <w:vAlign w:val="center"/>
          </w:tcPr>
          <w:p w14:paraId="38F8FA10">
            <w:pPr>
              <w:jc w:val="center"/>
              <w:rPr>
                <w:rFonts w:ascii="宋体" w:hAnsi="宋体"/>
                <w:color w:val="auto"/>
                <w:szCs w:val="44"/>
                <w:highlight w:val="none"/>
              </w:rPr>
            </w:pPr>
          </w:p>
        </w:tc>
      </w:tr>
      <w:tr w14:paraId="0C49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3B80E40B">
            <w:pPr>
              <w:jc w:val="center"/>
              <w:rPr>
                <w:rFonts w:ascii="宋体" w:hAnsi="宋体"/>
                <w:color w:val="auto"/>
                <w:szCs w:val="44"/>
                <w:highlight w:val="none"/>
              </w:rPr>
            </w:pPr>
            <w:r>
              <w:rPr>
                <w:rFonts w:hint="eastAsia" w:ascii="宋体" w:hAnsi="宋体"/>
                <w:color w:val="auto"/>
                <w:szCs w:val="44"/>
                <w:highlight w:val="none"/>
              </w:rPr>
              <w:t>1</w:t>
            </w:r>
          </w:p>
        </w:tc>
        <w:tc>
          <w:tcPr>
            <w:tcW w:w="1804" w:type="dxa"/>
            <w:vAlign w:val="center"/>
          </w:tcPr>
          <w:p w14:paraId="133FFD36">
            <w:pPr>
              <w:jc w:val="center"/>
              <w:rPr>
                <w:rFonts w:ascii="宋体" w:hAnsi="宋体"/>
                <w:color w:val="auto"/>
                <w:szCs w:val="21"/>
                <w:highlight w:val="none"/>
              </w:rPr>
            </w:pPr>
          </w:p>
        </w:tc>
        <w:tc>
          <w:tcPr>
            <w:tcW w:w="1351" w:type="dxa"/>
            <w:vAlign w:val="center"/>
          </w:tcPr>
          <w:p w14:paraId="14FE5D43">
            <w:pPr>
              <w:rPr>
                <w:rFonts w:ascii="宋体" w:hAnsi="宋体"/>
                <w:color w:val="auto"/>
                <w:szCs w:val="21"/>
                <w:highlight w:val="none"/>
              </w:rPr>
            </w:pPr>
          </w:p>
        </w:tc>
        <w:tc>
          <w:tcPr>
            <w:tcW w:w="1352" w:type="dxa"/>
            <w:vAlign w:val="center"/>
          </w:tcPr>
          <w:p w14:paraId="643CB623">
            <w:pPr>
              <w:jc w:val="center"/>
              <w:rPr>
                <w:rFonts w:ascii="宋体" w:hAnsi="宋体"/>
                <w:color w:val="auto"/>
                <w:szCs w:val="44"/>
                <w:highlight w:val="none"/>
              </w:rPr>
            </w:pPr>
          </w:p>
        </w:tc>
        <w:tc>
          <w:tcPr>
            <w:tcW w:w="1352" w:type="dxa"/>
            <w:vAlign w:val="center"/>
          </w:tcPr>
          <w:p w14:paraId="63FFD61C">
            <w:pPr>
              <w:jc w:val="center"/>
              <w:rPr>
                <w:rFonts w:ascii="宋体" w:hAnsi="宋体"/>
                <w:color w:val="auto"/>
                <w:szCs w:val="44"/>
                <w:highlight w:val="none"/>
              </w:rPr>
            </w:pPr>
          </w:p>
        </w:tc>
        <w:tc>
          <w:tcPr>
            <w:tcW w:w="1351" w:type="dxa"/>
            <w:vAlign w:val="center"/>
          </w:tcPr>
          <w:p w14:paraId="7C0BA6A3">
            <w:pPr>
              <w:jc w:val="center"/>
              <w:rPr>
                <w:rFonts w:ascii="宋体" w:hAnsi="宋体"/>
                <w:color w:val="auto"/>
                <w:szCs w:val="44"/>
                <w:highlight w:val="none"/>
              </w:rPr>
            </w:pPr>
          </w:p>
        </w:tc>
        <w:tc>
          <w:tcPr>
            <w:tcW w:w="1352" w:type="dxa"/>
            <w:vAlign w:val="center"/>
          </w:tcPr>
          <w:p w14:paraId="47C17494">
            <w:pPr>
              <w:jc w:val="center"/>
              <w:rPr>
                <w:rFonts w:ascii="宋体" w:hAnsi="宋体"/>
                <w:color w:val="auto"/>
                <w:szCs w:val="44"/>
                <w:highlight w:val="none"/>
              </w:rPr>
            </w:pPr>
          </w:p>
        </w:tc>
        <w:tc>
          <w:tcPr>
            <w:tcW w:w="1352" w:type="dxa"/>
            <w:vAlign w:val="center"/>
          </w:tcPr>
          <w:p w14:paraId="6A2FE0FA">
            <w:pPr>
              <w:jc w:val="center"/>
              <w:rPr>
                <w:rFonts w:ascii="宋体" w:hAnsi="宋体"/>
                <w:color w:val="auto"/>
                <w:szCs w:val="44"/>
                <w:highlight w:val="none"/>
              </w:rPr>
            </w:pPr>
          </w:p>
        </w:tc>
        <w:tc>
          <w:tcPr>
            <w:tcW w:w="1359" w:type="dxa"/>
            <w:vAlign w:val="center"/>
          </w:tcPr>
          <w:p w14:paraId="3DB40829">
            <w:pPr>
              <w:jc w:val="center"/>
              <w:rPr>
                <w:rFonts w:ascii="宋体" w:hAnsi="宋体"/>
                <w:color w:val="auto"/>
                <w:szCs w:val="44"/>
                <w:highlight w:val="none"/>
              </w:rPr>
            </w:pPr>
          </w:p>
        </w:tc>
        <w:tc>
          <w:tcPr>
            <w:tcW w:w="1967" w:type="dxa"/>
            <w:vAlign w:val="center"/>
          </w:tcPr>
          <w:p w14:paraId="7DE44996">
            <w:pPr>
              <w:jc w:val="center"/>
              <w:rPr>
                <w:rFonts w:ascii="宋体" w:hAnsi="宋体"/>
                <w:color w:val="auto"/>
                <w:szCs w:val="44"/>
                <w:highlight w:val="none"/>
              </w:rPr>
            </w:pPr>
          </w:p>
        </w:tc>
      </w:tr>
      <w:tr w14:paraId="1CA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4306FF95">
            <w:pPr>
              <w:jc w:val="center"/>
              <w:rPr>
                <w:rFonts w:ascii="宋体" w:hAnsi="宋体"/>
                <w:color w:val="auto"/>
                <w:szCs w:val="44"/>
                <w:highlight w:val="none"/>
              </w:rPr>
            </w:pPr>
            <w:r>
              <w:rPr>
                <w:rFonts w:hint="eastAsia" w:ascii="宋体" w:hAnsi="宋体"/>
                <w:color w:val="auto"/>
                <w:szCs w:val="44"/>
                <w:highlight w:val="none"/>
              </w:rPr>
              <w:t>2</w:t>
            </w:r>
          </w:p>
        </w:tc>
        <w:tc>
          <w:tcPr>
            <w:tcW w:w="1804" w:type="dxa"/>
            <w:vAlign w:val="center"/>
          </w:tcPr>
          <w:p w14:paraId="0B8A48BF">
            <w:pPr>
              <w:jc w:val="center"/>
              <w:rPr>
                <w:rFonts w:ascii="宋体" w:hAnsi="宋体"/>
                <w:color w:val="auto"/>
                <w:szCs w:val="44"/>
                <w:highlight w:val="none"/>
              </w:rPr>
            </w:pPr>
          </w:p>
        </w:tc>
        <w:tc>
          <w:tcPr>
            <w:tcW w:w="1351" w:type="dxa"/>
            <w:vAlign w:val="center"/>
          </w:tcPr>
          <w:p w14:paraId="7E374E4E">
            <w:pPr>
              <w:jc w:val="center"/>
              <w:rPr>
                <w:color w:val="auto"/>
                <w:highlight w:val="none"/>
              </w:rPr>
            </w:pPr>
          </w:p>
        </w:tc>
        <w:tc>
          <w:tcPr>
            <w:tcW w:w="1352" w:type="dxa"/>
            <w:vAlign w:val="center"/>
          </w:tcPr>
          <w:p w14:paraId="2C0CE0A9">
            <w:pPr>
              <w:jc w:val="center"/>
              <w:rPr>
                <w:rFonts w:ascii="宋体" w:hAnsi="宋体"/>
                <w:color w:val="auto"/>
                <w:szCs w:val="44"/>
                <w:highlight w:val="none"/>
              </w:rPr>
            </w:pPr>
          </w:p>
        </w:tc>
        <w:tc>
          <w:tcPr>
            <w:tcW w:w="1352" w:type="dxa"/>
            <w:vAlign w:val="center"/>
          </w:tcPr>
          <w:p w14:paraId="61A57162">
            <w:pPr>
              <w:jc w:val="center"/>
              <w:rPr>
                <w:rFonts w:ascii="宋体" w:hAnsi="宋体"/>
                <w:color w:val="auto"/>
                <w:szCs w:val="44"/>
                <w:highlight w:val="none"/>
              </w:rPr>
            </w:pPr>
          </w:p>
        </w:tc>
        <w:tc>
          <w:tcPr>
            <w:tcW w:w="1351" w:type="dxa"/>
            <w:vAlign w:val="center"/>
          </w:tcPr>
          <w:p w14:paraId="5E83CBDD">
            <w:pPr>
              <w:jc w:val="center"/>
              <w:rPr>
                <w:rFonts w:ascii="宋体" w:hAnsi="宋体"/>
                <w:color w:val="auto"/>
                <w:szCs w:val="44"/>
                <w:highlight w:val="none"/>
              </w:rPr>
            </w:pPr>
          </w:p>
        </w:tc>
        <w:tc>
          <w:tcPr>
            <w:tcW w:w="1352" w:type="dxa"/>
            <w:vAlign w:val="center"/>
          </w:tcPr>
          <w:p w14:paraId="2CA03B7E">
            <w:pPr>
              <w:jc w:val="center"/>
              <w:rPr>
                <w:rFonts w:ascii="宋体" w:hAnsi="宋体"/>
                <w:color w:val="auto"/>
                <w:szCs w:val="44"/>
                <w:highlight w:val="none"/>
              </w:rPr>
            </w:pPr>
          </w:p>
        </w:tc>
        <w:tc>
          <w:tcPr>
            <w:tcW w:w="1352" w:type="dxa"/>
            <w:vAlign w:val="center"/>
          </w:tcPr>
          <w:p w14:paraId="6D7C3F4D">
            <w:pPr>
              <w:jc w:val="center"/>
              <w:rPr>
                <w:rFonts w:ascii="宋体" w:hAnsi="宋体"/>
                <w:color w:val="auto"/>
                <w:szCs w:val="44"/>
                <w:highlight w:val="none"/>
              </w:rPr>
            </w:pPr>
          </w:p>
        </w:tc>
        <w:tc>
          <w:tcPr>
            <w:tcW w:w="1359" w:type="dxa"/>
            <w:vAlign w:val="center"/>
          </w:tcPr>
          <w:p w14:paraId="1A69BECF">
            <w:pPr>
              <w:jc w:val="center"/>
              <w:rPr>
                <w:rFonts w:ascii="宋体" w:hAnsi="宋体"/>
                <w:color w:val="auto"/>
                <w:szCs w:val="44"/>
                <w:highlight w:val="none"/>
              </w:rPr>
            </w:pPr>
          </w:p>
        </w:tc>
        <w:tc>
          <w:tcPr>
            <w:tcW w:w="1967" w:type="dxa"/>
            <w:vAlign w:val="center"/>
          </w:tcPr>
          <w:p w14:paraId="75E7E827">
            <w:pPr>
              <w:jc w:val="center"/>
              <w:rPr>
                <w:rFonts w:ascii="宋体" w:hAnsi="宋体"/>
                <w:color w:val="auto"/>
                <w:szCs w:val="44"/>
                <w:highlight w:val="none"/>
              </w:rPr>
            </w:pPr>
          </w:p>
        </w:tc>
      </w:tr>
      <w:tr w14:paraId="0D5A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1DB83195">
            <w:pPr>
              <w:jc w:val="center"/>
              <w:rPr>
                <w:rFonts w:ascii="宋体" w:hAnsi="宋体"/>
                <w:color w:val="auto"/>
                <w:szCs w:val="44"/>
                <w:highlight w:val="none"/>
              </w:rPr>
            </w:pPr>
            <w:r>
              <w:rPr>
                <w:rFonts w:hint="eastAsia" w:ascii="宋体" w:hAnsi="宋体"/>
                <w:color w:val="auto"/>
                <w:szCs w:val="44"/>
                <w:highlight w:val="none"/>
              </w:rPr>
              <w:t>3</w:t>
            </w:r>
          </w:p>
        </w:tc>
        <w:tc>
          <w:tcPr>
            <w:tcW w:w="1804" w:type="dxa"/>
            <w:vAlign w:val="center"/>
          </w:tcPr>
          <w:p w14:paraId="4A1F55E6">
            <w:pPr>
              <w:jc w:val="center"/>
              <w:rPr>
                <w:rFonts w:ascii="宋体" w:hAnsi="宋体"/>
                <w:color w:val="auto"/>
                <w:szCs w:val="44"/>
                <w:highlight w:val="none"/>
              </w:rPr>
            </w:pPr>
          </w:p>
        </w:tc>
        <w:tc>
          <w:tcPr>
            <w:tcW w:w="1351" w:type="dxa"/>
            <w:vAlign w:val="center"/>
          </w:tcPr>
          <w:p w14:paraId="65DB0919">
            <w:pPr>
              <w:jc w:val="center"/>
              <w:rPr>
                <w:color w:val="auto"/>
                <w:highlight w:val="none"/>
              </w:rPr>
            </w:pPr>
          </w:p>
        </w:tc>
        <w:tc>
          <w:tcPr>
            <w:tcW w:w="1352" w:type="dxa"/>
            <w:vAlign w:val="center"/>
          </w:tcPr>
          <w:p w14:paraId="1BA3A09B">
            <w:pPr>
              <w:jc w:val="center"/>
              <w:rPr>
                <w:rFonts w:ascii="宋体" w:hAnsi="宋体"/>
                <w:color w:val="auto"/>
                <w:szCs w:val="44"/>
                <w:highlight w:val="none"/>
              </w:rPr>
            </w:pPr>
          </w:p>
        </w:tc>
        <w:tc>
          <w:tcPr>
            <w:tcW w:w="1352" w:type="dxa"/>
            <w:vAlign w:val="center"/>
          </w:tcPr>
          <w:p w14:paraId="56757BA5">
            <w:pPr>
              <w:jc w:val="center"/>
              <w:rPr>
                <w:rFonts w:ascii="宋体" w:hAnsi="宋体"/>
                <w:color w:val="auto"/>
                <w:szCs w:val="44"/>
                <w:highlight w:val="none"/>
              </w:rPr>
            </w:pPr>
          </w:p>
        </w:tc>
        <w:tc>
          <w:tcPr>
            <w:tcW w:w="1351" w:type="dxa"/>
            <w:vAlign w:val="center"/>
          </w:tcPr>
          <w:p w14:paraId="4B7049C4">
            <w:pPr>
              <w:jc w:val="center"/>
              <w:rPr>
                <w:rFonts w:ascii="宋体" w:hAnsi="宋体"/>
                <w:color w:val="auto"/>
                <w:szCs w:val="44"/>
                <w:highlight w:val="none"/>
              </w:rPr>
            </w:pPr>
          </w:p>
        </w:tc>
        <w:tc>
          <w:tcPr>
            <w:tcW w:w="1352" w:type="dxa"/>
            <w:vAlign w:val="center"/>
          </w:tcPr>
          <w:p w14:paraId="77E0C83F">
            <w:pPr>
              <w:jc w:val="center"/>
              <w:rPr>
                <w:rFonts w:ascii="宋体" w:hAnsi="宋体"/>
                <w:color w:val="auto"/>
                <w:szCs w:val="44"/>
                <w:highlight w:val="none"/>
              </w:rPr>
            </w:pPr>
          </w:p>
        </w:tc>
        <w:tc>
          <w:tcPr>
            <w:tcW w:w="1352" w:type="dxa"/>
            <w:vAlign w:val="center"/>
          </w:tcPr>
          <w:p w14:paraId="3B8AFC94">
            <w:pPr>
              <w:jc w:val="center"/>
              <w:rPr>
                <w:rFonts w:ascii="宋体" w:hAnsi="宋体"/>
                <w:color w:val="auto"/>
                <w:szCs w:val="44"/>
                <w:highlight w:val="none"/>
              </w:rPr>
            </w:pPr>
          </w:p>
        </w:tc>
        <w:tc>
          <w:tcPr>
            <w:tcW w:w="1359" w:type="dxa"/>
            <w:vAlign w:val="center"/>
          </w:tcPr>
          <w:p w14:paraId="5BA9EF1E">
            <w:pPr>
              <w:jc w:val="center"/>
              <w:rPr>
                <w:rFonts w:ascii="宋体" w:hAnsi="宋体"/>
                <w:color w:val="auto"/>
                <w:szCs w:val="44"/>
                <w:highlight w:val="none"/>
              </w:rPr>
            </w:pPr>
          </w:p>
        </w:tc>
        <w:tc>
          <w:tcPr>
            <w:tcW w:w="1967" w:type="dxa"/>
            <w:vAlign w:val="center"/>
          </w:tcPr>
          <w:p w14:paraId="7440C087">
            <w:pPr>
              <w:jc w:val="center"/>
              <w:rPr>
                <w:rFonts w:ascii="宋体" w:hAnsi="宋体"/>
                <w:color w:val="auto"/>
                <w:szCs w:val="44"/>
                <w:highlight w:val="none"/>
              </w:rPr>
            </w:pPr>
          </w:p>
        </w:tc>
      </w:tr>
      <w:tr w14:paraId="50C0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2FD6EEF1">
            <w:pPr>
              <w:jc w:val="center"/>
              <w:rPr>
                <w:rFonts w:ascii="宋体" w:hAnsi="宋体"/>
                <w:color w:val="auto"/>
                <w:szCs w:val="44"/>
                <w:highlight w:val="none"/>
              </w:rPr>
            </w:pPr>
            <w:r>
              <w:rPr>
                <w:rFonts w:hint="eastAsia" w:ascii="宋体" w:hAnsi="宋体"/>
                <w:color w:val="auto"/>
                <w:szCs w:val="44"/>
                <w:highlight w:val="none"/>
              </w:rPr>
              <w:t>4</w:t>
            </w:r>
          </w:p>
        </w:tc>
        <w:tc>
          <w:tcPr>
            <w:tcW w:w="1804" w:type="dxa"/>
            <w:vAlign w:val="center"/>
          </w:tcPr>
          <w:p w14:paraId="04B47348">
            <w:pPr>
              <w:jc w:val="center"/>
              <w:rPr>
                <w:rFonts w:ascii="宋体" w:hAnsi="宋体"/>
                <w:color w:val="auto"/>
                <w:szCs w:val="44"/>
                <w:highlight w:val="none"/>
              </w:rPr>
            </w:pPr>
          </w:p>
        </w:tc>
        <w:tc>
          <w:tcPr>
            <w:tcW w:w="1351" w:type="dxa"/>
            <w:vAlign w:val="center"/>
          </w:tcPr>
          <w:p w14:paraId="27D9B824">
            <w:pPr>
              <w:jc w:val="center"/>
              <w:rPr>
                <w:color w:val="auto"/>
                <w:highlight w:val="none"/>
              </w:rPr>
            </w:pPr>
          </w:p>
        </w:tc>
        <w:tc>
          <w:tcPr>
            <w:tcW w:w="1352" w:type="dxa"/>
            <w:vAlign w:val="center"/>
          </w:tcPr>
          <w:p w14:paraId="489A4561">
            <w:pPr>
              <w:jc w:val="center"/>
              <w:rPr>
                <w:rFonts w:ascii="宋体" w:hAnsi="宋体"/>
                <w:color w:val="auto"/>
                <w:szCs w:val="44"/>
                <w:highlight w:val="none"/>
              </w:rPr>
            </w:pPr>
          </w:p>
        </w:tc>
        <w:tc>
          <w:tcPr>
            <w:tcW w:w="1352" w:type="dxa"/>
            <w:vAlign w:val="center"/>
          </w:tcPr>
          <w:p w14:paraId="3A70DEA1">
            <w:pPr>
              <w:jc w:val="center"/>
              <w:rPr>
                <w:rFonts w:ascii="宋体" w:hAnsi="宋体"/>
                <w:color w:val="auto"/>
                <w:szCs w:val="44"/>
                <w:highlight w:val="none"/>
              </w:rPr>
            </w:pPr>
          </w:p>
        </w:tc>
        <w:tc>
          <w:tcPr>
            <w:tcW w:w="1351" w:type="dxa"/>
            <w:vAlign w:val="center"/>
          </w:tcPr>
          <w:p w14:paraId="3BCF2D15">
            <w:pPr>
              <w:jc w:val="center"/>
              <w:rPr>
                <w:rFonts w:ascii="宋体" w:hAnsi="宋体"/>
                <w:color w:val="auto"/>
                <w:szCs w:val="44"/>
                <w:highlight w:val="none"/>
              </w:rPr>
            </w:pPr>
          </w:p>
        </w:tc>
        <w:tc>
          <w:tcPr>
            <w:tcW w:w="1352" w:type="dxa"/>
            <w:vAlign w:val="center"/>
          </w:tcPr>
          <w:p w14:paraId="5C4D6858">
            <w:pPr>
              <w:jc w:val="center"/>
              <w:rPr>
                <w:rFonts w:ascii="宋体" w:hAnsi="宋体"/>
                <w:color w:val="auto"/>
                <w:szCs w:val="44"/>
                <w:highlight w:val="none"/>
              </w:rPr>
            </w:pPr>
          </w:p>
        </w:tc>
        <w:tc>
          <w:tcPr>
            <w:tcW w:w="1352" w:type="dxa"/>
            <w:vAlign w:val="center"/>
          </w:tcPr>
          <w:p w14:paraId="6BE591E5">
            <w:pPr>
              <w:jc w:val="center"/>
              <w:rPr>
                <w:rFonts w:ascii="宋体" w:hAnsi="宋体"/>
                <w:color w:val="auto"/>
                <w:szCs w:val="44"/>
                <w:highlight w:val="none"/>
              </w:rPr>
            </w:pPr>
          </w:p>
        </w:tc>
        <w:tc>
          <w:tcPr>
            <w:tcW w:w="1359" w:type="dxa"/>
            <w:vAlign w:val="center"/>
          </w:tcPr>
          <w:p w14:paraId="133B0E08">
            <w:pPr>
              <w:jc w:val="center"/>
              <w:rPr>
                <w:rFonts w:ascii="宋体" w:hAnsi="宋体"/>
                <w:color w:val="auto"/>
                <w:szCs w:val="44"/>
                <w:highlight w:val="none"/>
              </w:rPr>
            </w:pPr>
          </w:p>
        </w:tc>
        <w:tc>
          <w:tcPr>
            <w:tcW w:w="1967" w:type="dxa"/>
            <w:vAlign w:val="center"/>
          </w:tcPr>
          <w:p w14:paraId="6EA1CAE8">
            <w:pPr>
              <w:jc w:val="center"/>
              <w:rPr>
                <w:rFonts w:ascii="宋体" w:hAnsi="宋体"/>
                <w:color w:val="auto"/>
                <w:szCs w:val="44"/>
                <w:highlight w:val="none"/>
              </w:rPr>
            </w:pPr>
          </w:p>
        </w:tc>
      </w:tr>
      <w:tr w14:paraId="1127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26AF58A5">
            <w:pPr>
              <w:jc w:val="center"/>
              <w:rPr>
                <w:rFonts w:ascii="宋体" w:hAnsi="宋体"/>
                <w:color w:val="auto"/>
                <w:szCs w:val="44"/>
                <w:highlight w:val="none"/>
              </w:rPr>
            </w:pPr>
            <w:r>
              <w:rPr>
                <w:rFonts w:hint="eastAsia" w:ascii="宋体" w:hAnsi="宋体"/>
                <w:color w:val="auto"/>
                <w:szCs w:val="44"/>
                <w:highlight w:val="none"/>
              </w:rPr>
              <w:t>5</w:t>
            </w:r>
          </w:p>
        </w:tc>
        <w:tc>
          <w:tcPr>
            <w:tcW w:w="1804" w:type="dxa"/>
            <w:vAlign w:val="center"/>
          </w:tcPr>
          <w:p w14:paraId="6800243D">
            <w:pPr>
              <w:jc w:val="center"/>
              <w:rPr>
                <w:rFonts w:ascii="宋体" w:hAnsi="宋体"/>
                <w:color w:val="auto"/>
                <w:szCs w:val="44"/>
                <w:highlight w:val="none"/>
              </w:rPr>
            </w:pPr>
          </w:p>
        </w:tc>
        <w:tc>
          <w:tcPr>
            <w:tcW w:w="1351" w:type="dxa"/>
            <w:vAlign w:val="center"/>
          </w:tcPr>
          <w:p w14:paraId="000514BB">
            <w:pPr>
              <w:jc w:val="center"/>
              <w:rPr>
                <w:color w:val="auto"/>
                <w:highlight w:val="none"/>
              </w:rPr>
            </w:pPr>
          </w:p>
        </w:tc>
        <w:tc>
          <w:tcPr>
            <w:tcW w:w="1352" w:type="dxa"/>
            <w:vAlign w:val="center"/>
          </w:tcPr>
          <w:p w14:paraId="2AEB986A">
            <w:pPr>
              <w:jc w:val="center"/>
              <w:rPr>
                <w:rFonts w:ascii="宋体" w:hAnsi="宋体"/>
                <w:color w:val="auto"/>
                <w:szCs w:val="44"/>
                <w:highlight w:val="none"/>
              </w:rPr>
            </w:pPr>
          </w:p>
        </w:tc>
        <w:tc>
          <w:tcPr>
            <w:tcW w:w="1352" w:type="dxa"/>
            <w:vAlign w:val="center"/>
          </w:tcPr>
          <w:p w14:paraId="5BF2F4DD">
            <w:pPr>
              <w:jc w:val="center"/>
              <w:rPr>
                <w:rFonts w:ascii="宋体" w:hAnsi="宋体"/>
                <w:color w:val="auto"/>
                <w:szCs w:val="44"/>
                <w:highlight w:val="none"/>
              </w:rPr>
            </w:pPr>
          </w:p>
        </w:tc>
        <w:tc>
          <w:tcPr>
            <w:tcW w:w="1351" w:type="dxa"/>
            <w:vAlign w:val="center"/>
          </w:tcPr>
          <w:p w14:paraId="31869C09">
            <w:pPr>
              <w:jc w:val="center"/>
              <w:rPr>
                <w:rFonts w:ascii="宋体" w:hAnsi="宋体"/>
                <w:color w:val="auto"/>
                <w:szCs w:val="44"/>
                <w:highlight w:val="none"/>
              </w:rPr>
            </w:pPr>
          </w:p>
        </w:tc>
        <w:tc>
          <w:tcPr>
            <w:tcW w:w="1352" w:type="dxa"/>
            <w:vAlign w:val="center"/>
          </w:tcPr>
          <w:p w14:paraId="43411C0E">
            <w:pPr>
              <w:jc w:val="center"/>
              <w:rPr>
                <w:rFonts w:ascii="宋体" w:hAnsi="宋体"/>
                <w:color w:val="auto"/>
                <w:szCs w:val="44"/>
                <w:highlight w:val="none"/>
              </w:rPr>
            </w:pPr>
          </w:p>
        </w:tc>
        <w:tc>
          <w:tcPr>
            <w:tcW w:w="1352" w:type="dxa"/>
            <w:vAlign w:val="center"/>
          </w:tcPr>
          <w:p w14:paraId="0A751472">
            <w:pPr>
              <w:jc w:val="center"/>
              <w:rPr>
                <w:rFonts w:ascii="宋体" w:hAnsi="宋体"/>
                <w:color w:val="auto"/>
                <w:szCs w:val="44"/>
                <w:highlight w:val="none"/>
              </w:rPr>
            </w:pPr>
          </w:p>
        </w:tc>
        <w:tc>
          <w:tcPr>
            <w:tcW w:w="1359" w:type="dxa"/>
            <w:vAlign w:val="center"/>
          </w:tcPr>
          <w:p w14:paraId="3DD4BD48">
            <w:pPr>
              <w:jc w:val="center"/>
              <w:rPr>
                <w:rFonts w:ascii="宋体" w:hAnsi="宋体"/>
                <w:color w:val="auto"/>
                <w:szCs w:val="44"/>
                <w:highlight w:val="none"/>
              </w:rPr>
            </w:pPr>
          </w:p>
        </w:tc>
        <w:tc>
          <w:tcPr>
            <w:tcW w:w="1967" w:type="dxa"/>
            <w:vAlign w:val="center"/>
          </w:tcPr>
          <w:p w14:paraId="266612E9">
            <w:pPr>
              <w:jc w:val="center"/>
              <w:rPr>
                <w:rFonts w:ascii="宋体" w:hAnsi="宋体"/>
                <w:color w:val="auto"/>
                <w:szCs w:val="44"/>
                <w:highlight w:val="none"/>
              </w:rPr>
            </w:pPr>
          </w:p>
        </w:tc>
      </w:tr>
      <w:tr w14:paraId="3813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144810B1">
            <w:pPr>
              <w:jc w:val="center"/>
              <w:rPr>
                <w:rFonts w:ascii="宋体" w:hAnsi="宋体"/>
                <w:color w:val="auto"/>
                <w:szCs w:val="44"/>
                <w:highlight w:val="none"/>
              </w:rPr>
            </w:pPr>
            <w:r>
              <w:rPr>
                <w:rFonts w:hint="eastAsia" w:ascii="宋体" w:hAnsi="宋体"/>
                <w:color w:val="auto"/>
                <w:szCs w:val="44"/>
                <w:highlight w:val="none"/>
              </w:rPr>
              <w:t>6</w:t>
            </w:r>
          </w:p>
        </w:tc>
        <w:tc>
          <w:tcPr>
            <w:tcW w:w="1804" w:type="dxa"/>
            <w:vAlign w:val="center"/>
          </w:tcPr>
          <w:p w14:paraId="7A75497A">
            <w:pPr>
              <w:jc w:val="center"/>
              <w:rPr>
                <w:rFonts w:ascii="宋体" w:hAnsi="宋体"/>
                <w:color w:val="auto"/>
                <w:szCs w:val="44"/>
                <w:highlight w:val="none"/>
              </w:rPr>
            </w:pPr>
          </w:p>
        </w:tc>
        <w:tc>
          <w:tcPr>
            <w:tcW w:w="1351" w:type="dxa"/>
            <w:vAlign w:val="center"/>
          </w:tcPr>
          <w:p w14:paraId="6E130795">
            <w:pPr>
              <w:jc w:val="center"/>
              <w:rPr>
                <w:color w:val="auto"/>
                <w:highlight w:val="none"/>
              </w:rPr>
            </w:pPr>
          </w:p>
        </w:tc>
        <w:tc>
          <w:tcPr>
            <w:tcW w:w="1352" w:type="dxa"/>
            <w:vAlign w:val="center"/>
          </w:tcPr>
          <w:p w14:paraId="2B54D81B">
            <w:pPr>
              <w:jc w:val="center"/>
              <w:rPr>
                <w:rFonts w:ascii="宋体" w:hAnsi="宋体"/>
                <w:color w:val="auto"/>
                <w:szCs w:val="44"/>
                <w:highlight w:val="none"/>
              </w:rPr>
            </w:pPr>
          </w:p>
        </w:tc>
        <w:tc>
          <w:tcPr>
            <w:tcW w:w="1352" w:type="dxa"/>
            <w:vAlign w:val="center"/>
          </w:tcPr>
          <w:p w14:paraId="52530E58">
            <w:pPr>
              <w:jc w:val="center"/>
              <w:rPr>
                <w:rFonts w:ascii="宋体" w:hAnsi="宋体"/>
                <w:color w:val="auto"/>
                <w:szCs w:val="44"/>
                <w:highlight w:val="none"/>
              </w:rPr>
            </w:pPr>
          </w:p>
        </w:tc>
        <w:tc>
          <w:tcPr>
            <w:tcW w:w="1351" w:type="dxa"/>
            <w:vAlign w:val="center"/>
          </w:tcPr>
          <w:p w14:paraId="63EFF7EB">
            <w:pPr>
              <w:jc w:val="center"/>
              <w:rPr>
                <w:rFonts w:ascii="宋体" w:hAnsi="宋体"/>
                <w:color w:val="auto"/>
                <w:szCs w:val="44"/>
                <w:highlight w:val="none"/>
              </w:rPr>
            </w:pPr>
          </w:p>
        </w:tc>
        <w:tc>
          <w:tcPr>
            <w:tcW w:w="1352" w:type="dxa"/>
            <w:vAlign w:val="center"/>
          </w:tcPr>
          <w:p w14:paraId="1C703A7E">
            <w:pPr>
              <w:jc w:val="center"/>
              <w:rPr>
                <w:rFonts w:ascii="宋体" w:hAnsi="宋体"/>
                <w:color w:val="auto"/>
                <w:szCs w:val="44"/>
                <w:highlight w:val="none"/>
              </w:rPr>
            </w:pPr>
          </w:p>
        </w:tc>
        <w:tc>
          <w:tcPr>
            <w:tcW w:w="1352" w:type="dxa"/>
            <w:vAlign w:val="center"/>
          </w:tcPr>
          <w:p w14:paraId="6FF4A596">
            <w:pPr>
              <w:jc w:val="center"/>
              <w:rPr>
                <w:rFonts w:ascii="宋体" w:hAnsi="宋体"/>
                <w:color w:val="auto"/>
                <w:szCs w:val="44"/>
                <w:highlight w:val="none"/>
              </w:rPr>
            </w:pPr>
          </w:p>
        </w:tc>
        <w:tc>
          <w:tcPr>
            <w:tcW w:w="1359" w:type="dxa"/>
            <w:vAlign w:val="center"/>
          </w:tcPr>
          <w:p w14:paraId="349AD348">
            <w:pPr>
              <w:jc w:val="center"/>
              <w:rPr>
                <w:rFonts w:ascii="宋体" w:hAnsi="宋体"/>
                <w:color w:val="auto"/>
                <w:szCs w:val="44"/>
                <w:highlight w:val="none"/>
              </w:rPr>
            </w:pPr>
          </w:p>
        </w:tc>
        <w:tc>
          <w:tcPr>
            <w:tcW w:w="1967" w:type="dxa"/>
            <w:vAlign w:val="center"/>
          </w:tcPr>
          <w:p w14:paraId="7153F6D0">
            <w:pPr>
              <w:jc w:val="center"/>
              <w:rPr>
                <w:rFonts w:ascii="宋体" w:hAnsi="宋体"/>
                <w:color w:val="auto"/>
                <w:szCs w:val="44"/>
                <w:highlight w:val="none"/>
              </w:rPr>
            </w:pPr>
          </w:p>
        </w:tc>
      </w:tr>
      <w:tr w14:paraId="42F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118FBC72">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04" w:type="dxa"/>
            <w:vAlign w:val="center"/>
          </w:tcPr>
          <w:p w14:paraId="6263C003">
            <w:pPr>
              <w:rPr>
                <w:rFonts w:ascii="宋体" w:hAnsi="宋体"/>
                <w:color w:val="auto"/>
                <w:szCs w:val="21"/>
                <w:highlight w:val="none"/>
              </w:rPr>
            </w:pPr>
          </w:p>
        </w:tc>
        <w:tc>
          <w:tcPr>
            <w:tcW w:w="1351" w:type="dxa"/>
            <w:vAlign w:val="center"/>
          </w:tcPr>
          <w:p w14:paraId="583CD836">
            <w:pPr>
              <w:jc w:val="center"/>
              <w:rPr>
                <w:color w:val="auto"/>
                <w:highlight w:val="none"/>
              </w:rPr>
            </w:pPr>
          </w:p>
        </w:tc>
        <w:tc>
          <w:tcPr>
            <w:tcW w:w="1352" w:type="dxa"/>
            <w:vAlign w:val="center"/>
          </w:tcPr>
          <w:p w14:paraId="7899E5A6">
            <w:pPr>
              <w:jc w:val="center"/>
              <w:rPr>
                <w:rFonts w:ascii="宋体" w:hAnsi="宋体"/>
                <w:color w:val="auto"/>
                <w:szCs w:val="44"/>
                <w:highlight w:val="none"/>
              </w:rPr>
            </w:pPr>
          </w:p>
        </w:tc>
        <w:tc>
          <w:tcPr>
            <w:tcW w:w="1352" w:type="dxa"/>
            <w:vAlign w:val="center"/>
          </w:tcPr>
          <w:p w14:paraId="4EF32187">
            <w:pPr>
              <w:jc w:val="center"/>
              <w:rPr>
                <w:rFonts w:ascii="宋体" w:hAnsi="宋体"/>
                <w:color w:val="auto"/>
                <w:szCs w:val="44"/>
                <w:highlight w:val="none"/>
              </w:rPr>
            </w:pPr>
          </w:p>
        </w:tc>
        <w:tc>
          <w:tcPr>
            <w:tcW w:w="1351" w:type="dxa"/>
            <w:vAlign w:val="center"/>
          </w:tcPr>
          <w:p w14:paraId="76839306">
            <w:pPr>
              <w:jc w:val="center"/>
              <w:rPr>
                <w:rFonts w:ascii="宋体" w:hAnsi="宋体"/>
                <w:color w:val="auto"/>
                <w:szCs w:val="44"/>
                <w:highlight w:val="none"/>
              </w:rPr>
            </w:pPr>
          </w:p>
        </w:tc>
        <w:tc>
          <w:tcPr>
            <w:tcW w:w="1352" w:type="dxa"/>
            <w:vAlign w:val="center"/>
          </w:tcPr>
          <w:p w14:paraId="12DB989B">
            <w:pPr>
              <w:jc w:val="center"/>
              <w:rPr>
                <w:rFonts w:ascii="宋体" w:hAnsi="宋体"/>
                <w:color w:val="auto"/>
                <w:szCs w:val="44"/>
                <w:highlight w:val="none"/>
              </w:rPr>
            </w:pPr>
          </w:p>
        </w:tc>
        <w:tc>
          <w:tcPr>
            <w:tcW w:w="1352" w:type="dxa"/>
            <w:vAlign w:val="center"/>
          </w:tcPr>
          <w:p w14:paraId="71E3DA04">
            <w:pPr>
              <w:jc w:val="center"/>
              <w:rPr>
                <w:rFonts w:ascii="宋体" w:hAnsi="宋体"/>
                <w:color w:val="auto"/>
                <w:szCs w:val="44"/>
                <w:highlight w:val="none"/>
              </w:rPr>
            </w:pPr>
          </w:p>
        </w:tc>
        <w:tc>
          <w:tcPr>
            <w:tcW w:w="1359" w:type="dxa"/>
            <w:vAlign w:val="center"/>
          </w:tcPr>
          <w:p w14:paraId="29383ED9">
            <w:pPr>
              <w:jc w:val="center"/>
              <w:rPr>
                <w:rFonts w:ascii="宋体" w:hAnsi="宋体"/>
                <w:color w:val="auto"/>
                <w:szCs w:val="44"/>
                <w:highlight w:val="none"/>
              </w:rPr>
            </w:pPr>
          </w:p>
        </w:tc>
        <w:tc>
          <w:tcPr>
            <w:tcW w:w="1967" w:type="dxa"/>
            <w:vAlign w:val="center"/>
          </w:tcPr>
          <w:p w14:paraId="6C2A2B4A">
            <w:pPr>
              <w:jc w:val="center"/>
              <w:rPr>
                <w:rFonts w:ascii="宋体" w:hAnsi="宋体"/>
                <w:color w:val="auto"/>
                <w:szCs w:val="44"/>
                <w:highlight w:val="none"/>
              </w:rPr>
            </w:pPr>
          </w:p>
        </w:tc>
      </w:tr>
      <w:tr w14:paraId="5760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029" w:type="dxa"/>
            <w:gridSpan w:val="10"/>
            <w:vAlign w:val="center"/>
          </w:tcPr>
          <w:p w14:paraId="5B99D88F">
            <w:pPr>
              <w:rPr>
                <w:color w:val="auto"/>
                <w:highlight w:val="none"/>
              </w:rPr>
            </w:pPr>
            <w:r>
              <w:rPr>
                <w:rFonts w:hint="eastAsia"/>
                <w:color w:val="auto"/>
                <w:highlight w:val="none"/>
              </w:rPr>
              <w:t>资信业绩评委签名：</w:t>
            </w:r>
          </w:p>
          <w:p w14:paraId="2B1D9DCD">
            <w:pPr>
              <w:rPr>
                <w:color w:val="auto"/>
                <w:highlight w:val="none"/>
              </w:rPr>
            </w:pPr>
          </w:p>
          <w:p w14:paraId="24C517F6">
            <w:pPr>
              <w:rPr>
                <w:rFonts w:ascii="宋体" w:hAnsi="宋体"/>
                <w:color w:val="auto"/>
                <w:szCs w:val="44"/>
                <w:highlight w:val="none"/>
              </w:rPr>
            </w:pPr>
          </w:p>
          <w:p w14:paraId="74573E90">
            <w:pPr>
              <w:jc w:val="center"/>
              <w:rPr>
                <w:rFonts w:ascii="宋体" w:hAnsi="宋体"/>
                <w:color w:val="auto"/>
                <w:szCs w:val="44"/>
                <w:highlight w:val="none"/>
              </w:rPr>
            </w:pPr>
          </w:p>
        </w:tc>
      </w:tr>
    </w:tbl>
    <w:p w14:paraId="545670C4">
      <w:pPr>
        <w:rPr>
          <w:rFonts w:ascii="宋体" w:hAnsi="宋体"/>
          <w:color w:val="auto"/>
          <w:szCs w:val="44"/>
          <w:highlight w:val="none"/>
        </w:rPr>
      </w:pPr>
    </w:p>
    <w:p w14:paraId="5D0CCA94">
      <w:pPr>
        <w:ind w:firstLine="3780" w:firstLineChars="1800"/>
        <w:jc w:val="right"/>
        <w:rPr>
          <w:color w:val="auto"/>
          <w:highlight w:val="none"/>
        </w:rPr>
      </w:pPr>
      <w:r>
        <w:rPr>
          <w:rFonts w:hint="eastAsia"/>
          <w:color w:val="auto"/>
          <w:highlight w:val="none"/>
        </w:rPr>
        <w:t xml:space="preserve">                      日期：   　　 年    月　  日</w:t>
      </w:r>
      <w:r>
        <w:rPr>
          <w:color w:val="auto"/>
          <w:highlight w:val="none"/>
        </w:rPr>
        <w:br w:type="page"/>
      </w:r>
    </w:p>
    <w:p w14:paraId="5D9E26E4">
      <w:pPr>
        <w:widowControl/>
        <w:jc w:val="left"/>
        <w:rPr>
          <w:color w:val="auto"/>
          <w:highlight w:val="none"/>
        </w:rPr>
      </w:pPr>
    </w:p>
    <w:p w14:paraId="0D4F24DE">
      <w:pPr>
        <w:pStyle w:val="32"/>
        <w:ind w:firstLine="118"/>
        <w:rPr>
          <w:color w:val="auto"/>
          <w:highlight w:val="none"/>
        </w:rPr>
      </w:pPr>
      <w:bookmarkStart w:id="949" w:name="_Toc15817"/>
      <w:bookmarkStart w:id="950" w:name="_Toc148860677"/>
      <w:bookmarkStart w:id="951" w:name="_Toc164716318"/>
      <w:bookmarkStart w:id="952" w:name="_Toc256000148"/>
      <w:r>
        <w:rPr>
          <w:rFonts w:hint="eastAsia"/>
          <w:color w:val="auto"/>
          <w:highlight w:val="none"/>
        </w:rPr>
        <w:t>附表A-1</w:t>
      </w:r>
      <w:r>
        <w:rPr>
          <w:color w:val="auto"/>
          <w:highlight w:val="none"/>
        </w:rPr>
        <w:t>5</w:t>
      </w:r>
      <w:r>
        <w:rPr>
          <w:rFonts w:hint="eastAsia"/>
          <w:color w:val="auto"/>
          <w:highlight w:val="none"/>
        </w:rPr>
        <w:t>：其他因素评审记录表</w:t>
      </w:r>
      <w:bookmarkEnd w:id="949"/>
      <w:bookmarkEnd w:id="950"/>
      <w:bookmarkEnd w:id="951"/>
      <w:bookmarkEnd w:id="952"/>
    </w:p>
    <w:p w14:paraId="48B5B53F">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53" w:name="_Toc149060951"/>
      <w:bookmarkStart w:id="954" w:name="_Toc27026"/>
      <w:bookmarkStart w:id="955" w:name="_Toc149054718"/>
      <w:bookmarkStart w:id="956" w:name="_Toc148860678"/>
      <w:bookmarkStart w:id="957" w:name="_Toc145516080"/>
      <w:r>
        <w:rPr>
          <w:rFonts w:hint="eastAsia" w:ascii="黑体" w:hAnsi="宋体" w:eastAsia="黑体"/>
          <w:color w:val="auto"/>
          <w:sz w:val="36"/>
          <w:szCs w:val="36"/>
          <w:highlight w:val="none"/>
        </w:rPr>
        <w:t>其他因素评审记录表</w:t>
      </w:r>
      <w:bookmarkEnd w:id="953"/>
      <w:bookmarkEnd w:id="954"/>
      <w:bookmarkEnd w:id="955"/>
      <w:bookmarkEnd w:id="956"/>
      <w:bookmarkEnd w:id="957"/>
    </w:p>
    <w:p w14:paraId="6040A5C8">
      <w:pPr>
        <w:ind w:firstLine="210" w:firstLineChars="100"/>
        <w:rPr>
          <w:rFonts w:ascii="宋体" w:hAnsi="宋体"/>
          <w:color w:val="auto"/>
          <w:szCs w:val="44"/>
          <w:highlight w:val="none"/>
        </w:rPr>
      </w:pPr>
      <w:r>
        <w:rPr>
          <w:rFonts w:hint="eastAsia" w:ascii="宋体" w:hAnsi="宋体"/>
          <w:color w:val="auto"/>
          <w:szCs w:val="44"/>
          <w:highlight w:val="none"/>
        </w:rPr>
        <w:t>标段名称：</w:t>
      </w:r>
    </w:p>
    <w:p w14:paraId="44AFEA07">
      <w:pPr>
        <w:ind w:firstLine="210" w:firstLineChars="100"/>
        <w:rPr>
          <w:color w:val="auto"/>
          <w:szCs w:val="44"/>
          <w:highlight w:val="none"/>
        </w:rPr>
      </w:pPr>
      <w:r>
        <w:rPr>
          <w:rFonts w:hint="eastAsia"/>
          <w:color w:val="auto"/>
          <w:szCs w:val="44"/>
          <w:highlight w:val="none"/>
        </w:rPr>
        <w:t>标段唯一标识码：</w:t>
      </w:r>
    </w:p>
    <w:tbl>
      <w:tblPr>
        <w:tblStyle w:val="23"/>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204"/>
        <w:gridCol w:w="1995"/>
      </w:tblGrid>
      <w:tr w14:paraId="2EA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55D5262A">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74BDF432">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086" w:type="dxa"/>
            <w:gridSpan w:val="7"/>
            <w:vAlign w:val="center"/>
          </w:tcPr>
          <w:p w14:paraId="2BCA4D3D">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995" w:type="dxa"/>
            <w:vMerge w:val="restart"/>
            <w:vAlign w:val="center"/>
          </w:tcPr>
          <w:p w14:paraId="1398D580">
            <w:pPr>
              <w:jc w:val="center"/>
              <w:rPr>
                <w:rFonts w:ascii="宋体" w:hAnsi="宋体"/>
                <w:b/>
                <w:bCs/>
                <w:color w:val="auto"/>
                <w:szCs w:val="44"/>
                <w:highlight w:val="none"/>
              </w:rPr>
            </w:pPr>
            <w:r>
              <w:rPr>
                <w:rFonts w:hint="eastAsia" w:ascii="宋体" w:hAnsi="宋体"/>
                <w:b/>
                <w:bCs/>
                <w:color w:val="auto"/>
                <w:szCs w:val="44"/>
                <w:highlight w:val="none"/>
              </w:rPr>
              <w:t>其他因素最终得分</w:t>
            </w:r>
          </w:p>
        </w:tc>
      </w:tr>
      <w:tr w14:paraId="00DB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50DDEF8E">
            <w:pPr>
              <w:jc w:val="center"/>
              <w:rPr>
                <w:rFonts w:ascii="宋体" w:hAnsi="宋体"/>
                <w:color w:val="auto"/>
                <w:szCs w:val="44"/>
                <w:highlight w:val="none"/>
              </w:rPr>
            </w:pPr>
          </w:p>
        </w:tc>
        <w:tc>
          <w:tcPr>
            <w:tcW w:w="1753" w:type="dxa"/>
            <w:vMerge w:val="continue"/>
          </w:tcPr>
          <w:p w14:paraId="4AE5D2A1">
            <w:pPr>
              <w:jc w:val="center"/>
              <w:rPr>
                <w:rFonts w:ascii="宋体" w:hAnsi="宋体"/>
                <w:color w:val="auto"/>
                <w:szCs w:val="44"/>
                <w:highlight w:val="none"/>
              </w:rPr>
            </w:pPr>
          </w:p>
        </w:tc>
        <w:tc>
          <w:tcPr>
            <w:tcW w:w="1313" w:type="dxa"/>
            <w:vAlign w:val="center"/>
          </w:tcPr>
          <w:p w14:paraId="6DA79F4A">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0F0624D7">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02F889D6">
            <w:pPr>
              <w:jc w:val="center"/>
              <w:rPr>
                <w:rFonts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205E1E47">
            <w:pPr>
              <w:jc w:val="center"/>
              <w:rPr>
                <w:rFonts w:ascii="宋体" w:hAnsi="宋体"/>
                <w:b/>
                <w:bCs/>
                <w:color w:val="auto"/>
                <w:szCs w:val="44"/>
                <w:highlight w:val="none"/>
              </w:rPr>
            </w:pPr>
          </w:p>
        </w:tc>
        <w:tc>
          <w:tcPr>
            <w:tcW w:w="1314" w:type="dxa"/>
            <w:vAlign w:val="center"/>
          </w:tcPr>
          <w:p w14:paraId="0E38403E">
            <w:pPr>
              <w:jc w:val="center"/>
              <w:rPr>
                <w:rFonts w:ascii="宋体" w:hAnsi="宋体"/>
                <w:color w:val="auto"/>
                <w:szCs w:val="44"/>
                <w:highlight w:val="none"/>
              </w:rPr>
            </w:pPr>
          </w:p>
        </w:tc>
        <w:tc>
          <w:tcPr>
            <w:tcW w:w="1314" w:type="dxa"/>
            <w:vAlign w:val="center"/>
          </w:tcPr>
          <w:p w14:paraId="64DD686C">
            <w:pPr>
              <w:jc w:val="center"/>
              <w:rPr>
                <w:rFonts w:ascii="宋体" w:hAnsi="宋体"/>
                <w:color w:val="auto"/>
                <w:szCs w:val="44"/>
                <w:highlight w:val="none"/>
              </w:rPr>
            </w:pPr>
          </w:p>
        </w:tc>
        <w:tc>
          <w:tcPr>
            <w:tcW w:w="1204" w:type="dxa"/>
            <w:vAlign w:val="center"/>
          </w:tcPr>
          <w:p w14:paraId="21E2EBD4">
            <w:pPr>
              <w:jc w:val="center"/>
              <w:rPr>
                <w:rFonts w:ascii="宋体" w:hAnsi="宋体"/>
                <w:color w:val="auto"/>
                <w:szCs w:val="44"/>
                <w:highlight w:val="none"/>
              </w:rPr>
            </w:pPr>
          </w:p>
        </w:tc>
        <w:tc>
          <w:tcPr>
            <w:tcW w:w="1995" w:type="dxa"/>
            <w:vMerge w:val="continue"/>
            <w:vAlign w:val="center"/>
          </w:tcPr>
          <w:p w14:paraId="6A3F86BA">
            <w:pPr>
              <w:jc w:val="center"/>
              <w:rPr>
                <w:rFonts w:ascii="宋体" w:hAnsi="宋体"/>
                <w:color w:val="auto"/>
                <w:szCs w:val="44"/>
                <w:highlight w:val="none"/>
              </w:rPr>
            </w:pPr>
          </w:p>
        </w:tc>
      </w:tr>
      <w:tr w14:paraId="2670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703EE3A2">
            <w:pPr>
              <w:jc w:val="center"/>
              <w:rPr>
                <w:rFonts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24BD999A">
            <w:pPr>
              <w:jc w:val="center"/>
              <w:rPr>
                <w:rFonts w:ascii="宋体" w:hAnsi="宋体"/>
                <w:color w:val="auto"/>
                <w:szCs w:val="21"/>
                <w:highlight w:val="none"/>
              </w:rPr>
            </w:pPr>
          </w:p>
        </w:tc>
        <w:tc>
          <w:tcPr>
            <w:tcW w:w="1313" w:type="dxa"/>
            <w:vAlign w:val="center"/>
          </w:tcPr>
          <w:p w14:paraId="2B6C031C">
            <w:pPr>
              <w:rPr>
                <w:rFonts w:ascii="宋体" w:hAnsi="宋体"/>
                <w:color w:val="auto"/>
                <w:szCs w:val="21"/>
                <w:highlight w:val="none"/>
              </w:rPr>
            </w:pPr>
          </w:p>
        </w:tc>
        <w:tc>
          <w:tcPr>
            <w:tcW w:w="1314" w:type="dxa"/>
            <w:vAlign w:val="center"/>
          </w:tcPr>
          <w:p w14:paraId="416B9C3F">
            <w:pPr>
              <w:jc w:val="center"/>
              <w:rPr>
                <w:rFonts w:ascii="宋体" w:hAnsi="宋体"/>
                <w:color w:val="auto"/>
                <w:szCs w:val="44"/>
                <w:highlight w:val="none"/>
              </w:rPr>
            </w:pPr>
          </w:p>
        </w:tc>
        <w:tc>
          <w:tcPr>
            <w:tcW w:w="1314" w:type="dxa"/>
            <w:vAlign w:val="center"/>
          </w:tcPr>
          <w:p w14:paraId="503FD4BF">
            <w:pPr>
              <w:jc w:val="center"/>
              <w:rPr>
                <w:rFonts w:ascii="宋体" w:hAnsi="宋体"/>
                <w:color w:val="auto"/>
                <w:szCs w:val="44"/>
                <w:highlight w:val="none"/>
              </w:rPr>
            </w:pPr>
          </w:p>
        </w:tc>
        <w:tc>
          <w:tcPr>
            <w:tcW w:w="1313" w:type="dxa"/>
            <w:vAlign w:val="center"/>
          </w:tcPr>
          <w:p w14:paraId="26BFBCE6">
            <w:pPr>
              <w:jc w:val="center"/>
              <w:rPr>
                <w:rFonts w:ascii="宋体" w:hAnsi="宋体"/>
                <w:color w:val="auto"/>
                <w:szCs w:val="44"/>
                <w:highlight w:val="none"/>
              </w:rPr>
            </w:pPr>
          </w:p>
        </w:tc>
        <w:tc>
          <w:tcPr>
            <w:tcW w:w="1314" w:type="dxa"/>
            <w:vAlign w:val="center"/>
          </w:tcPr>
          <w:p w14:paraId="6AD3BA1F">
            <w:pPr>
              <w:jc w:val="center"/>
              <w:rPr>
                <w:rFonts w:ascii="宋体" w:hAnsi="宋体"/>
                <w:color w:val="auto"/>
                <w:szCs w:val="44"/>
                <w:highlight w:val="none"/>
              </w:rPr>
            </w:pPr>
          </w:p>
        </w:tc>
        <w:tc>
          <w:tcPr>
            <w:tcW w:w="1314" w:type="dxa"/>
            <w:vAlign w:val="center"/>
          </w:tcPr>
          <w:p w14:paraId="18A8634C">
            <w:pPr>
              <w:jc w:val="center"/>
              <w:rPr>
                <w:rFonts w:ascii="宋体" w:hAnsi="宋体"/>
                <w:color w:val="auto"/>
                <w:szCs w:val="44"/>
                <w:highlight w:val="none"/>
              </w:rPr>
            </w:pPr>
          </w:p>
        </w:tc>
        <w:tc>
          <w:tcPr>
            <w:tcW w:w="1204" w:type="dxa"/>
            <w:vAlign w:val="center"/>
          </w:tcPr>
          <w:p w14:paraId="580413B5">
            <w:pPr>
              <w:jc w:val="center"/>
              <w:rPr>
                <w:rFonts w:ascii="宋体" w:hAnsi="宋体"/>
                <w:color w:val="auto"/>
                <w:szCs w:val="44"/>
                <w:highlight w:val="none"/>
              </w:rPr>
            </w:pPr>
          </w:p>
        </w:tc>
        <w:tc>
          <w:tcPr>
            <w:tcW w:w="1995" w:type="dxa"/>
            <w:vAlign w:val="center"/>
          </w:tcPr>
          <w:p w14:paraId="3E15F655">
            <w:pPr>
              <w:jc w:val="center"/>
              <w:rPr>
                <w:rFonts w:ascii="宋体" w:hAnsi="宋体"/>
                <w:color w:val="auto"/>
                <w:szCs w:val="44"/>
                <w:highlight w:val="none"/>
              </w:rPr>
            </w:pPr>
          </w:p>
        </w:tc>
      </w:tr>
      <w:tr w14:paraId="5DAC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00065FC4">
            <w:pPr>
              <w:jc w:val="center"/>
              <w:rPr>
                <w:rFonts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6ED94305">
            <w:pPr>
              <w:jc w:val="center"/>
              <w:rPr>
                <w:rFonts w:ascii="宋体" w:hAnsi="宋体"/>
                <w:color w:val="auto"/>
                <w:szCs w:val="44"/>
                <w:highlight w:val="none"/>
              </w:rPr>
            </w:pPr>
          </w:p>
        </w:tc>
        <w:tc>
          <w:tcPr>
            <w:tcW w:w="1313" w:type="dxa"/>
            <w:vAlign w:val="center"/>
          </w:tcPr>
          <w:p w14:paraId="1F60E8F9">
            <w:pPr>
              <w:jc w:val="center"/>
              <w:rPr>
                <w:color w:val="auto"/>
                <w:highlight w:val="none"/>
              </w:rPr>
            </w:pPr>
          </w:p>
        </w:tc>
        <w:tc>
          <w:tcPr>
            <w:tcW w:w="1314" w:type="dxa"/>
            <w:vAlign w:val="center"/>
          </w:tcPr>
          <w:p w14:paraId="14090AB1">
            <w:pPr>
              <w:jc w:val="center"/>
              <w:rPr>
                <w:rFonts w:ascii="宋体" w:hAnsi="宋体"/>
                <w:color w:val="auto"/>
                <w:szCs w:val="44"/>
                <w:highlight w:val="none"/>
              </w:rPr>
            </w:pPr>
          </w:p>
        </w:tc>
        <w:tc>
          <w:tcPr>
            <w:tcW w:w="1314" w:type="dxa"/>
            <w:vAlign w:val="center"/>
          </w:tcPr>
          <w:p w14:paraId="4B2A75BA">
            <w:pPr>
              <w:jc w:val="center"/>
              <w:rPr>
                <w:rFonts w:ascii="宋体" w:hAnsi="宋体"/>
                <w:color w:val="auto"/>
                <w:szCs w:val="44"/>
                <w:highlight w:val="none"/>
              </w:rPr>
            </w:pPr>
          </w:p>
        </w:tc>
        <w:tc>
          <w:tcPr>
            <w:tcW w:w="1313" w:type="dxa"/>
            <w:vAlign w:val="center"/>
          </w:tcPr>
          <w:p w14:paraId="1A15EAFB">
            <w:pPr>
              <w:jc w:val="center"/>
              <w:rPr>
                <w:rFonts w:ascii="宋体" w:hAnsi="宋体"/>
                <w:color w:val="auto"/>
                <w:szCs w:val="44"/>
                <w:highlight w:val="none"/>
              </w:rPr>
            </w:pPr>
          </w:p>
        </w:tc>
        <w:tc>
          <w:tcPr>
            <w:tcW w:w="1314" w:type="dxa"/>
            <w:vAlign w:val="center"/>
          </w:tcPr>
          <w:p w14:paraId="33265319">
            <w:pPr>
              <w:jc w:val="center"/>
              <w:rPr>
                <w:rFonts w:ascii="宋体" w:hAnsi="宋体"/>
                <w:color w:val="auto"/>
                <w:szCs w:val="44"/>
                <w:highlight w:val="none"/>
              </w:rPr>
            </w:pPr>
          </w:p>
        </w:tc>
        <w:tc>
          <w:tcPr>
            <w:tcW w:w="1314" w:type="dxa"/>
            <w:vAlign w:val="center"/>
          </w:tcPr>
          <w:p w14:paraId="6DC6FD4F">
            <w:pPr>
              <w:jc w:val="center"/>
              <w:rPr>
                <w:rFonts w:ascii="宋体" w:hAnsi="宋体"/>
                <w:color w:val="auto"/>
                <w:szCs w:val="44"/>
                <w:highlight w:val="none"/>
              </w:rPr>
            </w:pPr>
          </w:p>
        </w:tc>
        <w:tc>
          <w:tcPr>
            <w:tcW w:w="1204" w:type="dxa"/>
            <w:vAlign w:val="center"/>
          </w:tcPr>
          <w:p w14:paraId="7C4D71AF">
            <w:pPr>
              <w:jc w:val="center"/>
              <w:rPr>
                <w:rFonts w:ascii="宋体" w:hAnsi="宋体"/>
                <w:color w:val="auto"/>
                <w:szCs w:val="44"/>
                <w:highlight w:val="none"/>
              </w:rPr>
            </w:pPr>
          </w:p>
        </w:tc>
        <w:tc>
          <w:tcPr>
            <w:tcW w:w="1995" w:type="dxa"/>
            <w:vAlign w:val="center"/>
          </w:tcPr>
          <w:p w14:paraId="43FD0C0D">
            <w:pPr>
              <w:jc w:val="center"/>
              <w:rPr>
                <w:rFonts w:ascii="宋体" w:hAnsi="宋体"/>
                <w:color w:val="auto"/>
                <w:szCs w:val="44"/>
                <w:highlight w:val="none"/>
              </w:rPr>
            </w:pPr>
          </w:p>
        </w:tc>
      </w:tr>
      <w:tr w14:paraId="52E0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0046E093">
            <w:pPr>
              <w:jc w:val="center"/>
              <w:rPr>
                <w:rFonts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09D1F8F1">
            <w:pPr>
              <w:jc w:val="center"/>
              <w:rPr>
                <w:rFonts w:ascii="宋体" w:hAnsi="宋体"/>
                <w:color w:val="auto"/>
                <w:szCs w:val="44"/>
                <w:highlight w:val="none"/>
              </w:rPr>
            </w:pPr>
          </w:p>
        </w:tc>
        <w:tc>
          <w:tcPr>
            <w:tcW w:w="1313" w:type="dxa"/>
            <w:vAlign w:val="center"/>
          </w:tcPr>
          <w:p w14:paraId="300543E8">
            <w:pPr>
              <w:jc w:val="center"/>
              <w:rPr>
                <w:color w:val="auto"/>
                <w:highlight w:val="none"/>
              </w:rPr>
            </w:pPr>
          </w:p>
        </w:tc>
        <w:tc>
          <w:tcPr>
            <w:tcW w:w="1314" w:type="dxa"/>
            <w:vAlign w:val="center"/>
          </w:tcPr>
          <w:p w14:paraId="22BF0F28">
            <w:pPr>
              <w:jc w:val="center"/>
              <w:rPr>
                <w:rFonts w:ascii="宋体" w:hAnsi="宋体"/>
                <w:color w:val="auto"/>
                <w:szCs w:val="44"/>
                <w:highlight w:val="none"/>
              </w:rPr>
            </w:pPr>
          </w:p>
        </w:tc>
        <w:tc>
          <w:tcPr>
            <w:tcW w:w="1314" w:type="dxa"/>
            <w:vAlign w:val="center"/>
          </w:tcPr>
          <w:p w14:paraId="74F60A9D">
            <w:pPr>
              <w:jc w:val="center"/>
              <w:rPr>
                <w:rFonts w:ascii="宋体" w:hAnsi="宋体"/>
                <w:color w:val="auto"/>
                <w:szCs w:val="44"/>
                <w:highlight w:val="none"/>
              </w:rPr>
            </w:pPr>
          </w:p>
        </w:tc>
        <w:tc>
          <w:tcPr>
            <w:tcW w:w="1313" w:type="dxa"/>
            <w:vAlign w:val="center"/>
          </w:tcPr>
          <w:p w14:paraId="2E0EC579">
            <w:pPr>
              <w:jc w:val="center"/>
              <w:rPr>
                <w:rFonts w:ascii="宋体" w:hAnsi="宋体"/>
                <w:color w:val="auto"/>
                <w:szCs w:val="44"/>
                <w:highlight w:val="none"/>
              </w:rPr>
            </w:pPr>
          </w:p>
        </w:tc>
        <w:tc>
          <w:tcPr>
            <w:tcW w:w="1314" w:type="dxa"/>
            <w:vAlign w:val="center"/>
          </w:tcPr>
          <w:p w14:paraId="5F785B9C">
            <w:pPr>
              <w:jc w:val="center"/>
              <w:rPr>
                <w:rFonts w:ascii="宋体" w:hAnsi="宋体"/>
                <w:color w:val="auto"/>
                <w:szCs w:val="44"/>
                <w:highlight w:val="none"/>
              </w:rPr>
            </w:pPr>
          </w:p>
        </w:tc>
        <w:tc>
          <w:tcPr>
            <w:tcW w:w="1314" w:type="dxa"/>
            <w:vAlign w:val="center"/>
          </w:tcPr>
          <w:p w14:paraId="58C157C1">
            <w:pPr>
              <w:jc w:val="center"/>
              <w:rPr>
                <w:rFonts w:ascii="宋体" w:hAnsi="宋体"/>
                <w:color w:val="auto"/>
                <w:szCs w:val="44"/>
                <w:highlight w:val="none"/>
              </w:rPr>
            </w:pPr>
          </w:p>
        </w:tc>
        <w:tc>
          <w:tcPr>
            <w:tcW w:w="1204" w:type="dxa"/>
            <w:vAlign w:val="center"/>
          </w:tcPr>
          <w:p w14:paraId="0315D28A">
            <w:pPr>
              <w:jc w:val="center"/>
              <w:rPr>
                <w:rFonts w:ascii="宋体" w:hAnsi="宋体"/>
                <w:color w:val="auto"/>
                <w:szCs w:val="44"/>
                <w:highlight w:val="none"/>
              </w:rPr>
            </w:pPr>
          </w:p>
        </w:tc>
        <w:tc>
          <w:tcPr>
            <w:tcW w:w="1995" w:type="dxa"/>
            <w:vAlign w:val="center"/>
          </w:tcPr>
          <w:p w14:paraId="71EF6746">
            <w:pPr>
              <w:jc w:val="center"/>
              <w:rPr>
                <w:rFonts w:ascii="宋体" w:hAnsi="宋体"/>
                <w:color w:val="auto"/>
                <w:szCs w:val="44"/>
                <w:highlight w:val="none"/>
              </w:rPr>
            </w:pPr>
          </w:p>
        </w:tc>
      </w:tr>
      <w:tr w14:paraId="3993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ACAE2AE">
            <w:pPr>
              <w:jc w:val="center"/>
              <w:rPr>
                <w:rFonts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680EEB09">
            <w:pPr>
              <w:jc w:val="center"/>
              <w:rPr>
                <w:rFonts w:ascii="宋体" w:hAnsi="宋体"/>
                <w:color w:val="auto"/>
                <w:szCs w:val="44"/>
                <w:highlight w:val="none"/>
              </w:rPr>
            </w:pPr>
          </w:p>
        </w:tc>
        <w:tc>
          <w:tcPr>
            <w:tcW w:w="1313" w:type="dxa"/>
            <w:vAlign w:val="center"/>
          </w:tcPr>
          <w:p w14:paraId="73782553">
            <w:pPr>
              <w:jc w:val="center"/>
              <w:rPr>
                <w:color w:val="auto"/>
                <w:highlight w:val="none"/>
              </w:rPr>
            </w:pPr>
          </w:p>
        </w:tc>
        <w:tc>
          <w:tcPr>
            <w:tcW w:w="1314" w:type="dxa"/>
            <w:vAlign w:val="center"/>
          </w:tcPr>
          <w:p w14:paraId="21191890">
            <w:pPr>
              <w:jc w:val="center"/>
              <w:rPr>
                <w:rFonts w:ascii="宋体" w:hAnsi="宋体"/>
                <w:color w:val="auto"/>
                <w:szCs w:val="44"/>
                <w:highlight w:val="none"/>
              </w:rPr>
            </w:pPr>
          </w:p>
        </w:tc>
        <w:tc>
          <w:tcPr>
            <w:tcW w:w="1314" w:type="dxa"/>
            <w:vAlign w:val="center"/>
          </w:tcPr>
          <w:p w14:paraId="36B0B1EE">
            <w:pPr>
              <w:jc w:val="center"/>
              <w:rPr>
                <w:rFonts w:ascii="宋体" w:hAnsi="宋体"/>
                <w:color w:val="auto"/>
                <w:szCs w:val="44"/>
                <w:highlight w:val="none"/>
              </w:rPr>
            </w:pPr>
          </w:p>
        </w:tc>
        <w:tc>
          <w:tcPr>
            <w:tcW w:w="1313" w:type="dxa"/>
            <w:vAlign w:val="center"/>
          </w:tcPr>
          <w:p w14:paraId="7D0F60A0">
            <w:pPr>
              <w:jc w:val="center"/>
              <w:rPr>
                <w:rFonts w:ascii="宋体" w:hAnsi="宋体"/>
                <w:color w:val="auto"/>
                <w:szCs w:val="44"/>
                <w:highlight w:val="none"/>
              </w:rPr>
            </w:pPr>
          </w:p>
        </w:tc>
        <w:tc>
          <w:tcPr>
            <w:tcW w:w="1314" w:type="dxa"/>
            <w:vAlign w:val="center"/>
          </w:tcPr>
          <w:p w14:paraId="51BDE490">
            <w:pPr>
              <w:jc w:val="center"/>
              <w:rPr>
                <w:rFonts w:ascii="宋体" w:hAnsi="宋体"/>
                <w:color w:val="auto"/>
                <w:szCs w:val="44"/>
                <w:highlight w:val="none"/>
              </w:rPr>
            </w:pPr>
          </w:p>
        </w:tc>
        <w:tc>
          <w:tcPr>
            <w:tcW w:w="1314" w:type="dxa"/>
            <w:vAlign w:val="center"/>
          </w:tcPr>
          <w:p w14:paraId="0B35F9F2">
            <w:pPr>
              <w:jc w:val="center"/>
              <w:rPr>
                <w:rFonts w:ascii="宋体" w:hAnsi="宋体"/>
                <w:color w:val="auto"/>
                <w:szCs w:val="44"/>
                <w:highlight w:val="none"/>
              </w:rPr>
            </w:pPr>
          </w:p>
        </w:tc>
        <w:tc>
          <w:tcPr>
            <w:tcW w:w="1204" w:type="dxa"/>
            <w:vAlign w:val="center"/>
          </w:tcPr>
          <w:p w14:paraId="4CAB6E65">
            <w:pPr>
              <w:jc w:val="center"/>
              <w:rPr>
                <w:rFonts w:ascii="宋体" w:hAnsi="宋体"/>
                <w:color w:val="auto"/>
                <w:szCs w:val="44"/>
                <w:highlight w:val="none"/>
              </w:rPr>
            </w:pPr>
          </w:p>
        </w:tc>
        <w:tc>
          <w:tcPr>
            <w:tcW w:w="1995" w:type="dxa"/>
            <w:vAlign w:val="center"/>
          </w:tcPr>
          <w:p w14:paraId="244B99DC">
            <w:pPr>
              <w:jc w:val="center"/>
              <w:rPr>
                <w:rFonts w:ascii="宋体" w:hAnsi="宋体"/>
                <w:color w:val="auto"/>
                <w:szCs w:val="44"/>
                <w:highlight w:val="none"/>
              </w:rPr>
            </w:pPr>
          </w:p>
        </w:tc>
      </w:tr>
      <w:tr w14:paraId="2ADD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4ACEF2BB">
            <w:pPr>
              <w:jc w:val="center"/>
              <w:rPr>
                <w:rFonts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6755947D">
            <w:pPr>
              <w:jc w:val="center"/>
              <w:rPr>
                <w:rFonts w:ascii="宋体" w:hAnsi="宋体"/>
                <w:color w:val="auto"/>
                <w:szCs w:val="44"/>
                <w:highlight w:val="none"/>
              </w:rPr>
            </w:pPr>
          </w:p>
        </w:tc>
        <w:tc>
          <w:tcPr>
            <w:tcW w:w="1313" w:type="dxa"/>
            <w:tcBorders>
              <w:bottom w:val="single" w:color="auto" w:sz="4" w:space="0"/>
            </w:tcBorders>
            <w:vAlign w:val="center"/>
          </w:tcPr>
          <w:p w14:paraId="2B4A9673">
            <w:pPr>
              <w:jc w:val="center"/>
              <w:rPr>
                <w:color w:val="auto"/>
                <w:highlight w:val="none"/>
              </w:rPr>
            </w:pPr>
          </w:p>
        </w:tc>
        <w:tc>
          <w:tcPr>
            <w:tcW w:w="1314" w:type="dxa"/>
            <w:tcBorders>
              <w:bottom w:val="single" w:color="auto" w:sz="4" w:space="0"/>
            </w:tcBorders>
            <w:vAlign w:val="center"/>
          </w:tcPr>
          <w:p w14:paraId="6378147A">
            <w:pPr>
              <w:jc w:val="center"/>
              <w:rPr>
                <w:rFonts w:ascii="宋体" w:hAnsi="宋体"/>
                <w:color w:val="auto"/>
                <w:szCs w:val="44"/>
                <w:highlight w:val="none"/>
              </w:rPr>
            </w:pPr>
          </w:p>
        </w:tc>
        <w:tc>
          <w:tcPr>
            <w:tcW w:w="1314" w:type="dxa"/>
            <w:tcBorders>
              <w:bottom w:val="single" w:color="auto" w:sz="4" w:space="0"/>
            </w:tcBorders>
            <w:vAlign w:val="center"/>
          </w:tcPr>
          <w:p w14:paraId="5D5EC61F">
            <w:pPr>
              <w:jc w:val="center"/>
              <w:rPr>
                <w:rFonts w:ascii="宋体" w:hAnsi="宋体"/>
                <w:color w:val="auto"/>
                <w:szCs w:val="44"/>
                <w:highlight w:val="none"/>
              </w:rPr>
            </w:pPr>
          </w:p>
        </w:tc>
        <w:tc>
          <w:tcPr>
            <w:tcW w:w="1313" w:type="dxa"/>
            <w:tcBorders>
              <w:bottom w:val="single" w:color="auto" w:sz="4" w:space="0"/>
            </w:tcBorders>
            <w:vAlign w:val="center"/>
          </w:tcPr>
          <w:p w14:paraId="4DE60D7E">
            <w:pPr>
              <w:jc w:val="center"/>
              <w:rPr>
                <w:rFonts w:ascii="宋体" w:hAnsi="宋体"/>
                <w:color w:val="auto"/>
                <w:szCs w:val="44"/>
                <w:highlight w:val="none"/>
              </w:rPr>
            </w:pPr>
          </w:p>
        </w:tc>
        <w:tc>
          <w:tcPr>
            <w:tcW w:w="1314" w:type="dxa"/>
            <w:tcBorders>
              <w:bottom w:val="single" w:color="auto" w:sz="4" w:space="0"/>
            </w:tcBorders>
            <w:vAlign w:val="center"/>
          </w:tcPr>
          <w:p w14:paraId="24016633">
            <w:pPr>
              <w:jc w:val="center"/>
              <w:rPr>
                <w:rFonts w:ascii="宋体" w:hAnsi="宋体"/>
                <w:color w:val="auto"/>
                <w:szCs w:val="44"/>
                <w:highlight w:val="none"/>
              </w:rPr>
            </w:pPr>
          </w:p>
        </w:tc>
        <w:tc>
          <w:tcPr>
            <w:tcW w:w="1314" w:type="dxa"/>
            <w:tcBorders>
              <w:bottom w:val="single" w:color="auto" w:sz="4" w:space="0"/>
            </w:tcBorders>
            <w:vAlign w:val="center"/>
          </w:tcPr>
          <w:p w14:paraId="56F066AF">
            <w:pPr>
              <w:jc w:val="center"/>
              <w:rPr>
                <w:rFonts w:ascii="宋体" w:hAnsi="宋体"/>
                <w:color w:val="auto"/>
                <w:szCs w:val="44"/>
                <w:highlight w:val="none"/>
              </w:rPr>
            </w:pPr>
          </w:p>
        </w:tc>
        <w:tc>
          <w:tcPr>
            <w:tcW w:w="1204" w:type="dxa"/>
            <w:tcBorders>
              <w:bottom w:val="single" w:color="auto" w:sz="4" w:space="0"/>
            </w:tcBorders>
            <w:vAlign w:val="center"/>
          </w:tcPr>
          <w:p w14:paraId="00AEB343">
            <w:pPr>
              <w:jc w:val="center"/>
              <w:rPr>
                <w:rFonts w:ascii="宋体" w:hAnsi="宋体"/>
                <w:color w:val="auto"/>
                <w:szCs w:val="44"/>
                <w:highlight w:val="none"/>
              </w:rPr>
            </w:pPr>
          </w:p>
        </w:tc>
        <w:tc>
          <w:tcPr>
            <w:tcW w:w="1995" w:type="dxa"/>
            <w:tcBorders>
              <w:bottom w:val="single" w:color="auto" w:sz="4" w:space="0"/>
            </w:tcBorders>
            <w:vAlign w:val="center"/>
          </w:tcPr>
          <w:p w14:paraId="1680494B">
            <w:pPr>
              <w:jc w:val="center"/>
              <w:rPr>
                <w:rFonts w:ascii="宋体" w:hAnsi="宋体"/>
                <w:color w:val="auto"/>
                <w:szCs w:val="44"/>
                <w:highlight w:val="none"/>
              </w:rPr>
            </w:pPr>
          </w:p>
        </w:tc>
      </w:tr>
      <w:tr w14:paraId="3CDA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66AEBE5">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57166D59">
            <w:pPr>
              <w:rPr>
                <w:rFonts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3656E9E3">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C321DF4">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46B482D">
            <w:pPr>
              <w:jc w:val="center"/>
              <w:rPr>
                <w:rFonts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096C107C">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15D76E0">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0D5B167">
            <w:pPr>
              <w:jc w:val="center"/>
              <w:rPr>
                <w:rFonts w:ascii="宋体" w:hAnsi="宋体"/>
                <w:color w:val="auto"/>
                <w:szCs w:val="44"/>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14:paraId="1AB02472">
            <w:pPr>
              <w:jc w:val="center"/>
              <w:rPr>
                <w:rFonts w:ascii="宋体" w:hAnsi="宋体"/>
                <w:color w:val="auto"/>
                <w:szCs w:val="4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28BF70">
            <w:pPr>
              <w:jc w:val="center"/>
              <w:rPr>
                <w:rFonts w:ascii="宋体" w:hAnsi="宋体"/>
                <w:color w:val="auto"/>
                <w:szCs w:val="44"/>
                <w:highlight w:val="none"/>
              </w:rPr>
            </w:pPr>
          </w:p>
        </w:tc>
      </w:tr>
      <w:tr w14:paraId="600D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40705017">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1A329820">
            <w:pPr>
              <w:jc w:val="left"/>
              <w:rPr>
                <w:rFonts w:ascii="宋体" w:hAnsi="宋体"/>
                <w:color w:val="auto"/>
                <w:szCs w:val="44"/>
                <w:highlight w:val="none"/>
              </w:rPr>
            </w:pPr>
          </w:p>
          <w:p w14:paraId="455C63B0">
            <w:pPr>
              <w:jc w:val="left"/>
              <w:rPr>
                <w:rFonts w:ascii="宋体" w:hAnsi="宋体"/>
                <w:color w:val="auto"/>
                <w:szCs w:val="44"/>
                <w:highlight w:val="none"/>
              </w:rPr>
            </w:pPr>
          </w:p>
          <w:p w14:paraId="1D7D4D4C">
            <w:pPr>
              <w:jc w:val="center"/>
              <w:rPr>
                <w:rFonts w:ascii="宋体" w:hAnsi="宋体"/>
                <w:color w:val="auto"/>
                <w:szCs w:val="44"/>
                <w:highlight w:val="none"/>
              </w:rPr>
            </w:pPr>
          </w:p>
        </w:tc>
      </w:tr>
    </w:tbl>
    <w:p w14:paraId="2ECBDDB7">
      <w:pPr>
        <w:ind w:firstLine="10080" w:firstLineChars="4800"/>
        <w:rPr>
          <w:color w:val="auto"/>
          <w:highlight w:val="none"/>
        </w:rPr>
      </w:pPr>
      <w:r>
        <w:rPr>
          <w:rFonts w:hint="eastAsia"/>
          <w:color w:val="auto"/>
          <w:highlight w:val="none"/>
        </w:rPr>
        <w:t xml:space="preserve">     日期：   　　 年    月　  日</w:t>
      </w:r>
    </w:p>
    <w:p w14:paraId="234014CC">
      <w:pPr>
        <w:widowControl/>
        <w:jc w:val="left"/>
        <w:rPr>
          <w:color w:val="auto"/>
          <w:highlight w:val="none"/>
        </w:rPr>
      </w:pPr>
      <w:r>
        <w:rPr>
          <w:color w:val="auto"/>
          <w:highlight w:val="none"/>
        </w:rPr>
        <w:br w:type="page"/>
      </w:r>
    </w:p>
    <w:p w14:paraId="4CB46A87">
      <w:pPr>
        <w:ind w:firstLine="10080" w:firstLineChars="4800"/>
        <w:rPr>
          <w:color w:val="auto"/>
          <w:highlight w:val="none"/>
        </w:rPr>
      </w:pPr>
    </w:p>
    <w:p w14:paraId="07CB25BF">
      <w:pPr>
        <w:pStyle w:val="32"/>
        <w:ind w:firstLine="118"/>
        <w:rPr>
          <w:color w:val="auto"/>
          <w:highlight w:val="none"/>
        </w:rPr>
      </w:pPr>
      <w:bookmarkStart w:id="958" w:name="_Toc256000149"/>
      <w:bookmarkStart w:id="959" w:name="_Toc148860679"/>
      <w:bookmarkStart w:id="960" w:name="_Toc164716319"/>
      <w:bookmarkStart w:id="961" w:name="_Toc7897"/>
      <w:r>
        <w:rPr>
          <w:rFonts w:hint="eastAsia"/>
          <w:color w:val="auto"/>
          <w:highlight w:val="none"/>
        </w:rPr>
        <w:t>附表A-1</w:t>
      </w:r>
      <w:r>
        <w:rPr>
          <w:color w:val="auto"/>
          <w:highlight w:val="none"/>
        </w:rPr>
        <w:t>6</w:t>
      </w:r>
      <w:r>
        <w:rPr>
          <w:rFonts w:hint="eastAsia"/>
          <w:color w:val="auto"/>
          <w:highlight w:val="none"/>
        </w:rPr>
        <w:t>：详细评审评分汇总表</w:t>
      </w:r>
      <w:bookmarkEnd w:id="958"/>
      <w:bookmarkEnd w:id="959"/>
      <w:bookmarkEnd w:id="960"/>
      <w:bookmarkEnd w:id="961"/>
    </w:p>
    <w:p w14:paraId="4166DC80">
      <w:pPr>
        <w:adjustRightInd w:val="0"/>
        <w:snapToGrid w:val="0"/>
        <w:spacing w:before="240" w:beforeLines="100" w:after="240" w:afterLines="100" w:line="440" w:lineRule="exact"/>
        <w:jc w:val="center"/>
        <w:rPr>
          <w:rFonts w:ascii="黑体" w:eastAsia="黑体"/>
          <w:color w:val="auto"/>
          <w:sz w:val="36"/>
          <w:szCs w:val="36"/>
          <w:highlight w:val="none"/>
        </w:rPr>
      </w:pPr>
      <w:r>
        <w:rPr>
          <w:rFonts w:hint="eastAsia" w:ascii="黑体" w:eastAsia="黑体"/>
          <w:color w:val="auto"/>
          <w:sz w:val="36"/>
          <w:szCs w:val="36"/>
          <w:highlight w:val="none"/>
        </w:rPr>
        <w:t>详细评审评分</w:t>
      </w:r>
      <w:r>
        <w:rPr>
          <w:rFonts w:hint="eastAsia" w:ascii="黑体" w:hAnsi="宋体" w:eastAsia="黑体"/>
          <w:color w:val="auto"/>
          <w:sz w:val="36"/>
          <w:szCs w:val="36"/>
          <w:highlight w:val="none"/>
        </w:rPr>
        <w:t>汇总</w:t>
      </w:r>
      <w:r>
        <w:rPr>
          <w:rFonts w:hint="eastAsia" w:ascii="黑体" w:eastAsia="黑体"/>
          <w:color w:val="auto"/>
          <w:sz w:val="36"/>
          <w:szCs w:val="36"/>
          <w:highlight w:val="none"/>
        </w:rPr>
        <w:t>表</w:t>
      </w:r>
    </w:p>
    <w:p w14:paraId="790C7AFC">
      <w:pPr>
        <w:rPr>
          <w:rFonts w:ascii="宋体" w:hAnsi="宋体"/>
          <w:color w:val="auto"/>
          <w:szCs w:val="44"/>
          <w:highlight w:val="none"/>
        </w:rPr>
      </w:pPr>
      <w:r>
        <w:rPr>
          <w:rFonts w:hint="eastAsia" w:ascii="宋体" w:hAnsi="宋体"/>
          <w:color w:val="auto"/>
          <w:szCs w:val="44"/>
          <w:highlight w:val="none"/>
        </w:rPr>
        <w:t>标段名称：</w:t>
      </w:r>
    </w:p>
    <w:p w14:paraId="4B801BC6">
      <w:pPr>
        <w:rPr>
          <w:color w:val="auto"/>
          <w:szCs w:val="44"/>
          <w:highlight w:val="none"/>
        </w:rPr>
      </w:pPr>
      <w:r>
        <w:rPr>
          <w:rFonts w:hint="eastAsia"/>
          <w:color w:val="auto"/>
          <w:szCs w:val="44"/>
          <w:highlight w:val="none"/>
        </w:rPr>
        <w:t>标段唯一标识码：</w:t>
      </w:r>
    </w:p>
    <w:tbl>
      <w:tblPr>
        <w:tblStyle w:val="23"/>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43"/>
        <w:gridCol w:w="1418"/>
        <w:gridCol w:w="1417"/>
        <w:gridCol w:w="1276"/>
        <w:gridCol w:w="1614"/>
        <w:gridCol w:w="1221"/>
        <w:gridCol w:w="1298"/>
      </w:tblGrid>
      <w:tr w14:paraId="49AC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3C9B1F23">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57FD775E">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5"/>
            <w:vAlign w:val="center"/>
          </w:tcPr>
          <w:p w14:paraId="0581BDB7">
            <w:pPr>
              <w:jc w:val="center"/>
              <w:rPr>
                <w:rFonts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7EC00CC2">
            <w:pPr>
              <w:jc w:val="center"/>
              <w:rPr>
                <w:rFonts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2DC2DBF9">
            <w:pPr>
              <w:jc w:val="center"/>
              <w:rPr>
                <w:rFonts w:ascii="宋体" w:hAnsi="宋体"/>
                <w:b/>
                <w:bCs/>
                <w:color w:val="auto"/>
                <w:szCs w:val="21"/>
                <w:highlight w:val="none"/>
              </w:rPr>
            </w:pPr>
            <w:r>
              <w:rPr>
                <w:rFonts w:hint="eastAsia" w:ascii="宋体" w:hAnsi="宋体"/>
                <w:b/>
                <w:bCs/>
                <w:color w:val="auto"/>
                <w:szCs w:val="21"/>
                <w:highlight w:val="none"/>
              </w:rPr>
              <w:t>投标人排名</w:t>
            </w:r>
          </w:p>
        </w:tc>
      </w:tr>
      <w:tr w14:paraId="747D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78202C7D">
            <w:pPr>
              <w:jc w:val="center"/>
              <w:rPr>
                <w:rFonts w:ascii="宋体" w:hAnsi="宋体"/>
                <w:color w:val="auto"/>
                <w:szCs w:val="21"/>
                <w:highlight w:val="none"/>
              </w:rPr>
            </w:pPr>
          </w:p>
        </w:tc>
        <w:tc>
          <w:tcPr>
            <w:tcW w:w="2963" w:type="dxa"/>
            <w:vMerge w:val="continue"/>
          </w:tcPr>
          <w:p w14:paraId="0740D0F7">
            <w:pPr>
              <w:jc w:val="center"/>
              <w:rPr>
                <w:rFonts w:ascii="宋体" w:hAnsi="宋体"/>
                <w:color w:val="auto"/>
                <w:szCs w:val="21"/>
                <w:highlight w:val="none"/>
              </w:rPr>
            </w:pPr>
          </w:p>
        </w:tc>
        <w:tc>
          <w:tcPr>
            <w:tcW w:w="1843" w:type="dxa"/>
            <w:vAlign w:val="center"/>
          </w:tcPr>
          <w:p w14:paraId="3F6C5165">
            <w:pPr>
              <w:jc w:val="center"/>
              <w:rPr>
                <w:rFonts w:ascii="宋体" w:hAnsi="宋体"/>
                <w:b/>
                <w:bCs/>
                <w:color w:val="auto"/>
                <w:szCs w:val="21"/>
                <w:highlight w:val="none"/>
              </w:rPr>
            </w:pPr>
            <w:r>
              <w:rPr>
                <w:rFonts w:hint="eastAsia"/>
                <w:b/>
                <w:bCs/>
                <w:color w:val="auto"/>
                <w:highlight w:val="none"/>
              </w:rPr>
              <w:t>投标报价</w:t>
            </w:r>
          </w:p>
        </w:tc>
        <w:tc>
          <w:tcPr>
            <w:tcW w:w="1418" w:type="dxa"/>
            <w:vAlign w:val="center"/>
          </w:tcPr>
          <w:p w14:paraId="0C4A2CF2">
            <w:pPr>
              <w:jc w:val="center"/>
              <w:rPr>
                <w:rFonts w:ascii="宋体" w:hAnsi="宋体"/>
                <w:b/>
                <w:bCs/>
                <w:color w:val="auto"/>
                <w:szCs w:val="21"/>
                <w:highlight w:val="none"/>
              </w:rPr>
            </w:pPr>
            <w:r>
              <w:rPr>
                <w:rFonts w:hint="eastAsia" w:ascii="宋体" w:hAnsi="宋体"/>
                <w:b/>
                <w:bCs/>
                <w:color w:val="auto"/>
                <w:szCs w:val="21"/>
                <w:highlight w:val="none"/>
              </w:rPr>
              <w:t>承包人建议书</w:t>
            </w:r>
          </w:p>
        </w:tc>
        <w:tc>
          <w:tcPr>
            <w:tcW w:w="1417" w:type="dxa"/>
            <w:vAlign w:val="center"/>
          </w:tcPr>
          <w:p w14:paraId="53BD8692">
            <w:pPr>
              <w:jc w:val="center"/>
              <w:rPr>
                <w:rFonts w:ascii="宋体" w:hAnsi="宋体"/>
                <w:b/>
                <w:bCs/>
                <w:color w:val="auto"/>
                <w:szCs w:val="21"/>
                <w:highlight w:val="none"/>
              </w:rPr>
            </w:pPr>
            <w:r>
              <w:rPr>
                <w:rFonts w:hint="eastAsia"/>
                <w:b/>
                <w:bCs/>
                <w:color w:val="auto"/>
                <w:highlight w:val="none"/>
              </w:rPr>
              <w:t>承包人实施方案</w:t>
            </w:r>
          </w:p>
        </w:tc>
        <w:tc>
          <w:tcPr>
            <w:tcW w:w="1276" w:type="dxa"/>
            <w:vAlign w:val="center"/>
          </w:tcPr>
          <w:p w14:paraId="536810E3">
            <w:pPr>
              <w:jc w:val="center"/>
              <w:rPr>
                <w:rFonts w:ascii="宋体" w:hAnsi="宋体"/>
                <w:b/>
                <w:bCs/>
                <w:color w:val="auto"/>
                <w:szCs w:val="21"/>
                <w:highlight w:val="none"/>
              </w:rPr>
            </w:pPr>
            <w:r>
              <w:rPr>
                <w:rFonts w:hint="eastAsia"/>
                <w:b/>
                <w:bCs/>
                <w:color w:val="auto"/>
                <w:highlight w:val="none"/>
              </w:rPr>
              <w:t>资信业绩</w:t>
            </w:r>
          </w:p>
        </w:tc>
        <w:tc>
          <w:tcPr>
            <w:tcW w:w="1614" w:type="dxa"/>
            <w:tcBorders>
              <w:right w:val="single" w:color="auto" w:sz="4" w:space="0"/>
            </w:tcBorders>
            <w:vAlign w:val="center"/>
          </w:tcPr>
          <w:p w14:paraId="3137CEC1">
            <w:pPr>
              <w:jc w:val="center"/>
              <w:rPr>
                <w:rFonts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25232E65">
            <w:pPr>
              <w:jc w:val="center"/>
              <w:rPr>
                <w:rFonts w:ascii="宋体" w:hAnsi="宋体"/>
                <w:color w:val="auto"/>
                <w:szCs w:val="21"/>
                <w:highlight w:val="none"/>
              </w:rPr>
            </w:pPr>
          </w:p>
        </w:tc>
        <w:tc>
          <w:tcPr>
            <w:tcW w:w="1298" w:type="dxa"/>
            <w:vMerge w:val="continue"/>
            <w:vAlign w:val="center"/>
          </w:tcPr>
          <w:p w14:paraId="2B985213">
            <w:pPr>
              <w:jc w:val="center"/>
              <w:rPr>
                <w:rFonts w:ascii="宋体" w:hAnsi="宋体"/>
                <w:color w:val="auto"/>
                <w:szCs w:val="21"/>
                <w:highlight w:val="none"/>
              </w:rPr>
            </w:pPr>
          </w:p>
        </w:tc>
      </w:tr>
      <w:tr w14:paraId="2CE8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BC9E6FD">
            <w:pPr>
              <w:jc w:val="center"/>
              <w:rPr>
                <w:rFonts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11AAB41F">
            <w:pPr>
              <w:jc w:val="center"/>
              <w:rPr>
                <w:rFonts w:ascii="宋体" w:hAnsi="宋体"/>
                <w:color w:val="auto"/>
                <w:szCs w:val="21"/>
                <w:highlight w:val="none"/>
              </w:rPr>
            </w:pPr>
          </w:p>
        </w:tc>
        <w:tc>
          <w:tcPr>
            <w:tcW w:w="1843" w:type="dxa"/>
            <w:vAlign w:val="center"/>
          </w:tcPr>
          <w:p w14:paraId="1A206715">
            <w:pPr>
              <w:jc w:val="center"/>
              <w:rPr>
                <w:rFonts w:ascii="宋体" w:hAnsi="宋体"/>
                <w:color w:val="auto"/>
                <w:szCs w:val="21"/>
                <w:highlight w:val="none"/>
              </w:rPr>
            </w:pPr>
          </w:p>
        </w:tc>
        <w:tc>
          <w:tcPr>
            <w:tcW w:w="1418" w:type="dxa"/>
            <w:vAlign w:val="center"/>
          </w:tcPr>
          <w:p w14:paraId="4FB5BE8C">
            <w:pPr>
              <w:jc w:val="center"/>
              <w:rPr>
                <w:rFonts w:ascii="宋体" w:hAnsi="宋体"/>
                <w:color w:val="auto"/>
                <w:szCs w:val="21"/>
                <w:highlight w:val="none"/>
              </w:rPr>
            </w:pPr>
          </w:p>
        </w:tc>
        <w:tc>
          <w:tcPr>
            <w:tcW w:w="1417" w:type="dxa"/>
            <w:vAlign w:val="center"/>
          </w:tcPr>
          <w:p w14:paraId="264F7B63">
            <w:pPr>
              <w:jc w:val="center"/>
              <w:rPr>
                <w:rFonts w:ascii="宋体" w:hAnsi="宋体"/>
                <w:color w:val="auto"/>
                <w:szCs w:val="21"/>
                <w:highlight w:val="none"/>
              </w:rPr>
            </w:pPr>
          </w:p>
        </w:tc>
        <w:tc>
          <w:tcPr>
            <w:tcW w:w="1276" w:type="dxa"/>
            <w:vAlign w:val="center"/>
          </w:tcPr>
          <w:p w14:paraId="1855216E">
            <w:pPr>
              <w:jc w:val="center"/>
              <w:rPr>
                <w:rFonts w:ascii="宋体" w:hAnsi="宋体"/>
                <w:color w:val="auto"/>
                <w:szCs w:val="21"/>
                <w:highlight w:val="none"/>
              </w:rPr>
            </w:pPr>
          </w:p>
        </w:tc>
        <w:tc>
          <w:tcPr>
            <w:tcW w:w="1614" w:type="dxa"/>
            <w:tcBorders>
              <w:right w:val="single" w:color="auto" w:sz="4" w:space="0"/>
            </w:tcBorders>
            <w:vAlign w:val="center"/>
          </w:tcPr>
          <w:p w14:paraId="7D94955D">
            <w:pPr>
              <w:jc w:val="center"/>
              <w:rPr>
                <w:rFonts w:ascii="宋体" w:hAnsi="宋体"/>
                <w:color w:val="auto"/>
                <w:szCs w:val="21"/>
                <w:highlight w:val="none"/>
              </w:rPr>
            </w:pPr>
          </w:p>
        </w:tc>
        <w:tc>
          <w:tcPr>
            <w:tcW w:w="1221" w:type="dxa"/>
            <w:tcBorders>
              <w:right w:val="single" w:color="auto" w:sz="4" w:space="0"/>
            </w:tcBorders>
            <w:vAlign w:val="center"/>
          </w:tcPr>
          <w:p w14:paraId="16F543D3">
            <w:pPr>
              <w:jc w:val="center"/>
              <w:rPr>
                <w:rFonts w:ascii="宋体" w:hAnsi="宋体"/>
                <w:color w:val="auto"/>
                <w:szCs w:val="21"/>
                <w:highlight w:val="none"/>
              </w:rPr>
            </w:pPr>
          </w:p>
        </w:tc>
        <w:tc>
          <w:tcPr>
            <w:tcW w:w="1298" w:type="dxa"/>
            <w:tcBorders>
              <w:right w:val="single" w:color="auto" w:sz="4" w:space="0"/>
            </w:tcBorders>
            <w:vAlign w:val="center"/>
          </w:tcPr>
          <w:p w14:paraId="79073852">
            <w:pPr>
              <w:jc w:val="center"/>
              <w:rPr>
                <w:rFonts w:ascii="宋体" w:hAnsi="宋体"/>
                <w:color w:val="auto"/>
                <w:szCs w:val="21"/>
                <w:highlight w:val="none"/>
              </w:rPr>
            </w:pPr>
          </w:p>
        </w:tc>
      </w:tr>
      <w:tr w14:paraId="2FBF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1B4700D">
            <w:pPr>
              <w:jc w:val="center"/>
              <w:rPr>
                <w:rFonts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0DEB95EC">
            <w:pPr>
              <w:jc w:val="center"/>
              <w:rPr>
                <w:rFonts w:ascii="宋体" w:hAnsi="宋体"/>
                <w:color w:val="auto"/>
                <w:szCs w:val="21"/>
                <w:highlight w:val="none"/>
              </w:rPr>
            </w:pPr>
          </w:p>
        </w:tc>
        <w:tc>
          <w:tcPr>
            <w:tcW w:w="1843" w:type="dxa"/>
            <w:vAlign w:val="center"/>
          </w:tcPr>
          <w:p w14:paraId="035497B9">
            <w:pPr>
              <w:jc w:val="center"/>
              <w:rPr>
                <w:rFonts w:ascii="宋体" w:hAnsi="宋体"/>
                <w:color w:val="auto"/>
                <w:szCs w:val="21"/>
                <w:highlight w:val="none"/>
              </w:rPr>
            </w:pPr>
          </w:p>
        </w:tc>
        <w:tc>
          <w:tcPr>
            <w:tcW w:w="1418" w:type="dxa"/>
            <w:vAlign w:val="center"/>
          </w:tcPr>
          <w:p w14:paraId="7D4F6F2F">
            <w:pPr>
              <w:jc w:val="center"/>
              <w:rPr>
                <w:rFonts w:ascii="宋体" w:hAnsi="宋体"/>
                <w:color w:val="auto"/>
                <w:szCs w:val="21"/>
                <w:highlight w:val="none"/>
              </w:rPr>
            </w:pPr>
          </w:p>
        </w:tc>
        <w:tc>
          <w:tcPr>
            <w:tcW w:w="1417" w:type="dxa"/>
            <w:vAlign w:val="center"/>
          </w:tcPr>
          <w:p w14:paraId="1C8162DE">
            <w:pPr>
              <w:jc w:val="center"/>
              <w:rPr>
                <w:rFonts w:ascii="宋体" w:hAnsi="宋体"/>
                <w:color w:val="auto"/>
                <w:szCs w:val="21"/>
                <w:highlight w:val="none"/>
              </w:rPr>
            </w:pPr>
          </w:p>
        </w:tc>
        <w:tc>
          <w:tcPr>
            <w:tcW w:w="1276" w:type="dxa"/>
            <w:vAlign w:val="center"/>
          </w:tcPr>
          <w:p w14:paraId="5074D429">
            <w:pPr>
              <w:jc w:val="center"/>
              <w:rPr>
                <w:rFonts w:ascii="宋体" w:hAnsi="宋体"/>
                <w:color w:val="auto"/>
                <w:szCs w:val="21"/>
                <w:highlight w:val="none"/>
              </w:rPr>
            </w:pPr>
          </w:p>
        </w:tc>
        <w:tc>
          <w:tcPr>
            <w:tcW w:w="1614" w:type="dxa"/>
            <w:tcBorders>
              <w:right w:val="single" w:color="auto" w:sz="4" w:space="0"/>
            </w:tcBorders>
            <w:vAlign w:val="center"/>
          </w:tcPr>
          <w:p w14:paraId="67856E9B">
            <w:pPr>
              <w:jc w:val="center"/>
              <w:rPr>
                <w:rFonts w:ascii="宋体" w:hAnsi="宋体"/>
                <w:color w:val="auto"/>
                <w:szCs w:val="21"/>
                <w:highlight w:val="none"/>
              </w:rPr>
            </w:pPr>
          </w:p>
        </w:tc>
        <w:tc>
          <w:tcPr>
            <w:tcW w:w="1221" w:type="dxa"/>
            <w:tcBorders>
              <w:right w:val="single" w:color="auto" w:sz="4" w:space="0"/>
            </w:tcBorders>
            <w:vAlign w:val="center"/>
          </w:tcPr>
          <w:p w14:paraId="23D56571">
            <w:pPr>
              <w:jc w:val="center"/>
              <w:rPr>
                <w:rFonts w:ascii="宋体" w:hAnsi="宋体"/>
                <w:color w:val="auto"/>
                <w:szCs w:val="21"/>
                <w:highlight w:val="none"/>
              </w:rPr>
            </w:pPr>
          </w:p>
        </w:tc>
        <w:tc>
          <w:tcPr>
            <w:tcW w:w="1298" w:type="dxa"/>
            <w:tcBorders>
              <w:right w:val="single" w:color="auto" w:sz="4" w:space="0"/>
            </w:tcBorders>
            <w:vAlign w:val="center"/>
          </w:tcPr>
          <w:p w14:paraId="323E1232">
            <w:pPr>
              <w:jc w:val="center"/>
              <w:rPr>
                <w:rFonts w:ascii="宋体" w:hAnsi="宋体"/>
                <w:color w:val="auto"/>
                <w:szCs w:val="21"/>
                <w:highlight w:val="none"/>
              </w:rPr>
            </w:pPr>
          </w:p>
        </w:tc>
      </w:tr>
      <w:tr w14:paraId="5B91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E3DF17B">
            <w:pPr>
              <w:jc w:val="center"/>
              <w:rPr>
                <w:rFonts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12B18AB8">
            <w:pPr>
              <w:jc w:val="center"/>
              <w:rPr>
                <w:rFonts w:ascii="宋体" w:hAnsi="宋体"/>
                <w:color w:val="auto"/>
                <w:szCs w:val="21"/>
                <w:highlight w:val="none"/>
              </w:rPr>
            </w:pPr>
          </w:p>
        </w:tc>
        <w:tc>
          <w:tcPr>
            <w:tcW w:w="1843" w:type="dxa"/>
            <w:vAlign w:val="center"/>
          </w:tcPr>
          <w:p w14:paraId="34DC4A20">
            <w:pPr>
              <w:jc w:val="center"/>
              <w:rPr>
                <w:rFonts w:ascii="宋体" w:hAnsi="宋体"/>
                <w:color w:val="auto"/>
                <w:szCs w:val="21"/>
                <w:highlight w:val="none"/>
              </w:rPr>
            </w:pPr>
          </w:p>
        </w:tc>
        <w:tc>
          <w:tcPr>
            <w:tcW w:w="1418" w:type="dxa"/>
            <w:vAlign w:val="center"/>
          </w:tcPr>
          <w:p w14:paraId="421CC71D">
            <w:pPr>
              <w:jc w:val="center"/>
              <w:rPr>
                <w:rFonts w:ascii="宋体" w:hAnsi="宋体"/>
                <w:color w:val="auto"/>
                <w:szCs w:val="21"/>
                <w:highlight w:val="none"/>
              </w:rPr>
            </w:pPr>
          </w:p>
        </w:tc>
        <w:tc>
          <w:tcPr>
            <w:tcW w:w="1417" w:type="dxa"/>
            <w:vAlign w:val="center"/>
          </w:tcPr>
          <w:p w14:paraId="3073D4A8">
            <w:pPr>
              <w:jc w:val="center"/>
              <w:rPr>
                <w:rFonts w:ascii="宋体" w:hAnsi="宋体"/>
                <w:color w:val="auto"/>
                <w:szCs w:val="21"/>
                <w:highlight w:val="none"/>
              </w:rPr>
            </w:pPr>
          </w:p>
        </w:tc>
        <w:tc>
          <w:tcPr>
            <w:tcW w:w="1276" w:type="dxa"/>
            <w:vAlign w:val="center"/>
          </w:tcPr>
          <w:p w14:paraId="46A10CBF">
            <w:pPr>
              <w:jc w:val="center"/>
              <w:rPr>
                <w:rFonts w:ascii="宋体" w:hAnsi="宋体"/>
                <w:color w:val="auto"/>
                <w:szCs w:val="21"/>
                <w:highlight w:val="none"/>
              </w:rPr>
            </w:pPr>
          </w:p>
        </w:tc>
        <w:tc>
          <w:tcPr>
            <w:tcW w:w="1614" w:type="dxa"/>
            <w:tcBorders>
              <w:right w:val="single" w:color="auto" w:sz="4" w:space="0"/>
            </w:tcBorders>
            <w:vAlign w:val="center"/>
          </w:tcPr>
          <w:p w14:paraId="1A04B195">
            <w:pPr>
              <w:jc w:val="center"/>
              <w:rPr>
                <w:rFonts w:ascii="宋体" w:hAnsi="宋体"/>
                <w:color w:val="auto"/>
                <w:szCs w:val="21"/>
                <w:highlight w:val="none"/>
              </w:rPr>
            </w:pPr>
          </w:p>
        </w:tc>
        <w:tc>
          <w:tcPr>
            <w:tcW w:w="1221" w:type="dxa"/>
            <w:tcBorders>
              <w:right w:val="single" w:color="auto" w:sz="4" w:space="0"/>
            </w:tcBorders>
            <w:vAlign w:val="center"/>
          </w:tcPr>
          <w:p w14:paraId="4C3B19F1">
            <w:pPr>
              <w:jc w:val="center"/>
              <w:rPr>
                <w:rFonts w:ascii="宋体" w:hAnsi="宋体"/>
                <w:color w:val="auto"/>
                <w:szCs w:val="21"/>
                <w:highlight w:val="none"/>
              </w:rPr>
            </w:pPr>
          </w:p>
        </w:tc>
        <w:tc>
          <w:tcPr>
            <w:tcW w:w="1298" w:type="dxa"/>
            <w:tcBorders>
              <w:right w:val="single" w:color="auto" w:sz="4" w:space="0"/>
            </w:tcBorders>
            <w:vAlign w:val="center"/>
          </w:tcPr>
          <w:p w14:paraId="3D22C046">
            <w:pPr>
              <w:jc w:val="center"/>
              <w:rPr>
                <w:rFonts w:ascii="宋体" w:hAnsi="宋体"/>
                <w:color w:val="auto"/>
                <w:szCs w:val="21"/>
                <w:highlight w:val="none"/>
              </w:rPr>
            </w:pPr>
          </w:p>
        </w:tc>
      </w:tr>
      <w:tr w14:paraId="014C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30A2B861">
            <w:pPr>
              <w:jc w:val="center"/>
              <w:rPr>
                <w:rFonts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17611C7B">
            <w:pPr>
              <w:jc w:val="center"/>
              <w:rPr>
                <w:rFonts w:ascii="宋体" w:hAnsi="宋体"/>
                <w:color w:val="auto"/>
                <w:szCs w:val="21"/>
                <w:highlight w:val="none"/>
              </w:rPr>
            </w:pPr>
          </w:p>
        </w:tc>
        <w:tc>
          <w:tcPr>
            <w:tcW w:w="1843" w:type="dxa"/>
            <w:vAlign w:val="center"/>
          </w:tcPr>
          <w:p w14:paraId="41F8D6A1">
            <w:pPr>
              <w:jc w:val="center"/>
              <w:rPr>
                <w:rFonts w:ascii="宋体" w:hAnsi="宋体"/>
                <w:color w:val="auto"/>
                <w:szCs w:val="21"/>
                <w:highlight w:val="none"/>
              </w:rPr>
            </w:pPr>
          </w:p>
        </w:tc>
        <w:tc>
          <w:tcPr>
            <w:tcW w:w="1418" w:type="dxa"/>
            <w:vAlign w:val="center"/>
          </w:tcPr>
          <w:p w14:paraId="4F434265">
            <w:pPr>
              <w:jc w:val="center"/>
              <w:rPr>
                <w:rFonts w:ascii="宋体" w:hAnsi="宋体"/>
                <w:color w:val="auto"/>
                <w:szCs w:val="21"/>
                <w:highlight w:val="none"/>
              </w:rPr>
            </w:pPr>
          </w:p>
        </w:tc>
        <w:tc>
          <w:tcPr>
            <w:tcW w:w="1417" w:type="dxa"/>
            <w:vAlign w:val="center"/>
          </w:tcPr>
          <w:p w14:paraId="4FB388DA">
            <w:pPr>
              <w:jc w:val="center"/>
              <w:rPr>
                <w:rFonts w:ascii="宋体" w:hAnsi="宋体"/>
                <w:color w:val="auto"/>
                <w:szCs w:val="21"/>
                <w:highlight w:val="none"/>
              </w:rPr>
            </w:pPr>
          </w:p>
        </w:tc>
        <w:tc>
          <w:tcPr>
            <w:tcW w:w="1276" w:type="dxa"/>
            <w:vAlign w:val="center"/>
          </w:tcPr>
          <w:p w14:paraId="20ABED38">
            <w:pPr>
              <w:jc w:val="center"/>
              <w:rPr>
                <w:rFonts w:ascii="宋体" w:hAnsi="宋体"/>
                <w:color w:val="auto"/>
                <w:szCs w:val="21"/>
                <w:highlight w:val="none"/>
              </w:rPr>
            </w:pPr>
          </w:p>
        </w:tc>
        <w:tc>
          <w:tcPr>
            <w:tcW w:w="1614" w:type="dxa"/>
            <w:tcBorders>
              <w:right w:val="single" w:color="auto" w:sz="4" w:space="0"/>
            </w:tcBorders>
            <w:vAlign w:val="center"/>
          </w:tcPr>
          <w:p w14:paraId="4A607ACD">
            <w:pPr>
              <w:jc w:val="center"/>
              <w:rPr>
                <w:rFonts w:ascii="宋体" w:hAnsi="宋体"/>
                <w:color w:val="auto"/>
                <w:szCs w:val="21"/>
                <w:highlight w:val="none"/>
              </w:rPr>
            </w:pPr>
          </w:p>
        </w:tc>
        <w:tc>
          <w:tcPr>
            <w:tcW w:w="1221" w:type="dxa"/>
            <w:tcBorders>
              <w:right w:val="single" w:color="auto" w:sz="4" w:space="0"/>
            </w:tcBorders>
            <w:vAlign w:val="center"/>
          </w:tcPr>
          <w:p w14:paraId="77C92E61">
            <w:pPr>
              <w:jc w:val="center"/>
              <w:rPr>
                <w:rFonts w:ascii="宋体" w:hAnsi="宋体"/>
                <w:color w:val="auto"/>
                <w:szCs w:val="21"/>
                <w:highlight w:val="none"/>
              </w:rPr>
            </w:pPr>
          </w:p>
        </w:tc>
        <w:tc>
          <w:tcPr>
            <w:tcW w:w="1298" w:type="dxa"/>
            <w:tcBorders>
              <w:right w:val="single" w:color="auto" w:sz="4" w:space="0"/>
            </w:tcBorders>
            <w:vAlign w:val="center"/>
          </w:tcPr>
          <w:p w14:paraId="72D3E2E9">
            <w:pPr>
              <w:jc w:val="center"/>
              <w:rPr>
                <w:rFonts w:ascii="宋体" w:hAnsi="宋体"/>
                <w:color w:val="auto"/>
                <w:szCs w:val="21"/>
                <w:highlight w:val="none"/>
              </w:rPr>
            </w:pPr>
          </w:p>
        </w:tc>
      </w:tr>
      <w:tr w14:paraId="739C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28AF9BC">
            <w:pPr>
              <w:jc w:val="center"/>
              <w:rPr>
                <w:rFonts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5F712E8C">
            <w:pPr>
              <w:jc w:val="center"/>
              <w:rPr>
                <w:rFonts w:ascii="宋体" w:hAnsi="宋体"/>
                <w:color w:val="auto"/>
                <w:szCs w:val="21"/>
                <w:highlight w:val="none"/>
              </w:rPr>
            </w:pPr>
          </w:p>
        </w:tc>
        <w:tc>
          <w:tcPr>
            <w:tcW w:w="1843" w:type="dxa"/>
            <w:vAlign w:val="center"/>
          </w:tcPr>
          <w:p w14:paraId="0D5A22A6">
            <w:pPr>
              <w:jc w:val="center"/>
              <w:rPr>
                <w:rFonts w:ascii="宋体" w:hAnsi="宋体"/>
                <w:color w:val="auto"/>
                <w:szCs w:val="21"/>
                <w:highlight w:val="none"/>
              </w:rPr>
            </w:pPr>
          </w:p>
        </w:tc>
        <w:tc>
          <w:tcPr>
            <w:tcW w:w="1418" w:type="dxa"/>
            <w:vAlign w:val="center"/>
          </w:tcPr>
          <w:p w14:paraId="1A8E91CA">
            <w:pPr>
              <w:jc w:val="center"/>
              <w:rPr>
                <w:rFonts w:ascii="宋体" w:hAnsi="宋体"/>
                <w:color w:val="auto"/>
                <w:szCs w:val="21"/>
                <w:highlight w:val="none"/>
              </w:rPr>
            </w:pPr>
          </w:p>
        </w:tc>
        <w:tc>
          <w:tcPr>
            <w:tcW w:w="1417" w:type="dxa"/>
            <w:vAlign w:val="center"/>
          </w:tcPr>
          <w:p w14:paraId="1759FE3E">
            <w:pPr>
              <w:jc w:val="center"/>
              <w:rPr>
                <w:rFonts w:ascii="宋体" w:hAnsi="宋体"/>
                <w:color w:val="auto"/>
                <w:szCs w:val="21"/>
                <w:highlight w:val="none"/>
              </w:rPr>
            </w:pPr>
          </w:p>
        </w:tc>
        <w:tc>
          <w:tcPr>
            <w:tcW w:w="1276" w:type="dxa"/>
            <w:vAlign w:val="center"/>
          </w:tcPr>
          <w:p w14:paraId="32FA48EB">
            <w:pPr>
              <w:jc w:val="center"/>
              <w:rPr>
                <w:rFonts w:ascii="宋体" w:hAnsi="宋体"/>
                <w:color w:val="auto"/>
                <w:szCs w:val="21"/>
                <w:highlight w:val="none"/>
              </w:rPr>
            </w:pPr>
          </w:p>
        </w:tc>
        <w:tc>
          <w:tcPr>
            <w:tcW w:w="1614" w:type="dxa"/>
            <w:tcBorders>
              <w:right w:val="single" w:color="auto" w:sz="4" w:space="0"/>
            </w:tcBorders>
            <w:vAlign w:val="center"/>
          </w:tcPr>
          <w:p w14:paraId="65DC9A54">
            <w:pPr>
              <w:jc w:val="center"/>
              <w:rPr>
                <w:rFonts w:ascii="宋体" w:hAnsi="宋体"/>
                <w:color w:val="auto"/>
                <w:szCs w:val="21"/>
                <w:highlight w:val="none"/>
              </w:rPr>
            </w:pPr>
          </w:p>
        </w:tc>
        <w:tc>
          <w:tcPr>
            <w:tcW w:w="1221" w:type="dxa"/>
            <w:tcBorders>
              <w:right w:val="single" w:color="auto" w:sz="4" w:space="0"/>
            </w:tcBorders>
            <w:vAlign w:val="center"/>
          </w:tcPr>
          <w:p w14:paraId="71FD03EB">
            <w:pPr>
              <w:jc w:val="center"/>
              <w:rPr>
                <w:rFonts w:ascii="宋体" w:hAnsi="宋体"/>
                <w:color w:val="auto"/>
                <w:szCs w:val="21"/>
                <w:highlight w:val="none"/>
              </w:rPr>
            </w:pPr>
          </w:p>
        </w:tc>
        <w:tc>
          <w:tcPr>
            <w:tcW w:w="1298" w:type="dxa"/>
            <w:tcBorders>
              <w:right w:val="single" w:color="auto" w:sz="4" w:space="0"/>
            </w:tcBorders>
            <w:vAlign w:val="center"/>
          </w:tcPr>
          <w:p w14:paraId="24EC6980">
            <w:pPr>
              <w:jc w:val="center"/>
              <w:rPr>
                <w:rFonts w:ascii="宋体" w:hAnsi="宋体"/>
                <w:color w:val="auto"/>
                <w:szCs w:val="21"/>
                <w:highlight w:val="none"/>
              </w:rPr>
            </w:pPr>
          </w:p>
        </w:tc>
      </w:tr>
      <w:tr w14:paraId="44F9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1001" w:type="dxa"/>
            <w:vAlign w:val="center"/>
          </w:tcPr>
          <w:p w14:paraId="29BFE871">
            <w:pPr>
              <w:jc w:val="center"/>
              <w:rPr>
                <w:rFonts w:ascii="宋体" w:hAnsi="宋体"/>
                <w:color w:val="auto"/>
                <w:szCs w:val="21"/>
                <w:highlight w:val="none"/>
              </w:rPr>
            </w:pPr>
            <w:r>
              <w:rPr>
                <w:rFonts w:hint="eastAsia" w:ascii="宋体" w:hAnsi="宋体"/>
                <w:color w:val="auto"/>
                <w:szCs w:val="44"/>
                <w:highlight w:val="none"/>
              </w:rPr>
              <w:t>…</w:t>
            </w:r>
          </w:p>
        </w:tc>
        <w:tc>
          <w:tcPr>
            <w:tcW w:w="2963" w:type="dxa"/>
            <w:vAlign w:val="center"/>
          </w:tcPr>
          <w:p w14:paraId="4D1460CD">
            <w:pPr>
              <w:jc w:val="center"/>
              <w:rPr>
                <w:rFonts w:ascii="宋体" w:hAnsi="宋体"/>
                <w:color w:val="auto"/>
                <w:szCs w:val="21"/>
                <w:highlight w:val="none"/>
              </w:rPr>
            </w:pPr>
          </w:p>
        </w:tc>
        <w:tc>
          <w:tcPr>
            <w:tcW w:w="1843" w:type="dxa"/>
            <w:vAlign w:val="center"/>
          </w:tcPr>
          <w:p w14:paraId="00E5E851">
            <w:pPr>
              <w:jc w:val="center"/>
              <w:rPr>
                <w:rFonts w:ascii="宋体" w:hAnsi="宋体"/>
                <w:color w:val="auto"/>
                <w:szCs w:val="21"/>
                <w:highlight w:val="none"/>
              </w:rPr>
            </w:pPr>
          </w:p>
        </w:tc>
        <w:tc>
          <w:tcPr>
            <w:tcW w:w="1418" w:type="dxa"/>
            <w:vAlign w:val="center"/>
          </w:tcPr>
          <w:p w14:paraId="59BDD2F9">
            <w:pPr>
              <w:jc w:val="center"/>
              <w:rPr>
                <w:rFonts w:ascii="宋体" w:hAnsi="宋体"/>
                <w:color w:val="auto"/>
                <w:szCs w:val="21"/>
                <w:highlight w:val="none"/>
              </w:rPr>
            </w:pPr>
          </w:p>
        </w:tc>
        <w:tc>
          <w:tcPr>
            <w:tcW w:w="1417" w:type="dxa"/>
            <w:vAlign w:val="center"/>
          </w:tcPr>
          <w:p w14:paraId="46068A8B">
            <w:pPr>
              <w:jc w:val="center"/>
              <w:rPr>
                <w:rFonts w:ascii="宋体" w:hAnsi="宋体"/>
                <w:color w:val="auto"/>
                <w:szCs w:val="21"/>
                <w:highlight w:val="none"/>
              </w:rPr>
            </w:pPr>
          </w:p>
        </w:tc>
        <w:tc>
          <w:tcPr>
            <w:tcW w:w="1276" w:type="dxa"/>
            <w:vAlign w:val="center"/>
          </w:tcPr>
          <w:p w14:paraId="770956B4">
            <w:pPr>
              <w:jc w:val="center"/>
              <w:rPr>
                <w:rFonts w:ascii="宋体" w:hAnsi="宋体"/>
                <w:color w:val="auto"/>
                <w:szCs w:val="21"/>
                <w:highlight w:val="none"/>
              </w:rPr>
            </w:pPr>
          </w:p>
        </w:tc>
        <w:tc>
          <w:tcPr>
            <w:tcW w:w="1614" w:type="dxa"/>
            <w:tcBorders>
              <w:right w:val="single" w:color="auto" w:sz="4" w:space="0"/>
            </w:tcBorders>
            <w:vAlign w:val="center"/>
          </w:tcPr>
          <w:p w14:paraId="41E827D9">
            <w:pPr>
              <w:jc w:val="center"/>
              <w:rPr>
                <w:rFonts w:ascii="宋体" w:hAnsi="宋体"/>
                <w:color w:val="auto"/>
                <w:szCs w:val="21"/>
                <w:highlight w:val="none"/>
              </w:rPr>
            </w:pPr>
          </w:p>
        </w:tc>
        <w:tc>
          <w:tcPr>
            <w:tcW w:w="1221" w:type="dxa"/>
            <w:tcBorders>
              <w:right w:val="single" w:color="auto" w:sz="4" w:space="0"/>
            </w:tcBorders>
            <w:vAlign w:val="center"/>
          </w:tcPr>
          <w:p w14:paraId="1C1D3EA1">
            <w:pPr>
              <w:jc w:val="center"/>
              <w:rPr>
                <w:rFonts w:ascii="宋体" w:hAnsi="宋体"/>
                <w:color w:val="auto"/>
                <w:szCs w:val="21"/>
                <w:highlight w:val="none"/>
              </w:rPr>
            </w:pPr>
          </w:p>
        </w:tc>
        <w:tc>
          <w:tcPr>
            <w:tcW w:w="1298" w:type="dxa"/>
            <w:tcBorders>
              <w:right w:val="single" w:color="auto" w:sz="4" w:space="0"/>
            </w:tcBorders>
            <w:vAlign w:val="center"/>
          </w:tcPr>
          <w:p w14:paraId="517B78D1">
            <w:pPr>
              <w:jc w:val="center"/>
              <w:rPr>
                <w:rFonts w:ascii="宋体" w:hAnsi="宋体"/>
                <w:color w:val="auto"/>
                <w:szCs w:val="21"/>
                <w:highlight w:val="none"/>
              </w:rPr>
            </w:pPr>
          </w:p>
        </w:tc>
      </w:tr>
      <w:tr w14:paraId="46A8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9"/>
            <w:vAlign w:val="center"/>
          </w:tcPr>
          <w:p w14:paraId="0EA957EE">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282768E9">
            <w:pPr>
              <w:jc w:val="left"/>
              <w:rPr>
                <w:rFonts w:ascii="宋体" w:hAnsi="宋体"/>
                <w:color w:val="auto"/>
                <w:szCs w:val="44"/>
                <w:highlight w:val="none"/>
              </w:rPr>
            </w:pPr>
          </w:p>
          <w:p w14:paraId="776E672C">
            <w:pPr>
              <w:jc w:val="left"/>
              <w:rPr>
                <w:rFonts w:ascii="宋体" w:hAnsi="宋体"/>
                <w:color w:val="auto"/>
                <w:szCs w:val="44"/>
                <w:highlight w:val="none"/>
              </w:rPr>
            </w:pPr>
          </w:p>
          <w:p w14:paraId="17980D3E">
            <w:pPr>
              <w:jc w:val="left"/>
              <w:rPr>
                <w:rFonts w:ascii="宋体" w:hAnsi="宋体"/>
                <w:color w:val="auto"/>
                <w:szCs w:val="44"/>
                <w:highlight w:val="none"/>
              </w:rPr>
            </w:pPr>
          </w:p>
          <w:p w14:paraId="6A16C7F7">
            <w:pPr>
              <w:jc w:val="left"/>
              <w:rPr>
                <w:rFonts w:ascii="宋体" w:hAnsi="宋体"/>
                <w:color w:val="auto"/>
                <w:szCs w:val="44"/>
                <w:highlight w:val="none"/>
              </w:rPr>
            </w:pPr>
          </w:p>
          <w:p w14:paraId="535B6B68">
            <w:pPr>
              <w:jc w:val="left"/>
              <w:rPr>
                <w:rFonts w:ascii="宋体" w:hAnsi="宋体"/>
                <w:color w:val="auto"/>
                <w:szCs w:val="44"/>
                <w:highlight w:val="none"/>
              </w:rPr>
            </w:pPr>
          </w:p>
          <w:p w14:paraId="6AFE77C0">
            <w:pPr>
              <w:jc w:val="left"/>
              <w:rPr>
                <w:rFonts w:ascii="宋体" w:hAnsi="宋体"/>
                <w:color w:val="auto"/>
                <w:szCs w:val="44"/>
                <w:highlight w:val="none"/>
              </w:rPr>
            </w:pPr>
          </w:p>
          <w:p w14:paraId="45EE81B4">
            <w:pPr>
              <w:jc w:val="left"/>
              <w:rPr>
                <w:color w:val="auto"/>
                <w:highlight w:val="none"/>
              </w:rPr>
            </w:pPr>
          </w:p>
        </w:tc>
      </w:tr>
    </w:tbl>
    <w:p w14:paraId="1EA151B9">
      <w:pPr>
        <w:ind w:firstLine="5250" w:firstLineChars="2500"/>
        <w:jc w:val="right"/>
        <w:rPr>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日期：    年   月  日</w:t>
      </w:r>
    </w:p>
    <w:p w14:paraId="7C463AED">
      <w:pPr>
        <w:pStyle w:val="32"/>
        <w:ind w:firstLine="118"/>
        <w:rPr>
          <w:color w:val="auto"/>
          <w:highlight w:val="none"/>
        </w:rPr>
      </w:pPr>
      <w:bookmarkStart w:id="962" w:name="_Toc150254771"/>
      <w:bookmarkStart w:id="963" w:name="_Toc164716320"/>
      <w:bookmarkStart w:id="964" w:name="_Toc256000150"/>
      <w:bookmarkStart w:id="965" w:name="_Hlk150775555"/>
      <w:r>
        <w:rPr>
          <w:rFonts w:hint="eastAsia"/>
          <w:color w:val="auto"/>
          <w:highlight w:val="none"/>
        </w:rPr>
        <w:t>附表A-1</w:t>
      </w:r>
      <w:r>
        <w:rPr>
          <w:color w:val="auto"/>
          <w:highlight w:val="none"/>
        </w:rPr>
        <w:t>7</w:t>
      </w:r>
      <w:r>
        <w:rPr>
          <w:rFonts w:hint="eastAsia"/>
          <w:color w:val="auto"/>
          <w:highlight w:val="none"/>
        </w:rPr>
        <w:t>：评标结果汇总表</w:t>
      </w:r>
      <w:bookmarkEnd w:id="962"/>
      <w:bookmarkEnd w:id="963"/>
      <w:bookmarkEnd w:id="964"/>
    </w:p>
    <w:p w14:paraId="40DCEF0D">
      <w:pPr>
        <w:spacing w:after="240" w:afterLines="100"/>
        <w:jc w:val="center"/>
        <w:rPr>
          <w:rFonts w:ascii="黑体" w:eastAsia="黑体"/>
          <w:color w:val="auto"/>
          <w:sz w:val="36"/>
          <w:szCs w:val="36"/>
          <w:highlight w:val="none"/>
        </w:rPr>
      </w:pPr>
    </w:p>
    <w:p w14:paraId="42803A80">
      <w:pPr>
        <w:spacing w:after="240" w:afterLines="100"/>
        <w:jc w:val="center"/>
        <w:rPr>
          <w:rFonts w:ascii="黑体" w:eastAsia="黑体"/>
          <w:color w:val="auto"/>
          <w:sz w:val="36"/>
          <w:szCs w:val="36"/>
          <w:highlight w:val="none"/>
        </w:rPr>
      </w:pPr>
      <w:r>
        <w:rPr>
          <w:rFonts w:hint="eastAsia" w:ascii="黑体" w:eastAsia="黑体"/>
          <w:color w:val="auto"/>
          <w:sz w:val="36"/>
          <w:szCs w:val="36"/>
          <w:highlight w:val="none"/>
        </w:rPr>
        <w:t>评标结果汇总表</w:t>
      </w:r>
    </w:p>
    <w:p w14:paraId="2D727BF3">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748E1352">
      <w:pPr>
        <w:rPr>
          <w:rFonts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6F177CAB">
      <w:pPr>
        <w:rPr>
          <w:rFonts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单位：人民币元</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6938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1F020E6E">
            <w:pPr>
              <w:jc w:val="center"/>
              <w:rPr>
                <w:rFonts w:ascii="宋体" w:hAnsi="宋体"/>
                <w:b/>
                <w:bCs/>
                <w:color w:val="auto"/>
                <w:highlight w:val="none"/>
              </w:rPr>
            </w:pPr>
            <w:bookmarkStart w:id="966" w:name="_Hlk150334502"/>
            <w:r>
              <w:rPr>
                <w:rFonts w:hint="eastAsia" w:ascii="宋体" w:hAnsi="宋体"/>
                <w:b/>
                <w:bCs/>
                <w:color w:val="auto"/>
                <w:highlight w:val="none"/>
              </w:rPr>
              <w:t>投标人名称</w:t>
            </w:r>
          </w:p>
        </w:tc>
        <w:tc>
          <w:tcPr>
            <w:tcW w:w="7399" w:type="dxa"/>
            <w:gridSpan w:val="6"/>
            <w:vAlign w:val="center"/>
          </w:tcPr>
          <w:p w14:paraId="608CABAD">
            <w:pPr>
              <w:jc w:val="center"/>
              <w:rPr>
                <w:rFonts w:ascii="宋体" w:hAnsi="宋体"/>
                <w:b/>
                <w:bCs/>
                <w:color w:val="auto"/>
                <w:highlight w:val="none"/>
              </w:rPr>
            </w:pPr>
            <w:r>
              <w:rPr>
                <w:rFonts w:hint="eastAsia" w:ascii="宋体" w:hAnsi="宋体"/>
                <w:b/>
                <w:bCs/>
                <w:color w:val="auto"/>
                <w:highlight w:val="none"/>
              </w:rPr>
              <w:t>评审项目</w:t>
            </w:r>
          </w:p>
        </w:tc>
      </w:tr>
      <w:tr w14:paraId="3C60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18A8D991">
            <w:pPr>
              <w:jc w:val="center"/>
              <w:rPr>
                <w:rFonts w:ascii="宋体" w:hAnsi="宋体"/>
                <w:b/>
                <w:bCs/>
                <w:color w:val="auto"/>
                <w:highlight w:val="none"/>
              </w:rPr>
            </w:pPr>
          </w:p>
        </w:tc>
        <w:tc>
          <w:tcPr>
            <w:tcW w:w="978" w:type="dxa"/>
            <w:vAlign w:val="center"/>
          </w:tcPr>
          <w:p w14:paraId="0BFD249E">
            <w:pPr>
              <w:jc w:val="center"/>
              <w:rPr>
                <w:rFonts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7FD35B30">
            <w:pPr>
              <w:jc w:val="center"/>
              <w:rPr>
                <w:rFonts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76071E14">
            <w:pPr>
              <w:jc w:val="center"/>
              <w:rPr>
                <w:rFonts w:ascii="宋体" w:hAnsi="宋体"/>
                <w:b/>
                <w:bCs/>
                <w:color w:val="auto"/>
                <w:highlight w:val="none"/>
              </w:rPr>
            </w:pPr>
            <w:r>
              <w:rPr>
                <w:rFonts w:hint="eastAsia" w:ascii="宋体" w:hAnsi="宋体"/>
                <w:b/>
                <w:bCs/>
                <w:color w:val="auto"/>
                <w:szCs w:val="21"/>
                <w:highlight w:val="none"/>
              </w:rPr>
              <w:t>评标价</w:t>
            </w:r>
          </w:p>
        </w:tc>
        <w:tc>
          <w:tcPr>
            <w:tcW w:w="993" w:type="dxa"/>
            <w:vAlign w:val="center"/>
          </w:tcPr>
          <w:p w14:paraId="500F2B35">
            <w:pPr>
              <w:jc w:val="center"/>
              <w:rPr>
                <w:rFonts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013179D7">
            <w:pPr>
              <w:jc w:val="center"/>
              <w:rPr>
                <w:rFonts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0677EA46">
            <w:pPr>
              <w:jc w:val="center"/>
              <w:rPr>
                <w:rFonts w:ascii="宋体" w:hAnsi="宋体"/>
                <w:b/>
                <w:bCs/>
                <w:color w:val="auto"/>
                <w:highlight w:val="none"/>
              </w:rPr>
            </w:pPr>
            <w:r>
              <w:rPr>
                <w:rFonts w:hint="eastAsia" w:ascii="宋体" w:hAnsi="宋体"/>
                <w:b/>
                <w:bCs/>
                <w:color w:val="auto"/>
                <w:highlight w:val="none"/>
              </w:rPr>
              <w:t>有效评标价排序</w:t>
            </w:r>
          </w:p>
        </w:tc>
      </w:tr>
      <w:tr w14:paraId="6A5F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647F2D10">
            <w:pPr>
              <w:jc w:val="center"/>
              <w:rPr>
                <w:rFonts w:ascii="宋体" w:hAnsi="宋体"/>
                <w:color w:val="auto"/>
                <w:highlight w:val="none"/>
              </w:rPr>
            </w:pPr>
          </w:p>
        </w:tc>
        <w:tc>
          <w:tcPr>
            <w:tcW w:w="978" w:type="dxa"/>
            <w:vAlign w:val="center"/>
          </w:tcPr>
          <w:p w14:paraId="3E074B58">
            <w:pPr>
              <w:jc w:val="center"/>
              <w:rPr>
                <w:rFonts w:ascii="宋体" w:hAnsi="宋体"/>
                <w:color w:val="auto"/>
                <w:highlight w:val="none"/>
              </w:rPr>
            </w:pPr>
          </w:p>
        </w:tc>
        <w:tc>
          <w:tcPr>
            <w:tcW w:w="1560" w:type="dxa"/>
            <w:vAlign w:val="center"/>
          </w:tcPr>
          <w:p w14:paraId="53B107A9">
            <w:pPr>
              <w:jc w:val="center"/>
              <w:rPr>
                <w:rFonts w:ascii="宋体" w:hAnsi="宋体"/>
                <w:color w:val="auto"/>
                <w:highlight w:val="none"/>
              </w:rPr>
            </w:pPr>
          </w:p>
        </w:tc>
        <w:tc>
          <w:tcPr>
            <w:tcW w:w="1275" w:type="dxa"/>
            <w:vAlign w:val="center"/>
          </w:tcPr>
          <w:p w14:paraId="0FA9790A">
            <w:pPr>
              <w:jc w:val="center"/>
              <w:rPr>
                <w:rFonts w:ascii="宋体" w:hAnsi="宋体"/>
                <w:color w:val="auto"/>
                <w:highlight w:val="none"/>
              </w:rPr>
            </w:pPr>
          </w:p>
        </w:tc>
        <w:tc>
          <w:tcPr>
            <w:tcW w:w="993" w:type="dxa"/>
            <w:vMerge w:val="restart"/>
            <w:vAlign w:val="center"/>
          </w:tcPr>
          <w:p w14:paraId="5301A771">
            <w:pPr>
              <w:jc w:val="center"/>
              <w:rPr>
                <w:rFonts w:ascii="宋体" w:hAnsi="宋体"/>
                <w:color w:val="auto"/>
                <w:highlight w:val="none"/>
              </w:rPr>
            </w:pPr>
          </w:p>
        </w:tc>
        <w:tc>
          <w:tcPr>
            <w:tcW w:w="1196" w:type="dxa"/>
            <w:vMerge w:val="restart"/>
            <w:vAlign w:val="center"/>
          </w:tcPr>
          <w:p w14:paraId="2858DD43">
            <w:pPr>
              <w:jc w:val="center"/>
              <w:rPr>
                <w:rFonts w:ascii="宋体" w:hAnsi="宋体"/>
                <w:color w:val="auto"/>
                <w:highlight w:val="none"/>
              </w:rPr>
            </w:pPr>
          </w:p>
        </w:tc>
        <w:tc>
          <w:tcPr>
            <w:tcW w:w="1397" w:type="dxa"/>
            <w:vAlign w:val="center"/>
          </w:tcPr>
          <w:p w14:paraId="57EA49AF">
            <w:pPr>
              <w:jc w:val="center"/>
              <w:rPr>
                <w:rFonts w:ascii="宋体" w:hAnsi="宋体"/>
                <w:color w:val="auto"/>
                <w:highlight w:val="none"/>
              </w:rPr>
            </w:pPr>
          </w:p>
        </w:tc>
      </w:tr>
      <w:tr w14:paraId="0B82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563A9A29">
            <w:pPr>
              <w:spacing w:after="120" w:afterLines="50"/>
              <w:jc w:val="center"/>
              <w:rPr>
                <w:rFonts w:ascii="宋体" w:hAnsi="宋体"/>
                <w:color w:val="auto"/>
                <w:szCs w:val="21"/>
                <w:highlight w:val="none"/>
              </w:rPr>
            </w:pPr>
          </w:p>
        </w:tc>
        <w:tc>
          <w:tcPr>
            <w:tcW w:w="978" w:type="dxa"/>
            <w:vAlign w:val="center"/>
          </w:tcPr>
          <w:p w14:paraId="3EA0B634">
            <w:pPr>
              <w:jc w:val="center"/>
              <w:rPr>
                <w:rFonts w:ascii="宋体" w:hAnsi="宋体"/>
                <w:color w:val="auto"/>
                <w:highlight w:val="none"/>
              </w:rPr>
            </w:pPr>
          </w:p>
        </w:tc>
        <w:tc>
          <w:tcPr>
            <w:tcW w:w="1560" w:type="dxa"/>
            <w:vAlign w:val="center"/>
          </w:tcPr>
          <w:p w14:paraId="78913F70">
            <w:pPr>
              <w:jc w:val="center"/>
              <w:rPr>
                <w:rFonts w:ascii="宋体" w:hAnsi="宋体"/>
                <w:color w:val="auto"/>
                <w:highlight w:val="none"/>
              </w:rPr>
            </w:pPr>
          </w:p>
        </w:tc>
        <w:tc>
          <w:tcPr>
            <w:tcW w:w="1275" w:type="dxa"/>
            <w:vAlign w:val="center"/>
          </w:tcPr>
          <w:p w14:paraId="3C226D46">
            <w:pPr>
              <w:jc w:val="center"/>
              <w:rPr>
                <w:rFonts w:ascii="宋体" w:hAnsi="宋体"/>
                <w:color w:val="auto"/>
                <w:highlight w:val="none"/>
              </w:rPr>
            </w:pPr>
          </w:p>
        </w:tc>
        <w:tc>
          <w:tcPr>
            <w:tcW w:w="993" w:type="dxa"/>
            <w:vMerge w:val="continue"/>
            <w:vAlign w:val="center"/>
          </w:tcPr>
          <w:p w14:paraId="5E4CC968">
            <w:pPr>
              <w:jc w:val="center"/>
              <w:rPr>
                <w:rFonts w:ascii="宋体" w:hAnsi="宋体"/>
                <w:color w:val="auto"/>
                <w:highlight w:val="none"/>
              </w:rPr>
            </w:pPr>
          </w:p>
        </w:tc>
        <w:tc>
          <w:tcPr>
            <w:tcW w:w="1196" w:type="dxa"/>
            <w:vMerge w:val="continue"/>
            <w:vAlign w:val="center"/>
          </w:tcPr>
          <w:p w14:paraId="69EE534C">
            <w:pPr>
              <w:jc w:val="center"/>
              <w:rPr>
                <w:rFonts w:ascii="宋体" w:hAnsi="宋体"/>
                <w:color w:val="auto"/>
                <w:highlight w:val="none"/>
              </w:rPr>
            </w:pPr>
          </w:p>
        </w:tc>
        <w:tc>
          <w:tcPr>
            <w:tcW w:w="1397" w:type="dxa"/>
            <w:vAlign w:val="center"/>
          </w:tcPr>
          <w:p w14:paraId="7012C3C0">
            <w:pPr>
              <w:jc w:val="center"/>
              <w:rPr>
                <w:rFonts w:ascii="宋体" w:hAnsi="宋体"/>
                <w:color w:val="auto"/>
                <w:highlight w:val="none"/>
              </w:rPr>
            </w:pPr>
          </w:p>
        </w:tc>
      </w:tr>
      <w:tr w14:paraId="08C2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10E61E64">
            <w:pPr>
              <w:jc w:val="center"/>
              <w:rPr>
                <w:rFonts w:ascii="宋体" w:hAnsi="宋体"/>
                <w:color w:val="auto"/>
                <w:highlight w:val="none"/>
              </w:rPr>
            </w:pPr>
          </w:p>
        </w:tc>
        <w:tc>
          <w:tcPr>
            <w:tcW w:w="978" w:type="dxa"/>
            <w:vAlign w:val="center"/>
          </w:tcPr>
          <w:p w14:paraId="546A354B">
            <w:pPr>
              <w:jc w:val="center"/>
              <w:rPr>
                <w:rFonts w:ascii="宋体" w:hAnsi="宋体"/>
                <w:color w:val="auto"/>
                <w:highlight w:val="none"/>
              </w:rPr>
            </w:pPr>
          </w:p>
        </w:tc>
        <w:tc>
          <w:tcPr>
            <w:tcW w:w="1560" w:type="dxa"/>
            <w:vAlign w:val="center"/>
          </w:tcPr>
          <w:p w14:paraId="535CD3ED">
            <w:pPr>
              <w:jc w:val="center"/>
              <w:rPr>
                <w:rFonts w:ascii="宋体" w:hAnsi="宋体"/>
                <w:color w:val="auto"/>
                <w:highlight w:val="none"/>
              </w:rPr>
            </w:pPr>
          </w:p>
        </w:tc>
        <w:tc>
          <w:tcPr>
            <w:tcW w:w="1275" w:type="dxa"/>
            <w:vAlign w:val="center"/>
          </w:tcPr>
          <w:p w14:paraId="55C5B951">
            <w:pPr>
              <w:jc w:val="center"/>
              <w:rPr>
                <w:rFonts w:ascii="宋体" w:hAnsi="宋体"/>
                <w:color w:val="auto"/>
                <w:highlight w:val="none"/>
              </w:rPr>
            </w:pPr>
          </w:p>
        </w:tc>
        <w:tc>
          <w:tcPr>
            <w:tcW w:w="993" w:type="dxa"/>
            <w:vMerge w:val="continue"/>
            <w:vAlign w:val="center"/>
          </w:tcPr>
          <w:p w14:paraId="4C7230C4">
            <w:pPr>
              <w:jc w:val="center"/>
              <w:rPr>
                <w:rFonts w:ascii="宋体" w:hAnsi="宋体"/>
                <w:color w:val="auto"/>
                <w:highlight w:val="none"/>
              </w:rPr>
            </w:pPr>
          </w:p>
        </w:tc>
        <w:tc>
          <w:tcPr>
            <w:tcW w:w="1196" w:type="dxa"/>
            <w:vMerge w:val="continue"/>
            <w:vAlign w:val="center"/>
          </w:tcPr>
          <w:p w14:paraId="5AD110EC">
            <w:pPr>
              <w:jc w:val="center"/>
              <w:rPr>
                <w:rFonts w:ascii="宋体" w:hAnsi="宋体"/>
                <w:color w:val="auto"/>
                <w:highlight w:val="none"/>
              </w:rPr>
            </w:pPr>
          </w:p>
        </w:tc>
        <w:tc>
          <w:tcPr>
            <w:tcW w:w="1397" w:type="dxa"/>
            <w:vAlign w:val="center"/>
          </w:tcPr>
          <w:p w14:paraId="1EE177DE">
            <w:pPr>
              <w:jc w:val="center"/>
              <w:rPr>
                <w:rFonts w:ascii="宋体" w:hAnsi="宋体"/>
                <w:color w:val="auto"/>
                <w:highlight w:val="none"/>
              </w:rPr>
            </w:pPr>
          </w:p>
        </w:tc>
      </w:tr>
      <w:tr w14:paraId="353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43049A66">
            <w:pPr>
              <w:jc w:val="center"/>
              <w:rPr>
                <w:rFonts w:ascii="宋体" w:hAnsi="宋体"/>
                <w:color w:val="auto"/>
                <w:highlight w:val="none"/>
              </w:rPr>
            </w:pPr>
          </w:p>
        </w:tc>
        <w:tc>
          <w:tcPr>
            <w:tcW w:w="978" w:type="dxa"/>
            <w:vAlign w:val="center"/>
          </w:tcPr>
          <w:p w14:paraId="2492CE1C">
            <w:pPr>
              <w:jc w:val="center"/>
              <w:rPr>
                <w:rFonts w:ascii="宋体" w:hAnsi="宋体"/>
                <w:color w:val="auto"/>
                <w:highlight w:val="none"/>
              </w:rPr>
            </w:pPr>
          </w:p>
        </w:tc>
        <w:tc>
          <w:tcPr>
            <w:tcW w:w="1560" w:type="dxa"/>
            <w:vAlign w:val="center"/>
          </w:tcPr>
          <w:p w14:paraId="206BF740">
            <w:pPr>
              <w:jc w:val="center"/>
              <w:rPr>
                <w:rFonts w:ascii="宋体" w:hAnsi="宋体"/>
                <w:color w:val="auto"/>
                <w:highlight w:val="none"/>
              </w:rPr>
            </w:pPr>
          </w:p>
        </w:tc>
        <w:tc>
          <w:tcPr>
            <w:tcW w:w="1275" w:type="dxa"/>
            <w:vAlign w:val="center"/>
          </w:tcPr>
          <w:p w14:paraId="2CE5CA1C">
            <w:pPr>
              <w:jc w:val="center"/>
              <w:rPr>
                <w:rFonts w:ascii="宋体" w:hAnsi="宋体"/>
                <w:color w:val="auto"/>
                <w:highlight w:val="none"/>
              </w:rPr>
            </w:pPr>
          </w:p>
        </w:tc>
        <w:tc>
          <w:tcPr>
            <w:tcW w:w="993" w:type="dxa"/>
            <w:vMerge w:val="continue"/>
            <w:vAlign w:val="center"/>
          </w:tcPr>
          <w:p w14:paraId="5A4450EE">
            <w:pPr>
              <w:jc w:val="center"/>
              <w:rPr>
                <w:rFonts w:ascii="宋体" w:hAnsi="宋体"/>
                <w:color w:val="auto"/>
                <w:highlight w:val="none"/>
              </w:rPr>
            </w:pPr>
          </w:p>
        </w:tc>
        <w:tc>
          <w:tcPr>
            <w:tcW w:w="1196" w:type="dxa"/>
            <w:vMerge w:val="continue"/>
            <w:vAlign w:val="center"/>
          </w:tcPr>
          <w:p w14:paraId="6DBCCC4E">
            <w:pPr>
              <w:jc w:val="center"/>
              <w:rPr>
                <w:rFonts w:ascii="宋体" w:hAnsi="宋体"/>
                <w:color w:val="auto"/>
                <w:highlight w:val="none"/>
              </w:rPr>
            </w:pPr>
          </w:p>
        </w:tc>
        <w:tc>
          <w:tcPr>
            <w:tcW w:w="1397" w:type="dxa"/>
            <w:vAlign w:val="center"/>
          </w:tcPr>
          <w:p w14:paraId="00DE0593">
            <w:pPr>
              <w:jc w:val="center"/>
              <w:rPr>
                <w:rFonts w:ascii="宋体" w:hAnsi="宋体"/>
                <w:color w:val="auto"/>
                <w:highlight w:val="none"/>
              </w:rPr>
            </w:pPr>
          </w:p>
        </w:tc>
      </w:tr>
      <w:tr w14:paraId="2C17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0F03C0B5">
            <w:pPr>
              <w:jc w:val="center"/>
              <w:rPr>
                <w:rFonts w:ascii="宋体" w:hAnsi="宋体"/>
                <w:color w:val="auto"/>
                <w:highlight w:val="none"/>
              </w:rPr>
            </w:pPr>
          </w:p>
        </w:tc>
        <w:tc>
          <w:tcPr>
            <w:tcW w:w="978" w:type="dxa"/>
            <w:vAlign w:val="center"/>
          </w:tcPr>
          <w:p w14:paraId="36902B7B">
            <w:pPr>
              <w:jc w:val="center"/>
              <w:rPr>
                <w:rFonts w:ascii="宋体" w:hAnsi="宋体"/>
                <w:color w:val="auto"/>
                <w:highlight w:val="none"/>
              </w:rPr>
            </w:pPr>
          </w:p>
        </w:tc>
        <w:tc>
          <w:tcPr>
            <w:tcW w:w="1560" w:type="dxa"/>
            <w:vAlign w:val="center"/>
          </w:tcPr>
          <w:p w14:paraId="2FAC8A21">
            <w:pPr>
              <w:jc w:val="center"/>
              <w:rPr>
                <w:rFonts w:ascii="宋体" w:hAnsi="宋体"/>
                <w:color w:val="auto"/>
                <w:highlight w:val="none"/>
              </w:rPr>
            </w:pPr>
          </w:p>
        </w:tc>
        <w:tc>
          <w:tcPr>
            <w:tcW w:w="1275" w:type="dxa"/>
            <w:vAlign w:val="center"/>
          </w:tcPr>
          <w:p w14:paraId="2DAAB967">
            <w:pPr>
              <w:jc w:val="center"/>
              <w:rPr>
                <w:rFonts w:ascii="宋体" w:hAnsi="宋体"/>
                <w:color w:val="auto"/>
                <w:highlight w:val="none"/>
              </w:rPr>
            </w:pPr>
          </w:p>
        </w:tc>
        <w:tc>
          <w:tcPr>
            <w:tcW w:w="993" w:type="dxa"/>
            <w:vMerge w:val="continue"/>
            <w:vAlign w:val="center"/>
          </w:tcPr>
          <w:p w14:paraId="50589C74">
            <w:pPr>
              <w:jc w:val="center"/>
              <w:rPr>
                <w:rFonts w:ascii="宋体" w:hAnsi="宋体"/>
                <w:color w:val="auto"/>
                <w:highlight w:val="none"/>
              </w:rPr>
            </w:pPr>
          </w:p>
        </w:tc>
        <w:tc>
          <w:tcPr>
            <w:tcW w:w="1196" w:type="dxa"/>
            <w:vMerge w:val="continue"/>
            <w:vAlign w:val="center"/>
          </w:tcPr>
          <w:p w14:paraId="390EDDDF">
            <w:pPr>
              <w:jc w:val="center"/>
              <w:rPr>
                <w:rFonts w:ascii="宋体" w:hAnsi="宋体"/>
                <w:color w:val="auto"/>
                <w:highlight w:val="none"/>
              </w:rPr>
            </w:pPr>
          </w:p>
        </w:tc>
        <w:tc>
          <w:tcPr>
            <w:tcW w:w="1397" w:type="dxa"/>
            <w:vAlign w:val="center"/>
          </w:tcPr>
          <w:p w14:paraId="661FCAC4">
            <w:pPr>
              <w:jc w:val="center"/>
              <w:rPr>
                <w:rFonts w:ascii="宋体" w:hAnsi="宋体"/>
                <w:color w:val="auto"/>
                <w:highlight w:val="none"/>
              </w:rPr>
            </w:pPr>
          </w:p>
        </w:tc>
      </w:tr>
      <w:tr w14:paraId="5C3A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5A64E520">
            <w:pPr>
              <w:rPr>
                <w:rFonts w:ascii="宋体" w:hAnsi="宋体"/>
                <w:color w:val="auto"/>
                <w:highlight w:val="none"/>
              </w:rPr>
            </w:pPr>
            <w:r>
              <w:rPr>
                <w:rFonts w:hint="eastAsia" w:ascii="宋体" w:hAnsi="宋体"/>
                <w:color w:val="auto"/>
                <w:highlight w:val="none"/>
              </w:rPr>
              <w:t>评标委员会成员签名：</w:t>
            </w:r>
          </w:p>
          <w:p w14:paraId="69CC37D5">
            <w:pPr>
              <w:rPr>
                <w:rFonts w:ascii="宋体" w:hAnsi="宋体"/>
                <w:color w:val="auto"/>
                <w:highlight w:val="none"/>
              </w:rPr>
            </w:pPr>
          </w:p>
          <w:p w14:paraId="4B7C0C9C">
            <w:pPr>
              <w:rPr>
                <w:rFonts w:ascii="宋体" w:hAnsi="宋体"/>
                <w:color w:val="auto"/>
                <w:highlight w:val="none"/>
              </w:rPr>
            </w:pPr>
          </w:p>
          <w:p w14:paraId="7B55657B">
            <w:pPr>
              <w:rPr>
                <w:rFonts w:ascii="宋体" w:hAnsi="宋体"/>
                <w:color w:val="auto"/>
                <w:highlight w:val="none"/>
              </w:rPr>
            </w:pPr>
          </w:p>
          <w:p w14:paraId="5E451F9A">
            <w:pPr>
              <w:rPr>
                <w:rFonts w:ascii="宋体" w:hAnsi="宋体"/>
                <w:color w:val="auto"/>
                <w:highlight w:val="none"/>
              </w:rPr>
            </w:pPr>
          </w:p>
          <w:p w14:paraId="73AE93DF">
            <w:pPr>
              <w:rPr>
                <w:rFonts w:ascii="宋体" w:hAnsi="宋体"/>
                <w:color w:val="auto"/>
                <w:highlight w:val="none"/>
              </w:rPr>
            </w:pPr>
          </w:p>
          <w:p w14:paraId="4AB849E6">
            <w:pPr>
              <w:rPr>
                <w:rFonts w:ascii="宋体" w:hAnsi="宋体"/>
                <w:color w:val="auto"/>
                <w:highlight w:val="none"/>
              </w:rPr>
            </w:pPr>
          </w:p>
          <w:p w14:paraId="0682D075">
            <w:pPr>
              <w:rPr>
                <w:rFonts w:ascii="宋体" w:hAnsi="宋体"/>
                <w:color w:val="auto"/>
                <w:highlight w:val="none"/>
              </w:rPr>
            </w:pPr>
          </w:p>
        </w:tc>
      </w:tr>
      <w:bookmarkEnd w:id="966"/>
    </w:tbl>
    <w:p w14:paraId="406B2DAA">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p>
    <w:p w14:paraId="32494A80">
      <w:pPr>
        <w:widowControl/>
        <w:jc w:val="left"/>
        <w:rPr>
          <w:color w:val="auto"/>
          <w:highlight w:val="none"/>
        </w:rPr>
      </w:pPr>
      <w:r>
        <w:rPr>
          <w:color w:val="auto"/>
          <w:highlight w:val="none"/>
        </w:rPr>
        <w:br w:type="page"/>
      </w:r>
      <w:bookmarkEnd w:id="965"/>
    </w:p>
    <w:p w14:paraId="6C57E904">
      <w:pPr>
        <w:ind w:firstLine="5250" w:firstLineChars="2500"/>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14:paraId="287B1851">
      <w:pPr>
        <w:pStyle w:val="32"/>
        <w:ind w:firstLine="118"/>
        <w:rPr>
          <w:color w:val="auto"/>
          <w:highlight w:val="none"/>
        </w:rPr>
      </w:pPr>
      <w:bookmarkStart w:id="967" w:name="_Toc256000151"/>
      <w:bookmarkStart w:id="968" w:name="_Toc27153"/>
      <w:bookmarkStart w:id="969" w:name="_Toc164716321"/>
      <w:bookmarkStart w:id="970" w:name="_Toc148860680"/>
      <w:r>
        <w:rPr>
          <w:rFonts w:hint="eastAsia"/>
          <w:color w:val="auto"/>
          <w:highlight w:val="none"/>
        </w:rPr>
        <w:t>附表A-1</w:t>
      </w:r>
      <w:r>
        <w:rPr>
          <w:color w:val="auto"/>
          <w:highlight w:val="none"/>
        </w:rPr>
        <w:t>8</w:t>
      </w:r>
      <w:r>
        <w:rPr>
          <w:rFonts w:hint="eastAsia"/>
          <w:color w:val="auto"/>
          <w:highlight w:val="none"/>
        </w:rPr>
        <w:t>：推荐中标候选人一览表</w:t>
      </w:r>
      <w:bookmarkEnd w:id="967"/>
      <w:bookmarkEnd w:id="968"/>
      <w:bookmarkEnd w:id="969"/>
      <w:bookmarkEnd w:id="970"/>
    </w:p>
    <w:p w14:paraId="322E67A2">
      <w:pPr>
        <w:spacing w:after="312" w:afterLines="100"/>
        <w:jc w:val="center"/>
        <w:rPr>
          <w:rFonts w:ascii="黑体" w:eastAsia="黑体"/>
          <w:color w:val="auto"/>
          <w:sz w:val="36"/>
          <w:szCs w:val="36"/>
          <w:highlight w:val="none"/>
        </w:rPr>
      </w:pPr>
    </w:p>
    <w:p w14:paraId="37A460E6">
      <w:pPr>
        <w:adjustRightInd w:val="0"/>
        <w:snapToGrid w:val="0"/>
        <w:spacing w:before="240" w:beforeLines="100" w:after="240" w:afterLines="100" w:line="440" w:lineRule="exact"/>
        <w:jc w:val="center"/>
        <w:rPr>
          <w:rFonts w:ascii="黑体" w:eastAsia="黑体"/>
          <w:color w:val="auto"/>
          <w:sz w:val="36"/>
          <w:szCs w:val="36"/>
          <w:highlight w:val="none"/>
        </w:rPr>
      </w:pPr>
      <w:r>
        <w:rPr>
          <w:rFonts w:hint="eastAsia" w:ascii="黑体" w:eastAsia="黑体"/>
          <w:color w:val="auto"/>
          <w:sz w:val="36"/>
          <w:szCs w:val="36"/>
          <w:highlight w:val="none"/>
        </w:rPr>
        <w:t>推荐</w:t>
      </w:r>
      <w:r>
        <w:rPr>
          <w:rFonts w:hint="eastAsia" w:ascii="黑体" w:hAnsi="宋体" w:eastAsia="黑体"/>
          <w:color w:val="auto"/>
          <w:sz w:val="36"/>
          <w:szCs w:val="36"/>
          <w:highlight w:val="none"/>
        </w:rPr>
        <w:t>中标</w:t>
      </w:r>
      <w:r>
        <w:rPr>
          <w:rFonts w:hint="eastAsia" w:ascii="黑体" w:eastAsia="黑体"/>
          <w:color w:val="auto"/>
          <w:sz w:val="36"/>
          <w:szCs w:val="36"/>
          <w:highlight w:val="none"/>
        </w:rPr>
        <w:t>候选人一览表</w:t>
      </w:r>
    </w:p>
    <w:p w14:paraId="5E4D477B">
      <w:pPr>
        <w:rPr>
          <w:rFonts w:ascii="宋体" w:hAnsi="宋体"/>
          <w:color w:val="auto"/>
          <w:szCs w:val="44"/>
          <w:highlight w:val="none"/>
        </w:rPr>
      </w:pPr>
      <w:r>
        <w:rPr>
          <w:rFonts w:hint="eastAsia" w:ascii="宋体" w:hAnsi="宋体"/>
          <w:color w:val="auto"/>
          <w:szCs w:val="44"/>
          <w:highlight w:val="none"/>
        </w:rPr>
        <w:t>标段名称：</w:t>
      </w:r>
    </w:p>
    <w:p w14:paraId="700939AB">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81"/>
        <w:gridCol w:w="1429"/>
        <w:gridCol w:w="1466"/>
        <w:gridCol w:w="1905"/>
        <w:gridCol w:w="1274"/>
      </w:tblGrid>
      <w:tr w14:paraId="4969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56031D53">
            <w:pPr>
              <w:jc w:val="center"/>
              <w:rPr>
                <w:b/>
                <w:bCs/>
                <w:color w:val="auto"/>
                <w:highlight w:val="none"/>
              </w:rPr>
            </w:pPr>
            <w:r>
              <w:rPr>
                <w:rFonts w:hint="eastAsia"/>
                <w:b/>
                <w:bCs/>
                <w:color w:val="auto"/>
                <w:highlight w:val="none"/>
              </w:rPr>
              <w:t>排名</w:t>
            </w:r>
          </w:p>
        </w:tc>
        <w:tc>
          <w:tcPr>
            <w:tcW w:w="1831" w:type="dxa"/>
            <w:vAlign w:val="center"/>
          </w:tcPr>
          <w:p w14:paraId="267E87E4">
            <w:pPr>
              <w:jc w:val="center"/>
              <w:rPr>
                <w:b/>
                <w:bCs/>
                <w:color w:val="auto"/>
                <w:highlight w:val="none"/>
              </w:rPr>
            </w:pPr>
            <w:r>
              <w:rPr>
                <w:rFonts w:hint="eastAsia"/>
                <w:b/>
                <w:bCs/>
                <w:color w:val="auto"/>
                <w:highlight w:val="none"/>
              </w:rPr>
              <w:t>投标人名称</w:t>
            </w:r>
          </w:p>
        </w:tc>
        <w:tc>
          <w:tcPr>
            <w:tcW w:w="1646" w:type="dxa"/>
            <w:vAlign w:val="center"/>
          </w:tcPr>
          <w:p w14:paraId="4914C52E">
            <w:pPr>
              <w:jc w:val="center"/>
              <w:rPr>
                <w:b/>
                <w:bCs/>
                <w:color w:val="auto"/>
                <w:highlight w:val="none"/>
              </w:rPr>
            </w:pPr>
            <w:r>
              <w:rPr>
                <w:rFonts w:hint="eastAsia"/>
                <w:b/>
                <w:bCs/>
                <w:color w:val="auto"/>
                <w:highlight w:val="none"/>
              </w:rPr>
              <w:t>投标报价</w:t>
            </w:r>
          </w:p>
        </w:tc>
        <w:tc>
          <w:tcPr>
            <w:tcW w:w="1646" w:type="dxa"/>
            <w:vAlign w:val="center"/>
          </w:tcPr>
          <w:p w14:paraId="63A4488F">
            <w:pPr>
              <w:jc w:val="center"/>
              <w:rPr>
                <w:b/>
                <w:bCs/>
                <w:color w:val="auto"/>
                <w:highlight w:val="none"/>
              </w:rPr>
            </w:pPr>
            <w:r>
              <w:rPr>
                <w:rFonts w:hint="eastAsia"/>
                <w:b/>
                <w:bCs/>
                <w:color w:val="auto"/>
                <w:highlight w:val="none"/>
              </w:rPr>
              <w:t>评审得分（评标价）</w:t>
            </w:r>
          </w:p>
        </w:tc>
        <w:tc>
          <w:tcPr>
            <w:tcW w:w="2226" w:type="dxa"/>
            <w:vAlign w:val="center"/>
          </w:tcPr>
          <w:p w14:paraId="70E4CF24">
            <w:pPr>
              <w:jc w:val="center"/>
              <w:rPr>
                <w:b/>
                <w:bCs/>
                <w:color w:val="auto"/>
                <w:highlight w:val="none"/>
              </w:rPr>
            </w:pPr>
            <w:r>
              <w:rPr>
                <w:rFonts w:hint="eastAsia"/>
                <w:b/>
                <w:bCs/>
                <w:color w:val="auto"/>
                <w:highlight w:val="none"/>
              </w:rPr>
              <w:t>是否被推荐为中标候选人</w:t>
            </w:r>
          </w:p>
        </w:tc>
        <w:tc>
          <w:tcPr>
            <w:tcW w:w="1458" w:type="dxa"/>
            <w:vAlign w:val="center"/>
          </w:tcPr>
          <w:p w14:paraId="0118B2FC">
            <w:pPr>
              <w:jc w:val="center"/>
              <w:rPr>
                <w:b/>
                <w:bCs/>
                <w:color w:val="auto"/>
                <w:highlight w:val="none"/>
              </w:rPr>
            </w:pPr>
            <w:r>
              <w:rPr>
                <w:rFonts w:hint="eastAsia"/>
                <w:b/>
                <w:bCs/>
                <w:color w:val="auto"/>
                <w:highlight w:val="none"/>
              </w:rPr>
              <w:t>推荐理由</w:t>
            </w:r>
          </w:p>
        </w:tc>
      </w:tr>
      <w:tr w14:paraId="5931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37F8CF9B">
            <w:pPr>
              <w:jc w:val="center"/>
              <w:rPr>
                <w:color w:val="auto"/>
                <w:highlight w:val="none"/>
              </w:rPr>
            </w:pPr>
            <w:r>
              <w:rPr>
                <w:rFonts w:hint="eastAsia"/>
                <w:color w:val="auto"/>
                <w:highlight w:val="none"/>
              </w:rPr>
              <w:t>1</w:t>
            </w:r>
          </w:p>
        </w:tc>
        <w:tc>
          <w:tcPr>
            <w:tcW w:w="1831" w:type="dxa"/>
            <w:vAlign w:val="center"/>
          </w:tcPr>
          <w:p w14:paraId="1A3254A0">
            <w:pPr>
              <w:jc w:val="center"/>
              <w:rPr>
                <w:color w:val="auto"/>
                <w:highlight w:val="none"/>
              </w:rPr>
            </w:pPr>
          </w:p>
        </w:tc>
        <w:tc>
          <w:tcPr>
            <w:tcW w:w="1646" w:type="dxa"/>
            <w:vAlign w:val="center"/>
          </w:tcPr>
          <w:p w14:paraId="62B562C1">
            <w:pPr>
              <w:jc w:val="center"/>
              <w:rPr>
                <w:color w:val="auto"/>
                <w:highlight w:val="none"/>
              </w:rPr>
            </w:pPr>
          </w:p>
        </w:tc>
        <w:tc>
          <w:tcPr>
            <w:tcW w:w="1646" w:type="dxa"/>
            <w:vAlign w:val="center"/>
          </w:tcPr>
          <w:p w14:paraId="57AA989A">
            <w:pPr>
              <w:jc w:val="center"/>
              <w:rPr>
                <w:color w:val="auto"/>
                <w:highlight w:val="none"/>
              </w:rPr>
            </w:pPr>
          </w:p>
        </w:tc>
        <w:tc>
          <w:tcPr>
            <w:tcW w:w="2226" w:type="dxa"/>
            <w:vAlign w:val="center"/>
          </w:tcPr>
          <w:p w14:paraId="60923801">
            <w:pPr>
              <w:jc w:val="center"/>
              <w:rPr>
                <w:color w:val="auto"/>
                <w:highlight w:val="none"/>
              </w:rPr>
            </w:pPr>
          </w:p>
        </w:tc>
        <w:tc>
          <w:tcPr>
            <w:tcW w:w="1458" w:type="dxa"/>
            <w:vAlign w:val="center"/>
          </w:tcPr>
          <w:p w14:paraId="0DA46D7A">
            <w:pPr>
              <w:jc w:val="center"/>
              <w:rPr>
                <w:color w:val="auto"/>
                <w:highlight w:val="none"/>
              </w:rPr>
            </w:pPr>
          </w:p>
        </w:tc>
      </w:tr>
      <w:tr w14:paraId="74F7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34811982">
            <w:pPr>
              <w:jc w:val="center"/>
              <w:rPr>
                <w:color w:val="auto"/>
                <w:highlight w:val="none"/>
              </w:rPr>
            </w:pPr>
            <w:r>
              <w:rPr>
                <w:rFonts w:hint="eastAsia"/>
                <w:color w:val="auto"/>
                <w:highlight w:val="none"/>
              </w:rPr>
              <w:t>2</w:t>
            </w:r>
          </w:p>
        </w:tc>
        <w:tc>
          <w:tcPr>
            <w:tcW w:w="1831" w:type="dxa"/>
            <w:vAlign w:val="center"/>
          </w:tcPr>
          <w:p w14:paraId="2E7B1B7A">
            <w:pPr>
              <w:jc w:val="center"/>
              <w:rPr>
                <w:color w:val="auto"/>
                <w:highlight w:val="none"/>
              </w:rPr>
            </w:pPr>
          </w:p>
        </w:tc>
        <w:tc>
          <w:tcPr>
            <w:tcW w:w="1646" w:type="dxa"/>
            <w:vAlign w:val="center"/>
          </w:tcPr>
          <w:p w14:paraId="0E8047F2">
            <w:pPr>
              <w:jc w:val="center"/>
              <w:rPr>
                <w:color w:val="auto"/>
                <w:highlight w:val="none"/>
              </w:rPr>
            </w:pPr>
          </w:p>
        </w:tc>
        <w:tc>
          <w:tcPr>
            <w:tcW w:w="1646" w:type="dxa"/>
            <w:vAlign w:val="center"/>
          </w:tcPr>
          <w:p w14:paraId="7DDC059C">
            <w:pPr>
              <w:jc w:val="center"/>
              <w:rPr>
                <w:color w:val="auto"/>
                <w:highlight w:val="none"/>
              </w:rPr>
            </w:pPr>
          </w:p>
        </w:tc>
        <w:tc>
          <w:tcPr>
            <w:tcW w:w="2226" w:type="dxa"/>
            <w:vAlign w:val="center"/>
          </w:tcPr>
          <w:p w14:paraId="0F4F4EC3">
            <w:pPr>
              <w:jc w:val="center"/>
              <w:rPr>
                <w:color w:val="auto"/>
                <w:highlight w:val="none"/>
              </w:rPr>
            </w:pPr>
          </w:p>
        </w:tc>
        <w:tc>
          <w:tcPr>
            <w:tcW w:w="1458" w:type="dxa"/>
            <w:vAlign w:val="center"/>
          </w:tcPr>
          <w:p w14:paraId="1217DE94">
            <w:pPr>
              <w:jc w:val="center"/>
              <w:rPr>
                <w:color w:val="auto"/>
                <w:highlight w:val="none"/>
              </w:rPr>
            </w:pPr>
          </w:p>
        </w:tc>
      </w:tr>
      <w:tr w14:paraId="0540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381957B5">
            <w:pPr>
              <w:jc w:val="center"/>
              <w:rPr>
                <w:color w:val="auto"/>
                <w:highlight w:val="none"/>
              </w:rPr>
            </w:pPr>
            <w:r>
              <w:rPr>
                <w:rFonts w:hint="eastAsia"/>
                <w:color w:val="auto"/>
                <w:highlight w:val="none"/>
              </w:rPr>
              <w:t>3</w:t>
            </w:r>
          </w:p>
        </w:tc>
        <w:tc>
          <w:tcPr>
            <w:tcW w:w="1831" w:type="dxa"/>
            <w:vAlign w:val="center"/>
          </w:tcPr>
          <w:p w14:paraId="1C6DA5E6">
            <w:pPr>
              <w:jc w:val="center"/>
              <w:rPr>
                <w:color w:val="auto"/>
                <w:highlight w:val="none"/>
              </w:rPr>
            </w:pPr>
          </w:p>
        </w:tc>
        <w:tc>
          <w:tcPr>
            <w:tcW w:w="1646" w:type="dxa"/>
            <w:vAlign w:val="center"/>
          </w:tcPr>
          <w:p w14:paraId="5F8AED3F">
            <w:pPr>
              <w:jc w:val="center"/>
              <w:rPr>
                <w:color w:val="auto"/>
                <w:highlight w:val="none"/>
              </w:rPr>
            </w:pPr>
          </w:p>
        </w:tc>
        <w:tc>
          <w:tcPr>
            <w:tcW w:w="1646" w:type="dxa"/>
            <w:vAlign w:val="center"/>
          </w:tcPr>
          <w:p w14:paraId="2F07E89D">
            <w:pPr>
              <w:jc w:val="center"/>
              <w:rPr>
                <w:color w:val="auto"/>
                <w:highlight w:val="none"/>
              </w:rPr>
            </w:pPr>
          </w:p>
        </w:tc>
        <w:tc>
          <w:tcPr>
            <w:tcW w:w="2226" w:type="dxa"/>
            <w:vAlign w:val="center"/>
          </w:tcPr>
          <w:p w14:paraId="60C12CF3">
            <w:pPr>
              <w:jc w:val="center"/>
              <w:rPr>
                <w:color w:val="auto"/>
                <w:highlight w:val="none"/>
              </w:rPr>
            </w:pPr>
          </w:p>
        </w:tc>
        <w:tc>
          <w:tcPr>
            <w:tcW w:w="1458" w:type="dxa"/>
            <w:vAlign w:val="center"/>
          </w:tcPr>
          <w:p w14:paraId="13943A52">
            <w:pPr>
              <w:jc w:val="center"/>
              <w:rPr>
                <w:color w:val="auto"/>
                <w:highlight w:val="none"/>
              </w:rPr>
            </w:pPr>
          </w:p>
        </w:tc>
      </w:tr>
      <w:tr w14:paraId="705C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2CF7B8AD">
            <w:pPr>
              <w:jc w:val="center"/>
              <w:rPr>
                <w:color w:val="auto"/>
                <w:highlight w:val="none"/>
              </w:rPr>
            </w:pPr>
            <w:r>
              <w:rPr>
                <w:rFonts w:hint="eastAsia"/>
                <w:color w:val="auto"/>
                <w:highlight w:val="none"/>
              </w:rPr>
              <w:t>4</w:t>
            </w:r>
          </w:p>
        </w:tc>
        <w:tc>
          <w:tcPr>
            <w:tcW w:w="1831" w:type="dxa"/>
            <w:vAlign w:val="center"/>
          </w:tcPr>
          <w:p w14:paraId="48D962D7">
            <w:pPr>
              <w:jc w:val="center"/>
              <w:rPr>
                <w:color w:val="auto"/>
                <w:highlight w:val="none"/>
              </w:rPr>
            </w:pPr>
          </w:p>
        </w:tc>
        <w:tc>
          <w:tcPr>
            <w:tcW w:w="1646" w:type="dxa"/>
            <w:vAlign w:val="center"/>
          </w:tcPr>
          <w:p w14:paraId="2C4A1F82">
            <w:pPr>
              <w:jc w:val="center"/>
              <w:rPr>
                <w:color w:val="auto"/>
                <w:highlight w:val="none"/>
              </w:rPr>
            </w:pPr>
          </w:p>
        </w:tc>
        <w:tc>
          <w:tcPr>
            <w:tcW w:w="1646" w:type="dxa"/>
            <w:vAlign w:val="center"/>
          </w:tcPr>
          <w:p w14:paraId="42517F3B">
            <w:pPr>
              <w:jc w:val="center"/>
              <w:rPr>
                <w:color w:val="auto"/>
                <w:highlight w:val="none"/>
              </w:rPr>
            </w:pPr>
          </w:p>
        </w:tc>
        <w:tc>
          <w:tcPr>
            <w:tcW w:w="2226" w:type="dxa"/>
            <w:vAlign w:val="center"/>
          </w:tcPr>
          <w:p w14:paraId="29C288F2">
            <w:pPr>
              <w:jc w:val="center"/>
              <w:rPr>
                <w:color w:val="auto"/>
                <w:highlight w:val="none"/>
              </w:rPr>
            </w:pPr>
          </w:p>
        </w:tc>
        <w:tc>
          <w:tcPr>
            <w:tcW w:w="1458" w:type="dxa"/>
            <w:vAlign w:val="center"/>
          </w:tcPr>
          <w:p w14:paraId="00D7CC37">
            <w:pPr>
              <w:jc w:val="center"/>
              <w:rPr>
                <w:color w:val="auto"/>
                <w:highlight w:val="none"/>
              </w:rPr>
            </w:pPr>
          </w:p>
        </w:tc>
      </w:tr>
      <w:tr w14:paraId="62D6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5AB38727">
            <w:pPr>
              <w:jc w:val="center"/>
              <w:rPr>
                <w:color w:val="auto"/>
                <w:highlight w:val="none"/>
              </w:rPr>
            </w:pPr>
            <w:r>
              <w:rPr>
                <w:rFonts w:hint="eastAsia"/>
                <w:color w:val="auto"/>
                <w:highlight w:val="none"/>
              </w:rPr>
              <w:t>5</w:t>
            </w:r>
          </w:p>
        </w:tc>
        <w:tc>
          <w:tcPr>
            <w:tcW w:w="1831" w:type="dxa"/>
            <w:vAlign w:val="center"/>
          </w:tcPr>
          <w:p w14:paraId="58E37C2C">
            <w:pPr>
              <w:jc w:val="center"/>
              <w:rPr>
                <w:color w:val="auto"/>
                <w:highlight w:val="none"/>
              </w:rPr>
            </w:pPr>
          </w:p>
        </w:tc>
        <w:tc>
          <w:tcPr>
            <w:tcW w:w="1646" w:type="dxa"/>
            <w:vAlign w:val="center"/>
          </w:tcPr>
          <w:p w14:paraId="7FE1627F">
            <w:pPr>
              <w:jc w:val="center"/>
              <w:rPr>
                <w:color w:val="auto"/>
                <w:highlight w:val="none"/>
              </w:rPr>
            </w:pPr>
          </w:p>
        </w:tc>
        <w:tc>
          <w:tcPr>
            <w:tcW w:w="1646" w:type="dxa"/>
            <w:vAlign w:val="center"/>
          </w:tcPr>
          <w:p w14:paraId="38168698">
            <w:pPr>
              <w:jc w:val="center"/>
              <w:rPr>
                <w:color w:val="auto"/>
                <w:highlight w:val="none"/>
              </w:rPr>
            </w:pPr>
          </w:p>
        </w:tc>
        <w:tc>
          <w:tcPr>
            <w:tcW w:w="2226" w:type="dxa"/>
            <w:vAlign w:val="center"/>
          </w:tcPr>
          <w:p w14:paraId="3E971FD1">
            <w:pPr>
              <w:jc w:val="center"/>
              <w:rPr>
                <w:color w:val="auto"/>
                <w:highlight w:val="none"/>
              </w:rPr>
            </w:pPr>
          </w:p>
        </w:tc>
        <w:tc>
          <w:tcPr>
            <w:tcW w:w="1458" w:type="dxa"/>
            <w:vAlign w:val="center"/>
          </w:tcPr>
          <w:p w14:paraId="6E2C0C59">
            <w:pPr>
              <w:jc w:val="center"/>
              <w:rPr>
                <w:color w:val="auto"/>
                <w:highlight w:val="none"/>
              </w:rPr>
            </w:pPr>
          </w:p>
        </w:tc>
      </w:tr>
      <w:tr w14:paraId="43A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4C6E9D87">
            <w:pPr>
              <w:jc w:val="center"/>
              <w:rPr>
                <w:color w:val="auto"/>
                <w:highlight w:val="none"/>
              </w:rPr>
            </w:pPr>
            <w:r>
              <w:rPr>
                <w:rFonts w:hint="eastAsia" w:ascii="宋体" w:hAnsi="宋体"/>
                <w:color w:val="auto"/>
                <w:highlight w:val="none"/>
              </w:rPr>
              <w:t>…</w:t>
            </w:r>
          </w:p>
        </w:tc>
        <w:tc>
          <w:tcPr>
            <w:tcW w:w="1831" w:type="dxa"/>
            <w:vAlign w:val="center"/>
          </w:tcPr>
          <w:p w14:paraId="252C27BF">
            <w:pPr>
              <w:jc w:val="center"/>
              <w:rPr>
                <w:color w:val="auto"/>
                <w:highlight w:val="none"/>
              </w:rPr>
            </w:pPr>
          </w:p>
        </w:tc>
        <w:tc>
          <w:tcPr>
            <w:tcW w:w="1646" w:type="dxa"/>
            <w:vAlign w:val="center"/>
          </w:tcPr>
          <w:p w14:paraId="61A050D5">
            <w:pPr>
              <w:jc w:val="center"/>
              <w:rPr>
                <w:color w:val="auto"/>
                <w:highlight w:val="none"/>
              </w:rPr>
            </w:pPr>
          </w:p>
        </w:tc>
        <w:tc>
          <w:tcPr>
            <w:tcW w:w="1646" w:type="dxa"/>
            <w:vAlign w:val="center"/>
          </w:tcPr>
          <w:p w14:paraId="3C4FE869">
            <w:pPr>
              <w:jc w:val="center"/>
              <w:rPr>
                <w:color w:val="auto"/>
                <w:highlight w:val="none"/>
              </w:rPr>
            </w:pPr>
          </w:p>
        </w:tc>
        <w:tc>
          <w:tcPr>
            <w:tcW w:w="2226" w:type="dxa"/>
            <w:vAlign w:val="center"/>
          </w:tcPr>
          <w:p w14:paraId="1A4346CD">
            <w:pPr>
              <w:jc w:val="center"/>
              <w:rPr>
                <w:color w:val="auto"/>
                <w:highlight w:val="none"/>
              </w:rPr>
            </w:pPr>
          </w:p>
        </w:tc>
        <w:tc>
          <w:tcPr>
            <w:tcW w:w="1458" w:type="dxa"/>
            <w:vAlign w:val="center"/>
          </w:tcPr>
          <w:p w14:paraId="7C42C890">
            <w:pPr>
              <w:jc w:val="center"/>
              <w:rPr>
                <w:color w:val="auto"/>
                <w:highlight w:val="none"/>
              </w:rPr>
            </w:pPr>
          </w:p>
        </w:tc>
      </w:tr>
      <w:tr w14:paraId="23C5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769" w:type="dxa"/>
            <w:gridSpan w:val="6"/>
            <w:vAlign w:val="center"/>
          </w:tcPr>
          <w:p w14:paraId="2CF9121B">
            <w:pPr>
              <w:jc w:val="left"/>
              <w:rPr>
                <w:rFonts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02B8BE1A">
            <w:pPr>
              <w:jc w:val="left"/>
              <w:rPr>
                <w:rFonts w:ascii="宋体" w:hAnsi="宋体"/>
                <w:color w:val="auto"/>
                <w:szCs w:val="44"/>
                <w:highlight w:val="none"/>
              </w:rPr>
            </w:pPr>
          </w:p>
          <w:p w14:paraId="220845ED">
            <w:pPr>
              <w:jc w:val="left"/>
              <w:rPr>
                <w:rFonts w:ascii="宋体" w:hAnsi="宋体"/>
                <w:color w:val="auto"/>
                <w:szCs w:val="44"/>
                <w:highlight w:val="none"/>
              </w:rPr>
            </w:pPr>
          </w:p>
          <w:p w14:paraId="6EAA33D7">
            <w:pPr>
              <w:jc w:val="left"/>
              <w:rPr>
                <w:rFonts w:ascii="宋体" w:hAnsi="宋体"/>
                <w:color w:val="auto"/>
                <w:szCs w:val="44"/>
                <w:highlight w:val="none"/>
              </w:rPr>
            </w:pPr>
          </w:p>
          <w:p w14:paraId="05FDB569">
            <w:pPr>
              <w:jc w:val="left"/>
              <w:rPr>
                <w:rFonts w:ascii="宋体" w:hAnsi="宋体"/>
                <w:color w:val="auto"/>
                <w:szCs w:val="44"/>
                <w:highlight w:val="none"/>
              </w:rPr>
            </w:pPr>
          </w:p>
          <w:p w14:paraId="392482E0">
            <w:pPr>
              <w:jc w:val="left"/>
              <w:rPr>
                <w:rFonts w:ascii="宋体" w:hAnsi="宋体"/>
                <w:color w:val="auto"/>
                <w:szCs w:val="44"/>
                <w:highlight w:val="none"/>
              </w:rPr>
            </w:pPr>
          </w:p>
          <w:p w14:paraId="6D9FA5A4">
            <w:pPr>
              <w:jc w:val="left"/>
              <w:rPr>
                <w:rFonts w:ascii="宋体" w:hAnsi="宋体"/>
                <w:color w:val="auto"/>
                <w:szCs w:val="44"/>
                <w:highlight w:val="none"/>
              </w:rPr>
            </w:pPr>
          </w:p>
          <w:p w14:paraId="2E15A063">
            <w:pPr>
              <w:jc w:val="left"/>
              <w:rPr>
                <w:color w:val="auto"/>
                <w:highlight w:val="none"/>
              </w:rPr>
            </w:pPr>
          </w:p>
        </w:tc>
      </w:tr>
    </w:tbl>
    <w:p w14:paraId="43228E9C">
      <w:pPr>
        <w:widowControl/>
        <w:spacing w:line="430" w:lineRule="exact"/>
        <w:ind w:firstLine="420" w:firstLineChars="200"/>
        <w:jc w:val="right"/>
        <w:rPr>
          <w:color w:val="auto"/>
          <w:highlight w:val="none"/>
        </w:rPr>
      </w:pPr>
      <w:r>
        <w:rPr>
          <w:rFonts w:hint="eastAsia"/>
          <w:color w:val="auto"/>
          <w:highlight w:val="none"/>
        </w:rPr>
        <w:t xml:space="preserve">日期：    年   月 </w:t>
      </w:r>
      <w:r>
        <w:rPr>
          <w:color w:val="auto"/>
          <w:highlight w:val="none"/>
        </w:rPr>
        <w:t xml:space="preserve">    </w:t>
      </w:r>
      <w:r>
        <w:rPr>
          <w:rFonts w:hint="eastAsia"/>
          <w:color w:val="auto"/>
          <w:highlight w:val="none"/>
        </w:rPr>
        <w:t xml:space="preserve"> 日</w:t>
      </w:r>
    </w:p>
    <w:p w14:paraId="292118B0">
      <w:pPr>
        <w:rPr>
          <w:color w:val="auto"/>
          <w:highlight w:val="none"/>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52709D">
      <w:pPr>
        <w:bidi w:val="0"/>
        <w:rPr>
          <w:rFonts w:hint="eastAsia"/>
          <w:color w:val="auto"/>
          <w:highlight w:val="none"/>
        </w:rPr>
      </w:pPr>
      <w:bookmarkStart w:id="971" w:name="_Toc152264507"/>
    </w:p>
    <w:p w14:paraId="08C22B7B">
      <w:pPr>
        <w:bidi w:val="0"/>
        <w:rPr>
          <w:rFonts w:hint="eastAsia"/>
          <w:color w:val="auto"/>
          <w:highlight w:val="none"/>
        </w:rPr>
      </w:pPr>
    </w:p>
    <w:p w14:paraId="325E11A5">
      <w:pPr>
        <w:bidi w:val="0"/>
        <w:rPr>
          <w:rFonts w:hint="eastAsia"/>
          <w:color w:val="auto"/>
          <w:highlight w:val="none"/>
        </w:rPr>
      </w:pPr>
    </w:p>
    <w:p w14:paraId="666CDF23">
      <w:pPr>
        <w:bidi w:val="0"/>
        <w:rPr>
          <w:rFonts w:hint="eastAsia"/>
          <w:color w:val="auto"/>
          <w:highlight w:val="none"/>
        </w:rPr>
      </w:pPr>
    </w:p>
    <w:p w14:paraId="4B4AF37E">
      <w:pPr>
        <w:bidi w:val="0"/>
        <w:rPr>
          <w:rFonts w:hint="eastAsia"/>
          <w:color w:val="auto"/>
          <w:highlight w:val="none"/>
        </w:rPr>
      </w:pPr>
    </w:p>
    <w:p w14:paraId="6B6DB57D">
      <w:pPr>
        <w:bidi w:val="0"/>
        <w:rPr>
          <w:rFonts w:hint="eastAsia"/>
          <w:color w:val="auto"/>
          <w:highlight w:val="none"/>
        </w:rPr>
      </w:pPr>
    </w:p>
    <w:p w14:paraId="6B32987E">
      <w:pPr>
        <w:bidi w:val="0"/>
        <w:rPr>
          <w:rFonts w:hint="eastAsia"/>
          <w:color w:val="auto"/>
          <w:highlight w:val="none"/>
        </w:rPr>
      </w:pPr>
    </w:p>
    <w:p w14:paraId="516A2D5D">
      <w:pPr>
        <w:bidi w:val="0"/>
        <w:rPr>
          <w:rFonts w:hint="eastAsia"/>
          <w:color w:val="auto"/>
          <w:highlight w:val="none"/>
        </w:rPr>
      </w:pPr>
    </w:p>
    <w:p w14:paraId="590D2507">
      <w:pPr>
        <w:bidi w:val="0"/>
        <w:rPr>
          <w:rFonts w:hint="eastAsia"/>
          <w:color w:val="auto"/>
          <w:highlight w:val="none"/>
        </w:rPr>
      </w:pPr>
    </w:p>
    <w:p w14:paraId="58E5FB56">
      <w:pPr>
        <w:bidi w:val="0"/>
        <w:rPr>
          <w:rFonts w:hint="eastAsia"/>
          <w:color w:val="auto"/>
          <w:highlight w:val="none"/>
        </w:rPr>
      </w:pPr>
    </w:p>
    <w:p w14:paraId="18CF7485">
      <w:pPr>
        <w:bidi w:val="0"/>
        <w:rPr>
          <w:rFonts w:hint="eastAsia"/>
          <w:color w:val="auto"/>
          <w:highlight w:val="none"/>
        </w:rPr>
      </w:pPr>
    </w:p>
    <w:p w14:paraId="58CD018B">
      <w:pPr>
        <w:bidi w:val="0"/>
        <w:rPr>
          <w:rFonts w:hint="eastAsia"/>
          <w:color w:val="auto"/>
          <w:highlight w:val="none"/>
        </w:rPr>
      </w:pPr>
    </w:p>
    <w:p w14:paraId="3AF5781B">
      <w:pPr>
        <w:bidi w:val="0"/>
        <w:rPr>
          <w:rFonts w:hint="eastAsia"/>
          <w:color w:val="auto"/>
          <w:highlight w:val="none"/>
        </w:rPr>
      </w:pPr>
    </w:p>
    <w:p w14:paraId="41C7DA55">
      <w:pPr>
        <w:bidi w:val="0"/>
        <w:rPr>
          <w:rFonts w:hint="eastAsia"/>
          <w:color w:val="auto"/>
          <w:highlight w:val="none"/>
        </w:rPr>
      </w:pPr>
    </w:p>
    <w:p w14:paraId="25553CB2">
      <w:pPr>
        <w:bidi w:val="0"/>
        <w:rPr>
          <w:rFonts w:hint="eastAsia"/>
          <w:color w:val="auto"/>
          <w:highlight w:val="none"/>
        </w:rPr>
      </w:pPr>
    </w:p>
    <w:p w14:paraId="6C12BD0C">
      <w:pPr>
        <w:bidi w:val="0"/>
        <w:rPr>
          <w:rFonts w:hint="eastAsia"/>
          <w:color w:val="auto"/>
          <w:highlight w:val="none"/>
        </w:rPr>
      </w:pPr>
    </w:p>
    <w:p w14:paraId="3DC61CFC">
      <w:pPr>
        <w:bidi w:val="0"/>
        <w:rPr>
          <w:rFonts w:hint="eastAsia"/>
          <w:color w:val="auto"/>
          <w:highlight w:val="none"/>
        </w:rPr>
      </w:pPr>
    </w:p>
    <w:p w14:paraId="11AD5BB2">
      <w:pPr>
        <w:pStyle w:val="2"/>
        <w:spacing w:before="120" w:after="120" w:line="400" w:lineRule="exact"/>
        <w:jc w:val="center"/>
        <w:rPr>
          <w:rFonts w:ascii="黑体" w:hAnsi="黑体" w:eastAsia="黑体"/>
          <w:b w:val="0"/>
          <w:bCs w:val="0"/>
          <w:color w:val="auto"/>
          <w:sz w:val="32"/>
          <w:highlight w:val="none"/>
        </w:rPr>
      </w:pPr>
      <w:bookmarkStart w:id="972" w:name="_Toc256000152"/>
      <w:r>
        <w:rPr>
          <w:rFonts w:hint="eastAsia" w:ascii="黑体" w:hAnsi="黑体" w:eastAsia="黑体"/>
          <w:b w:val="0"/>
          <w:bCs w:val="0"/>
          <w:color w:val="auto"/>
          <w:sz w:val="32"/>
          <w:highlight w:val="none"/>
        </w:rPr>
        <w:t>第四章  合同条款及格式</w:t>
      </w:r>
      <w:bookmarkEnd w:id="971"/>
      <w:bookmarkEnd w:id="972"/>
    </w:p>
    <w:p w14:paraId="6645643A">
      <w:pPr>
        <w:jc w:val="center"/>
        <w:rPr>
          <w:rFonts w:ascii="黑体" w:eastAsia="黑体"/>
          <w:color w:val="auto"/>
          <w:sz w:val="30"/>
          <w:szCs w:val="30"/>
          <w:highlight w:val="none"/>
        </w:rPr>
      </w:pPr>
    </w:p>
    <w:p w14:paraId="6F958B7E">
      <w:pPr>
        <w:jc w:val="center"/>
        <w:rPr>
          <w:rFonts w:ascii="黑体" w:eastAsia="黑体"/>
          <w:color w:val="auto"/>
          <w:sz w:val="30"/>
          <w:szCs w:val="30"/>
          <w:highlight w:val="none"/>
        </w:rPr>
      </w:pPr>
    </w:p>
    <w:p w14:paraId="36BDCCC0">
      <w:pPr>
        <w:jc w:val="center"/>
        <w:rPr>
          <w:rFonts w:ascii="黑体" w:eastAsia="黑体"/>
          <w:color w:val="auto"/>
          <w:sz w:val="30"/>
          <w:szCs w:val="30"/>
          <w:highlight w:val="none"/>
        </w:rPr>
      </w:pPr>
    </w:p>
    <w:p w14:paraId="43C47D89">
      <w:pPr>
        <w:jc w:val="center"/>
        <w:rPr>
          <w:rFonts w:ascii="黑体" w:eastAsia="黑体"/>
          <w:color w:val="auto"/>
          <w:sz w:val="30"/>
          <w:szCs w:val="30"/>
          <w:highlight w:val="none"/>
        </w:rPr>
      </w:pPr>
    </w:p>
    <w:p w14:paraId="7CA13878">
      <w:pPr>
        <w:jc w:val="center"/>
        <w:rPr>
          <w:rFonts w:ascii="黑体" w:eastAsia="黑体"/>
          <w:color w:val="auto"/>
          <w:sz w:val="30"/>
          <w:szCs w:val="30"/>
          <w:highlight w:val="none"/>
        </w:rPr>
      </w:pPr>
    </w:p>
    <w:p w14:paraId="66601392">
      <w:pPr>
        <w:jc w:val="center"/>
        <w:rPr>
          <w:rFonts w:ascii="黑体" w:eastAsia="黑体"/>
          <w:color w:val="auto"/>
          <w:sz w:val="30"/>
          <w:szCs w:val="30"/>
          <w:highlight w:val="none"/>
        </w:rPr>
      </w:pPr>
    </w:p>
    <w:p w14:paraId="7685CE02">
      <w:pPr>
        <w:jc w:val="center"/>
        <w:rPr>
          <w:rFonts w:ascii="黑体" w:eastAsia="黑体"/>
          <w:color w:val="auto"/>
          <w:sz w:val="30"/>
          <w:szCs w:val="30"/>
          <w:highlight w:val="none"/>
        </w:rPr>
      </w:pPr>
    </w:p>
    <w:p w14:paraId="6200D6E8">
      <w:pPr>
        <w:spacing w:line="320" w:lineRule="exac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7995B0D">
      <w:pPr>
        <w:pStyle w:val="34"/>
        <w:widowControl/>
        <w:adjustRightInd w:val="0"/>
        <w:snapToGrid w:val="0"/>
        <w:spacing w:after="50" w:line="360" w:lineRule="auto"/>
        <w:jc w:val="center"/>
        <w:outlineLvl w:val="2"/>
        <w:rPr>
          <w:rFonts w:ascii="华文中宋" w:hAnsi="华文中宋" w:eastAsia="华文中宋"/>
          <w:b/>
          <w:bCs/>
          <w:color w:val="auto"/>
          <w:kern w:val="44"/>
          <w:sz w:val="44"/>
          <w:szCs w:val="52"/>
          <w:highlight w:val="none"/>
          <w:lang w:val="zh-CN"/>
        </w:rPr>
      </w:pPr>
      <w:bookmarkStart w:id="973" w:name="_Toc256000153"/>
      <w:bookmarkStart w:id="974" w:name="_Toc54862164"/>
      <w:bookmarkStart w:id="975" w:name="_Toc9328"/>
      <w:bookmarkStart w:id="976" w:name="_Toc26968"/>
      <w:bookmarkStart w:id="977" w:name="_Toc3729"/>
      <w:r>
        <w:rPr>
          <w:rFonts w:hint="eastAsia" w:ascii="华文中宋" w:hAnsi="华文中宋" w:eastAsia="华文中宋"/>
          <w:b/>
          <w:bCs/>
          <w:color w:val="auto"/>
          <w:kern w:val="44"/>
          <w:sz w:val="44"/>
          <w:szCs w:val="52"/>
          <w:highlight w:val="none"/>
          <w:lang w:val="zh-CN"/>
        </w:rPr>
        <w:t>第一部分</w:t>
      </w:r>
      <w:r>
        <w:rPr>
          <w:rFonts w:ascii="华文中宋" w:hAnsi="华文中宋" w:eastAsia="华文中宋"/>
          <w:b/>
          <w:bCs/>
          <w:color w:val="auto"/>
          <w:kern w:val="44"/>
          <w:sz w:val="44"/>
          <w:szCs w:val="52"/>
          <w:highlight w:val="none"/>
          <w:lang w:val="zh-CN"/>
        </w:rPr>
        <w:t xml:space="preserve"> </w:t>
      </w:r>
      <w:r>
        <w:rPr>
          <w:rFonts w:hint="eastAsia" w:ascii="华文中宋" w:hAnsi="华文中宋" w:eastAsia="华文中宋"/>
          <w:b/>
          <w:bCs/>
          <w:color w:val="auto"/>
          <w:kern w:val="44"/>
          <w:sz w:val="44"/>
          <w:szCs w:val="52"/>
          <w:highlight w:val="none"/>
          <w:lang w:val="zh-CN"/>
        </w:rPr>
        <w:t>合同协议书</w:t>
      </w:r>
      <w:bookmarkEnd w:id="973"/>
      <w:bookmarkEnd w:id="974"/>
      <w:bookmarkEnd w:id="975"/>
      <w:bookmarkEnd w:id="976"/>
      <w:bookmarkEnd w:id="977"/>
    </w:p>
    <w:p w14:paraId="56C2DFB0">
      <w:pPr>
        <w:spacing w:line="360" w:lineRule="auto"/>
        <w:ind w:firstLine="600"/>
        <w:rPr>
          <w:rFonts w:ascii="宋体" w:hAnsi="宋体" w:cs="宋体"/>
          <w:b/>
          <w:bCs/>
          <w:color w:val="auto"/>
          <w:sz w:val="21"/>
          <w:szCs w:val="21"/>
          <w:highlight w:val="none"/>
          <w:u w:val="single"/>
        </w:rPr>
      </w:pPr>
      <w:r>
        <w:rPr>
          <w:rFonts w:hint="eastAsia" w:ascii="宋体" w:hAnsi="宋体" w:cs="宋体"/>
          <w:color w:val="auto"/>
          <w:sz w:val="21"/>
          <w:szCs w:val="21"/>
          <w:highlight w:val="none"/>
        </w:rPr>
        <w:t>发包人（全称）：</w:t>
      </w:r>
      <w:r>
        <w:rPr>
          <w:rFonts w:hint="eastAsia" w:ascii="宋体" w:hAnsi="宋体" w:cs="宋体"/>
          <w:b/>
          <w:bCs/>
          <w:color w:val="auto"/>
          <w:sz w:val="21"/>
          <w:szCs w:val="21"/>
          <w:highlight w:val="none"/>
          <w:u w:val="single"/>
        </w:rPr>
        <w:t xml:space="preserve">                              </w:t>
      </w:r>
    </w:p>
    <w:p w14:paraId="519CE617">
      <w:pPr>
        <w:spacing w:line="360" w:lineRule="auto"/>
        <w:ind w:firstLine="600"/>
        <w:rPr>
          <w:rFonts w:hint="eastAsia" w:ascii="宋体" w:hAnsi="宋体" w:cs="宋体"/>
          <w:b/>
          <w:bCs/>
          <w:color w:val="auto"/>
          <w:sz w:val="21"/>
          <w:szCs w:val="21"/>
          <w:highlight w:val="none"/>
          <w:u w:val="single"/>
        </w:rPr>
      </w:pPr>
      <w:r>
        <w:rPr>
          <w:rFonts w:hint="eastAsia" w:ascii="宋体" w:hAnsi="宋体" w:cs="宋体"/>
          <w:color w:val="auto"/>
          <w:sz w:val="21"/>
          <w:szCs w:val="21"/>
          <w:highlight w:val="none"/>
        </w:rPr>
        <w:t>承包人（全称）：</w:t>
      </w:r>
      <w:r>
        <w:rPr>
          <w:rFonts w:hint="eastAsia" w:ascii="宋体" w:hAnsi="宋体" w:cs="宋体"/>
          <w:b/>
          <w:bCs/>
          <w:color w:val="auto"/>
          <w:sz w:val="21"/>
          <w:szCs w:val="21"/>
          <w:highlight w:val="none"/>
          <w:u w:val="single"/>
        </w:rPr>
        <w:t xml:space="preserve">                              </w:t>
      </w:r>
    </w:p>
    <w:p w14:paraId="555B55C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根据《中华人民共和国民法典》、《中华人民共和国建筑法》及有关法律规定，遵循平等、自愿、公平和</w:t>
      </w:r>
      <w:r>
        <w:rPr>
          <w:rFonts w:hint="eastAsia" w:ascii="宋体" w:hAnsi="宋体" w:cs="宋体"/>
          <w:color w:val="auto"/>
          <w:sz w:val="21"/>
          <w:szCs w:val="21"/>
          <w:highlight w:val="none"/>
        </w:rPr>
        <w:t>诚实信用的原则，双方就</w:t>
      </w:r>
      <w:r>
        <w:rPr>
          <w:rFonts w:hint="eastAsia" w:ascii="宋体" w:hAnsi="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u w:val="single"/>
          <w:lang w:eastAsia="zh-CN"/>
        </w:rPr>
        <w:t>营口国盛轩宇产业开发建设有限公司清洁能源高端装备制造产业基地基础设施配套项目（一标段）EPC工程总承包</w:t>
      </w:r>
      <w:r>
        <w:rPr>
          <w:rFonts w:hint="eastAsia" w:ascii="宋体" w:hAnsi="宋体" w:cs="宋体"/>
          <w:color w:val="auto"/>
          <w:sz w:val="21"/>
          <w:szCs w:val="21"/>
          <w:highlight w:val="none"/>
        </w:rPr>
        <w:t>的工程总承包及有关事项协商一致，共同达成如下协议：</w:t>
      </w:r>
    </w:p>
    <w:p w14:paraId="10E5AD0B">
      <w:pPr>
        <w:pStyle w:val="50"/>
        <w:wordWrap/>
        <w:topLinePunct w:val="0"/>
        <w:snapToGrid/>
        <w:spacing w:after="0" w:afterLines="0"/>
        <w:ind w:left="0"/>
        <w:rPr>
          <w:rFonts w:hint="eastAsia" w:cs="宋体"/>
          <w:b w:val="0"/>
          <w:bCs/>
          <w:color w:val="auto"/>
          <w:sz w:val="21"/>
          <w:szCs w:val="21"/>
          <w:highlight w:val="none"/>
        </w:rPr>
      </w:pPr>
      <w:bookmarkStart w:id="978" w:name="_Toc31422"/>
      <w:bookmarkStart w:id="979" w:name="_Toc24913"/>
      <w:bookmarkStart w:id="980" w:name="_Toc22359"/>
      <w:bookmarkStart w:id="981" w:name="_Toc54862165"/>
      <w:r>
        <w:rPr>
          <w:rFonts w:hint="eastAsia" w:cs="宋体"/>
          <w:b w:val="0"/>
          <w:bCs/>
          <w:color w:val="auto"/>
          <w:sz w:val="21"/>
          <w:szCs w:val="21"/>
          <w:highlight w:val="none"/>
        </w:rPr>
        <w:t>一、工程概况</w:t>
      </w:r>
      <w:bookmarkEnd w:id="978"/>
      <w:bookmarkEnd w:id="979"/>
      <w:bookmarkEnd w:id="980"/>
      <w:bookmarkEnd w:id="981"/>
    </w:p>
    <w:p w14:paraId="4256CBA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工程名称：</w:t>
      </w:r>
      <w:r>
        <w:rPr>
          <w:rFonts w:hint="eastAsia" w:ascii="宋体" w:hAnsi="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u w:val="single"/>
          <w:lang w:eastAsia="zh-CN"/>
        </w:rPr>
        <w:t>营口国盛轩宇产业开发建设有限公司清洁能源高端装备制造产业基地基础设施配套项目（一标段）EPC工程总承包</w:t>
      </w:r>
      <w:r>
        <w:rPr>
          <w:rFonts w:hint="eastAsia" w:ascii="宋体" w:hAnsi="宋体" w:cs="宋体"/>
          <w:color w:val="auto"/>
          <w:sz w:val="21"/>
          <w:szCs w:val="21"/>
          <w:highlight w:val="none"/>
        </w:rPr>
        <w:t>。</w:t>
      </w:r>
    </w:p>
    <w:p w14:paraId="2858069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 工程地点：</w:t>
      </w:r>
      <w:r>
        <w:rPr>
          <w:rFonts w:hint="eastAsia" w:ascii="宋体" w:hAnsi="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辽宁省营口市北海新区滨海公路以西，辽东湾以东</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BB1992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 工程审批、核准或备案文号：</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A56FEB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 资金来源：</w:t>
      </w:r>
      <w:r>
        <w:rPr>
          <w:rFonts w:hint="eastAsia" w:ascii="宋体" w:hAnsi="宋体" w:cs="宋体"/>
          <w:color w:val="auto"/>
          <w:sz w:val="21"/>
          <w:szCs w:val="21"/>
          <w:highlight w:val="none"/>
          <w:u w:val="single"/>
        </w:rPr>
        <w:t xml:space="preserve">   企业自筹                        </w:t>
      </w:r>
      <w:r>
        <w:rPr>
          <w:rFonts w:hint="eastAsia" w:ascii="宋体" w:hAnsi="宋体" w:cs="宋体"/>
          <w:color w:val="auto"/>
          <w:sz w:val="21"/>
          <w:szCs w:val="21"/>
          <w:highlight w:val="none"/>
        </w:rPr>
        <w:t>。</w:t>
      </w:r>
    </w:p>
    <w:p w14:paraId="7F6057C7">
      <w:pPr>
        <w:tabs>
          <w:tab w:val="left" w:pos="9600"/>
        </w:tabs>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5. 工程内容及规模：</w:t>
      </w:r>
      <w:r>
        <w:rPr>
          <w:rFonts w:hint="eastAsia" w:ascii="宋体" w:hAnsi="宋体" w:cs="宋体"/>
          <w:color w:val="auto"/>
          <w:sz w:val="21"/>
          <w:szCs w:val="21"/>
          <w:highlight w:val="none"/>
          <w:u w:val="single"/>
        </w:rPr>
        <w:t xml:space="preserve">   </w:t>
      </w:r>
      <w:r>
        <w:rPr>
          <w:rFonts w:hint="eastAsia" w:cs="宋体"/>
          <w:color w:val="auto"/>
          <w:sz w:val="21"/>
          <w:szCs w:val="21"/>
          <w:highlight w:val="none"/>
          <w:u w:val="single"/>
        </w:rPr>
        <w:t xml:space="preserve">                           </w:t>
      </w:r>
      <w:r>
        <w:rPr>
          <w:rFonts w:hint="eastAsia" w:ascii="宋体" w:hAnsi="宋体" w:cs="宋体"/>
          <w:color w:val="auto"/>
          <w:sz w:val="21"/>
          <w:szCs w:val="21"/>
          <w:highlight w:val="none"/>
          <w:u w:val="single"/>
        </w:rPr>
        <w:t>。</w:t>
      </w:r>
    </w:p>
    <w:p w14:paraId="7C84877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 工程承包范围：</w:t>
      </w:r>
      <w:r>
        <w:rPr>
          <w:rFonts w:hint="eastAsia" w:ascii="宋体" w:hAnsi="宋体" w:cs="宋体"/>
          <w:color w:val="auto"/>
          <w:sz w:val="21"/>
          <w:szCs w:val="21"/>
          <w:highlight w:val="none"/>
          <w:u w:val="single"/>
        </w:rPr>
        <w:t xml:space="preserve"> 工程范围包含项目设计、施工图纸范围内的工程施工、设备采购安装、调试及质量保修期保修  </w:t>
      </w:r>
      <w:r>
        <w:rPr>
          <w:rFonts w:hint="eastAsia" w:ascii="宋体" w:hAnsi="宋体" w:cs="宋体"/>
          <w:color w:val="auto"/>
          <w:sz w:val="21"/>
          <w:szCs w:val="21"/>
          <w:highlight w:val="none"/>
        </w:rPr>
        <w:t>。</w:t>
      </w:r>
    </w:p>
    <w:p w14:paraId="594B99D0">
      <w:pPr>
        <w:pStyle w:val="50"/>
        <w:wordWrap/>
        <w:topLinePunct w:val="0"/>
        <w:snapToGrid/>
        <w:spacing w:after="0" w:afterLines="0"/>
        <w:ind w:left="0"/>
        <w:rPr>
          <w:rFonts w:hint="eastAsia" w:cs="宋体"/>
          <w:b w:val="0"/>
          <w:bCs/>
          <w:color w:val="auto"/>
          <w:sz w:val="21"/>
          <w:szCs w:val="21"/>
          <w:highlight w:val="none"/>
        </w:rPr>
      </w:pPr>
      <w:bookmarkStart w:id="982" w:name="_Toc10878"/>
      <w:bookmarkStart w:id="983" w:name="_Toc8249"/>
      <w:bookmarkStart w:id="984" w:name="_Toc54862166"/>
      <w:bookmarkStart w:id="985" w:name="_Toc27783"/>
      <w:r>
        <w:rPr>
          <w:rFonts w:hint="eastAsia" w:cs="宋体"/>
          <w:b w:val="0"/>
          <w:bCs/>
          <w:color w:val="auto"/>
          <w:sz w:val="21"/>
          <w:szCs w:val="21"/>
          <w:highlight w:val="none"/>
        </w:rPr>
        <w:t>二、合同工期</w:t>
      </w:r>
      <w:bookmarkEnd w:id="982"/>
      <w:bookmarkEnd w:id="983"/>
      <w:bookmarkEnd w:id="984"/>
      <w:bookmarkEnd w:id="985"/>
    </w:p>
    <w:p w14:paraId="21C83261">
      <w:pPr>
        <w:spacing w:line="360" w:lineRule="auto"/>
        <w:ind w:firstLine="600"/>
        <w:rPr>
          <w:rFonts w:hint="eastAsia" w:ascii="宋体" w:hAnsi="宋体" w:cs="宋体"/>
          <w:color w:val="auto"/>
          <w:sz w:val="21"/>
          <w:szCs w:val="21"/>
          <w:highlight w:val="none"/>
          <w:u w:val="single"/>
        </w:rPr>
      </w:pPr>
      <w:bookmarkStart w:id="986" w:name="_Toc54862167"/>
      <w:bookmarkStart w:id="987" w:name="_Toc22712"/>
      <w:r>
        <w:rPr>
          <w:rFonts w:hint="eastAsia" w:ascii="宋体" w:hAnsi="宋体" w:cs="宋体"/>
          <w:color w:val="auto"/>
          <w:sz w:val="21"/>
          <w:szCs w:val="21"/>
          <w:highlight w:val="none"/>
        </w:rPr>
        <w:t>计划开始工作日期：</w:t>
      </w:r>
      <w:r>
        <w:rPr>
          <w:rFonts w:hint="eastAsia" w:ascii="宋体" w:hAnsi="宋体" w:cs="宋体"/>
          <w:color w:val="auto"/>
          <w:sz w:val="21"/>
          <w:szCs w:val="21"/>
          <w:highlight w:val="none"/>
          <w:u w:val="single"/>
        </w:rPr>
        <w:t xml:space="preserve">                。</w:t>
      </w:r>
    </w:p>
    <w:p w14:paraId="759632DF">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计划竣工日期：</w:t>
      </w:r>
      <w:r>
        <w:rPr>
          <w:rFonts w:hint="eastAsia" w:ascii="宋体" w:hAnsi="宋体" w:cs="宋体"/>
          <w:color w:val="auto"/>
          <w:sz w:val="21"/>
          <w:szCs w:val="21"/>
          <w:highlight w:val="none"/>
          <w:u w:val="single"/>
        </w:rPr>
        <w:t xml:space="preserve">                    。</w:t>
      </w:r>
    </w:p>
    <w:p w14:paraId="5DE64733">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工期总日历天数：</w:t>
      </w:r>
      <w:r>
        <w:rPr>
          <w:rFonts w:hint="eastAsia" w:ascii="宋体" w:hAnsi="宋体" w:cs="宋体"/>
          <w:color w:val="auto"/>
          <w:sz w:val="21"/>
          <w:szCs w:val="21"/>
          <w:highlight w:val="none"/>
          <w:u w:val="single"/>
        </w:rPr>
        <w:t xml:space="preserve">                  。</w:t>
      </w:r>
    </w:p>
    <w:p w14:paraId="66B25E08">
      <w:pPr>
        <w:pStyle w:val="50"/>
        <w:wordWrap/>
        <w:topLinePunct w:val="0"/>
        <w:snapToGrid/>
        <w:spacing w:after="0" w:afterLines="0"/>
        <w:ind w:left="0"/>
        <w:rPr>
          <w:rFonts w:hint="eastAsia" w:cs="宋体"/>
          <w:b w:val="0"/>
          <w:bCs/>
          <w:color w:val="auto"/>
          <w:sz w:val="21"/>
          <w:szCs w:val="21"/>
          <w:highlight w:val="none"/>
        </w:rPr>
      </w:pPr>
      <w:bookmarkStart w:id="988" w:name="_Toc13368"/>
      <w:bookmarkStart w:id="989" w:name="_Toc23249"/>
      <w:r>
        <w:rPr>
          <w:rFonts w:hint="eastAsia" w:cs="宋体"/>
          <w:b w:val="0"/>
          <w:bCs/>
          <w:color w:val="auto"/>
          <w:sz w:val="21"/>
          <w:szCs w:val="21"/>
          <w:highlight w:val="none"/>
        </w:rPr>
        <w:t>三、质量标准</w:t>
      </w:r>
      <w:bookmarkEnd w:id="986"/>
      <w:bookmarkEnd w:id="987"/>
      <w:bookmarkEnd w:id="988"/>
      <w:bookmarkEnd w:id="989"/>
    </w:p>
    <w:p w14:paraId="5ED6060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工程质量标准：符合现行国家有关工程施工质量验收规范。</w:t>
      </w:r>
    </w:p>
    <w:p w14:paraId="26972DC0">
      <w:pPr>
        <w:pStyle w:val="50"/>
        <w:wordWrap/>
        <w:topLinePunct w:val="0"/>
        <w:snapToGrid/>
        <w:spacing w:after="0" w:afterLines="0"/>
        <w:ind w:left="0"/>
        <w:rPr>
          <w:rFonts w:hint="eastAsia" w:cs="宋体"/>
          <w:b w:val="0"/>
          <w:bCs/>
          <w:color w:val="auto"/>
          <w:sz w:val="21"/>
          <w:szCs w:val="21"/>
          <w:highlight w:val="none"/>
        </w:rPr>
      </w:pPr>
      <w:bookmarkStart w:id="990" w:name="_Toc25358"/>
      <w:bookmarkStart w:id="991" w:name="_Toc54862168"/>
      <w:bookmarkStart w:id="992" w:name="_Toc22723"/>
      <w:bookmarkStart w:id="993" w:name="_Toc21018"/>
      <w:r>
        <w:rPr>
          <w:rFonts w:hint="eastAsia" w:cs="宋体"/>
          <w:b w:val="0"/>
          <w:bCs/>
          <w:color w:val="auto"/>
          <w:sz w:val="21"/>
          <w:szCs w:val="21"/>
          <w:highlight w:val="none"/>
        </w:rPr>
        <w:t>四、签约合同价与合同价格形式</w:t>
      </w:r>
      <w:bookmarkEnd w:id="990"/>
      <w:bookmarkEnd w:id="991"/>
      <w:bookmarkEnd w:id="992"/>
      <w:bookmarkEnd w:id="993"/>
    </w:p>
    <w:p w14:paraId="7272838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签约合同价（含税）为：</w:t>
      </w:r>
    </w:p>
    <w:p w14:paraId="03A797F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人民币（大写) </w:t>
      </w:r>
      <w:r>
        <w:rPr>
          <w:rFonts w:hint="eastAsia" w:ascii="宋体" w:hAnsi="宋体" w:cs="宋体"/>
          <w:color w:val="auto"/>
          <w:sz w:val="21"/>
          <w:szCs w:val="21"/>
          <w:highlight w:val="none"/>
          <w:u w:val="single"/>
        </w:rPr>
        <w:t xml:space="preserve">           元整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1F0458A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具体构成详见价格清单。其中： </w:t>
      </w:r>
    </w:p>
    <w:p w14:paraId="2CDA573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设计费（含税）：</w:t>
      </w:r>
    </w:p>
    <w:p w14:paraId="334E1C7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设计费(</w:t>
      </w:r>
      <w:r>
        <w:rPr>
          <w:rFonts w:hint="eastAsia" w:ascii="宋体" w:hAnsi="宋体" w:cs="宋体"/>
          <w:color w:val="auto"/>
          <w:sz w:val="21"/>
          <w:szCs w:val="21"/>
          <w:highlight w:val="none"/>
          <w:lang w:val="en-US" w:eastAsia="zh-CN"/>
        </w:rPr>
        <w:t>下浮率</w:t>
      </w:r>
      <w:r>
        <w:rPr>
          <w:rFonts w:hint="eastAsia" w:ascii="宋体" w:hAnsi="宋体" w:cs="宋体"/>
          <w:color w:val="auto"/>
          <w:sz w:val="21"/>
          <w:szCs w:val="21"/>
          <w:highlight w:val="none"/>
        </w:rPr>
        <w:t>):</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p>
    <w:p w14:paraId="37E22AF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人民币（大写) </w:t>
      </w:r>
      <w:r>
        <w:rPr>
          <w:rFonts w:hint="eastAsia" w:ascii="宋体" w:hAnsi="宋体" w:cs="宋体"/>
          <w:color w:val="auto"/>
          <w:sz w:val="21"/>
          <w:szCs w:val="21"/>
          <w:highlight w:val="none"/>
          <w:u w:val="single"/>
        </w:rPr>
        <w:t xml:space="preserve">             元整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元）；适用税率：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%，税金为人民币（大写)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元）； </w:t>
      </w:r>
    </w:p>
    <w:p w14:paraId="12DB505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工程勘察设计费计价依据：按照国家计委、建设部发布（2002年修订本）《工程勘察设计收费标准》和政府有关文件的规定计取。</w:t>
      </w:r>
    </w:p>
    <w:p w14:paraId="43C6A65D">
      <w:pPr>
        <w:numPr>
          <w:ilvl w:val="0"/>
          <w:numId w:val="4"/>
        </w:num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工程费（含税）：</w:t>
      </w:r>
    </w:p>
    <w:p w14:paraId="36AE0290">
      <w:pPr>
        <w:pStyle w:val="42"/>
        <w:spacing w:line="360" w:lineRule="auto"/>
        <w:ind w:firstLine="630" w:firstLineChars="3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工程费(</w:t>
      </w:r>
      <w:r>
        <w:rPr>
          <w:rFonts w:hint="eastAsia" w:ascii="宋体" w:hAnsi="宋体" w:cs="宋体"/>
          <w:bCs/>
          <w:color w:val="auto"/>
          <w:sz w:val="21"/>
          <w:szCs w:val="21"/>
          <w:highlight w:val="none"/>
          <w:lang w:val="en-US" w:eastAsia="zh-CN"/>
        </w:rPr>
        <w:t>下浮率</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p>
    <w:p w14:paraId="352DC906">
      <w:pPr>
        <w:pStyle w:val="42"/>
        <w:spacing w:line="360" w:lineRule="auto"/>
        <w:ind w:firstLine="630" w:firstLineChars="3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元整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元）；适用税率：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%，税金为人民币（大写)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元）； </w:t>
      </w:r>
    </w:p>
    <w:p w14:paraId="367F01C6">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 合同价格形式：</w:t>
      </w:r>
      <w:r>
        <w:rPr>
          <w:rFonts w:hint="eastAsia" w:ascii="宋体" w:hAnsi="宋体" w:cs="宋体"/>
          <w:color w:val="auto"/>
          <w:sz w:val="21"/>
          <w:szCs w:val="21"/>
          <w:highlight w:val="none"/>
          <w:u w:val="single"/>
        </w:rPr>
        <w:t>本合同采用定额计价，按辽宁省最新《房屋建筑与装饰工程定额》、《通用安装工程定额》、《市政工程定额》、《园林绿化工程定额》、《绿色建筑工程定额》、《装配式建筑工程定额》及相关配套文件计价,以上所列定额对现场实际不适用的，或套用定额有争议的，双方进行协商。</w:t>
      </w:r>
    </w:p>
    <w:p w14:paraId="33AC1FF1">
      <w:pPr>
        <w:pStyle w:val="5"/>
        <w:spacing w:line="360" w:lineRule="auto"/>
        <w:ind w:firstLine="420" w:firstLineChars="200"/>
        <w:rPr>
          <w:rFonts w:hint="eastAsia" w:ascii="宋体" w:hAnsi="宋体" w:cs="宋体"/>
          <w:color w:val="auto"/>
          <w:sz w:val="21"/>
          <w:szCs w:val="21"/>
          <w:highlight w:val="none"/>
        </w:rPr>
      </w:pPr>
      <w:r>
        <w:rPr>
          <w:rFonts w:hint="eastAsia" w:ascii="宋体" w:hAnsi="宋体" w:eastAsia="宋体" w:cs="Times New Roman"/>
          <w:iCs w:val="0"/>
          <w:color w:val="auto"/>
          <w:kern w:val="2"/>
          <w:sz w:val="21"/>
          <w:szCs w:val="21"/>
          <w:highlight w:val="none"/>
          <w:lang w:val="en-US" w:eastAsia="zh-CN" w:bidi="ar-SA"/>
        </w:rPr>
        <w:t>本</w:t>
      </w:r>
      <w:r>
        <w:rPr>
          <w:rFonts w:hint="eastAsia" w:ascii="宋体" w:hAnsi="宋体" w:eastAsia="宋体" w:cs="Times New Roman"/>
          <w:iCs w:val="0"/>
          <w:color w:val="auto"/>
          <w:kern w:val="2"/>
          <w:sz w:val="21"/>
          <w:szCs w:val="21"/>
          <w:highlight w:val="none"/>
          <w:lang w:val="en-US" w:eastAsia="zh-CN" w:bidi="ar-SA"/>
        </w:rPr>
        <w:t>项目材料价按照信息价确定，信息价参与总价下浮，</w:t>
      </w:r>
      <w:r>
        <w:rPr>
          <w:rFonts w:hint="eastAsia" w:ascii="宋体" w:hAnsi="宋体" w:eastAsia="宋体" w:cs="Times New Roman"/>
          <w:iCs w:val="0"/>
          <w:color w:val="auto"/>
          <w:kern w:val="2"/>
          <w:sz w:val="21"/>
          <w:szCs w:val="21"/>
          <w:highlight w:val="none"/>
          <w:lang w:val="en-US" w:eastAsia="zh-CN" w:bidi="ar-SA"/>
        </w:rPr>
        <w:t>信息价以采购当期营口市工程造价管理站发布的《营口市建设工程造价信息》为准。若工程所在地无相关信息价，可参照沈阳地区信息价为准。如信息价中未包含的材料、设备等，由参建各方根据市场调研询价定价。结算单价在工程实施期间，除合同约定的调整因素外，不因市场价格波动、政策变化等因素进行调整。</w:t>
      </w:r>
    </w:p>
    <w:p w14:paraId="0D3AF25E">
      <w:pPr>
        <w:kinsoku w:val="0"/>
        <w:spacing w:line="360" w:lineRule="auto"/>
        <w:ind w:left="263" w:leftChars="125" w:firstLine="210" w:firstLineChars="1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合同当事人对合同价格形式的其他约定：</w:t>
      </w:r>
      <w:r>
        <w:rPr>
          <w:rFonts w:hint="eastAsia" w:ascii="宋体" w:hAnsi="宋体" w:cs="宋体"/>
          <w:color w:val="auto"/>
          <w:sz w:val="21"/>
          <w:szCs w:val="21"/>
          <w:highlight w:val="none"/>
          <w:u w:val="single"/>
        </w:rPr>
        <w:t>限额设计，合同总价不超限额。</w:t>
      </w:r>
    </w:p>
    <w:p w14:paraId="2ED779D1">
      <w:pPr>
        <w:pStyle w:val="50"/>
        <w:wordWrap/>
        <w:topLinePunct w:val="0"/>
        <w:snapToGrid/>
        <w:spacing w:after="0" w:afterLines="0"/>
        <w:ind w:left="0"/>
        <w:rPr>
          <w:rFonts w:hint="eastAsia" w:cs="宋体"/>
          <w:b w:val="0"/>
          <w:bCs/>
          <w:color w:val="auto"/>
          <w:sz w:val="21"/>
          <w:szCs w:val="21"/>
          <w:highlight w:val="none"/>
        </w:rPr>
      </w:pPr>
      <w:bookmarkStart w:id="994" w:name="_Toc28076"/>
      <w:bookmarkStart w:id="995" w:name="_Toc13762"/>
      <w:bookmarkStart w:id="996" w:name="_Toc19822"/>
      <w:bookmarkStart w:id="997" w:name="_Toc54862169"/>
      <w:r>
        <w:rPr>
          <w:rFonts w:hint="eastAsia" w:cs="宋体"/>
          <w:b w:val="0"/>
          <w:bCs/>
          <w:color w:val="auto"/>
          <w:sz w:val="21"/>
          <w:szCs w:val="21"/>
          <w:highlight w:val="none"/>
        </w:rPr>
        <w:t>五、工程总承包项目经理</w:t>
      </w:r>
      <w:bookmarkEnd w:id="994"/>
      <w:bookmarkEnd w:id="995"/>
      <w:bookmarkEnd w:id="996"/>
      <w:bookmarkEnd w:id="997"/>
    </w:p>
    <w:p w14:paraId="60EDFCC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工程总承包项目经理：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45C525">
      <w:pPr>
        <w:pStyle w:val="50"/>
        <w:wordWrap/>
        <w:topLinePunct w:val="0"/>
        <w:snapToGrid/>
        <w:spacing w:after="0" w:afterLines="0"/>
        <w:ind w:left="0"/>
        <w:rPr>
          <w:rFonts w:hint="eastAsia" w:cs="宋体"/>
          <w:b w:val="0"/>
          <w:bCs/>
          <w:color w:val="auto"/>
          <w:sz w:val="21"/>
          <w:szCs w:val="21"/>
          <w:highlight w:val="none"/>
        </w:rPr>
      </w:pPr>
      <w:bookmarkStart w:id="998" w:name="_Toc54862170"/>
      <w:bookmarkStart w:id="999" w:name="_Toc22239"/>
      <w:bookmarkStart w:id="1000" w:name="_Toc15957"/>
      <w:bookmarkStart w:id="1001" w:name="_Toc31962"/>
      <w:r>
        <w:rPr>
          <w:rFonts w:hint="eastAsia" w:cs="宋体"/>
          <w:b w:val="0"/>
          <w:bCs/>
          <w:color w:val="auto"/>
          <w:sz w:val="21"/>
          <w:szCs w:val="21"/>
          <w:highlight w:val="none"/>
        </w:rPr>
        <w:t>六、合同文件构成</w:t>
      </w:r>
      <w:bookmarkEnd w:id="998"/>
      <w:bookmarkEnd w:id="999"/>
      <w:bookmarkEnd w:id="1000"/>
      <w:bookmarkEnd w:id="1001"/>
    </w:p>
    <w:p w14:paraId="3B0334E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本协议书与下列文件一起构成合同文件： </w:t>
      </w:r>
    </w:p>
    <w:p w14:paraId="20FD6BB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中标通知书（如果有）；</w:t>
      </w:r>
    </w:p>
    <w:p w14:paraId="7F7E5BC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 投标函及投标函附录（如果有）；</w:t>
      </w:r>
    </w:p>
    <w:p w14:paraId="27378C1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 专用合同条件及《发包人要求》等附件；</w:t>
      </w:r>
    </w:p>
    <w:p w14:paraId="21D3CE8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 通用合同条件；</w:t>
      </w:r>
    </w:p>
    <w:p w14:paraId="7BB97AA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（5） 承包人建议书； </w:t>
      </w:r>
    </w:p>
    <w:p w14:paraId="394AC37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 价格清单；</w:t>
      </w:r>
    </w:p>
    <w:p w14:paraId="77B384F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 双方约定的其他合同文件。</w:t>
      </w:r>
    </w:p>
    <w:p w14:paraId="04D4746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上述各项合同文件包括双方就该项合同文件所作出的补充和修改，属于同一类内容的合同文件应以最新签署的为准。专用合同条件及其附件须经合同当事人签字或盖章。</w:t>
      </w:r>
    </w:p>
    <w:p w14:paraId="349A9538">
      <w:pPr>
        <w:pStyle w:val="50"/>
        <w:wordWrap/>
        <w:topLinePunct w:val="0"/>
        <w:snapToGrid/>
        <w:spacing w:after="0" w:afterLines="0"/>
        <w:ind w:left="0"/>
        <w:rPr>
          <w:rFonts w:hint="eastAsia" w:cs="宋体"/>
          <w:b w:val="0"/>
          <w:bCs/>
          <w:color w:val="auto"/>
          <w:sz w:val="21"/>
          <w:szCs w:val="21"/>
          <w:highlight w:val="none"/>
        </w:rPr>
      </w:pPr>
      <w:bookmarkStart w:id="1002" w:name="_Toc21710"/>
      <w:bookmarkStart w:id="1003" w:name="_Toc54862171"/>
      <w:bookmarkStart w:id="1004" w:name="_Toc24873"/>
      <w:r>
        <w:rPr>
          <w:rFonts w:hint="eastAsia" w:cs="宋体"/>
          <w:b w:val="0"/>
          <w:bCs/>
          <w:color w:val="auto"/>
          <w:sz w:val="21"/>
          <w:szCs w:val="21"/>
          <w:highlight w:val="none"/>
        </w:rPr>
        <w:t>七、承诺</w:t>
      </w:r>
      <w:bookmarkEnd w:id="1002"/>
      <w:bookmarkEnd w:id="1003"/>
      <w:bookmarkEnd w:id="1004"/>
    </w:p>
    <w:p w14:paraId="3AD25EB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发包人承诺按照法律规定履行项目审批手续、筹集工程建设资金并按照合同约定的期限和方式支付合同价款。</w:t>
      </w:r>
    </w:p>
    <w:p w14:paraId="6A52E2C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14:paraId="0BD305E8">
      <w:pPr>
        <w:pStyle w:val="50"/>
        <w:wordWrap/>
        <w:topLinePunct w:val="0"/>
        <w:snapToGrid/>
        <w:spacing w:after="0" w:afterLines="0"/>
        <w:ind w:left="0"/>
        <w:rPr>
          <w:rFonts w:hint="eastAsia" w:cs="宋体"/>
          <w:b w:val="0"/>
          <w:bCs/>
          <w:color w:val="auto"/>
          <w:sz w:val="21"/>
          <w:szCs w:val="21"/>
          <w:highlight w:val="none"/>
        </w:rPr>
      </w:pPr>
      <w:bookmarkStart w:id="1005" w:name="_Toc31025"/>
      <w:bookmarkStart w:id="1006" w:name="_Toc32121"/>
      <w:bookmarkStart w:id="1007" w:name="_Toc54862172"/>
      <w:bookmarkStart w:id="1008" w:name="_Toc28762"/>
      <w:r>
        <w:rPr>
          <w:rFonts w:hint="eastAsia" w:cs="宋体"/>
          <w:b w:val="0"/>
          <w:bCs/>
          <w:color w:val="auto"/>
          <w:sz w:val="21"/>
          <w:szCs w:val="21"/>
          <w:highlight w:val="none"/>
        </w:rPr>
        <w:t>八、订立时间</w:t>
      </w:r>
      <w:bookmarkEnd w:id="1005"/>
      <w:bookmarkEnd w:id="1006"/>
      <w:bookmarkEnd w:id="1007"/>
      <w:bookmarkEnd w:id="1008"/>
    </w:p>
    <w:p w14:paraId="029C279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本合同于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日订立。</w:t>
      </w:r>
    </w:p>
    <w:p w14:paraId="48027C5A">
      <w:pPr>
        <w:pStyle w:val="50"/>
        <w:wordWrap/>
        <w:topLinePunct w:val="0"/>
        <w:snapToGrid/>
        <w:spacing w:after="0" w:afterLines="0"/>
        <w:ind w:left="0"/>
        <w:rPr>
          <w:rFonts w:hint="eastAsia" w:cs="宋体"/>
          <w:b w:val="0"/>
          <w:bCs/>
          <w:color w:val="auto"/>
          <w:sz w:val="21"/>
          <w:szCs w:val="21"/>
          <w:highlight w:val="none"/>
        </w:rPr>
      </w:pPr>
      <w:bookmarkStart w:id="1009" w:name="_Toc22492"/>
      <w:bookmarkStart w:id="1010" w:name="_Toc54862173"/>
      <w:bookmarkStart w:id="1011" w:name="_Toc10963"/>
      <w:bookmarkStart w:id="1012" w:name="_Toc29150"/>
      <w:r>
        <w:rPr>
          <w:rFonts w:hint="eastAsia" w:cs="宋体"/>
          <w:b w:val="0"/>
          <w:bCs/>
          <w:color w:val="auto"/>
          <w:sz w:val="21"/>
          <w:szCs w:val="21"/>
          <w:highlight w:val="none"/>
        </w:rPr>
        <w:t>九、订立地点</w:t>
      </w:r>
      <w:bookmarkEnd w:id="1009"/>
      <w:bookmarkEnd w:id="1010"/>
      <w:bookmarkEnd w:id="1011"/>
      <w:bookmarkEnd w:id="1012"/>
    </w:p>
    <w:p w14:paraId="659B1FE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本合同在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订立。</w:t>
      </w:r>
    </w:p>
    <w:p w14:paraId="1E313F2D">
      <w:pPr>
        <w:pStyle w:val="50"/>
        <w:wordWrap/>
        <w:topLinePunct w:val="0"/>
        <w:snapToGrid/>
        <w:spacing w:after="0" w:afterLines="0"/>
        <w:ind w:left="0"/>
        <w:rPr>
          <w:rFonts w:hint="eastAsia" w:cs="宋体"/>
          <w:b w:val="0"/>
          <w:bCs/>
          <w:color w:val="auto"/>
          <w:sz w:val="21"/>
          <w:szCs w:val="21"/>
          <w:highlight w:val="none"/>
        </w:rPr>
      </w:pPr>
      <w:bookmarkStart w:id="1013" w:name="_Toc17492"/>
      <w:bookmarkStart w:id="1014" w:name="_Toc22173"/>
      <w:r>
        <w:rPr>
          <w:rFonts w:hint="eastAsia" w:cs="宋体"/>
          <w:b w:val="0"/>
          <w:bCs/>
          <w:color w:val="auto"/>
          <w:sz w:val="21"/>
          <w:szCs w:val="21"/>
          <w:highlight w:val="none"/>
        </w:rPr>
        <w:t>十、争议解决</w:t>
      </w:r>
      <w:bookmarkEnd w:id="1013"/>
      <w:bookmarkEnd w:id="1014"/>
    </w:p>
    <w:p w14:paraId="112A0F4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本合同项下如发生争议，双方应友好协商解决，协商不成的，任何一方均有权向合同签订地法院诉讼解决。</w:t>
      </w:r>
    </w:p>
    <w:p w14:paraId="272908FB">
      <w:pPr>
        <w:pStyle w:val="50"/>
        <w:wordWrap/>
        <w:topLinePunct w:val="0"/>
        <w:snapToGrid/>
        <w:spacing w:after="0" w:afterLines="0"/>
        <w:ind w:left="0"/>
        <w:rPr>
          <w:rFonts w:hint="eastAsia" w:cs="宋体"/>
          <w:b w:val="0"/>
          <w:bCs/>
          <w:color w:val="auto"/>
          <w:sz w:val="21"/>
          <w:szCs w:val="21"/>
          <w:highlight w:val="none"/>
        </w:rPr>
      </w:pPr>
      <w:bookmarkStart w:id="1015" w:name="_Toc54862174"/>
      <w:bookmarkStart w:id="1016" w:name="_Toc24991"/>
      <w:bookmarkStart w:id="1017" w:name="_Toc4155"/>
      <w:bookmarkStart w:id="1018" w:name="_Toc10709"/>
      <w:r>
        <w:rPr>
          <w:rFonts w:hint="eastAsia" w:cs="宋体"/>
          <w:b w:val="0"/>
          <w:bCs/>
          <w:color w:val="auto"/>
          <w:sz w:val="21"/>
          <w:szCs w:val="21"/>
          <w:highlight w:val="none"/>
        </w:rPr>
        <w:t>十一、合同生效</w:t>
      </w:r>
      <w:bookmarkEnd w:id="1015"/>
      <w:bookmarkEnd w:id="1016"/>
      <w:bookmarkEnd w:id="1017"/>
      <w:bookmarkEnd w:id="1018"/>
    </w:p>
    <w:p w14:paraId="391ADC0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本合同经双方签字或盖章后成立，并自</w:t>
      </w:r>
      <w:r>
        <w:rPr>
          <w:rFonts w:hint="eastAsia" w:ascii="宋体" w:hAnsi="宋体" w:cs="宋体"/>
          <w:color w:val="auto"/>
          <w:sz w:val="21"/>
          <w:szCs w:val="21"/>
          <w:highlight w:val="none"/>
          <w:u w:val="single"/>
        </w:rPr>
        <w:t>双方法定代表人或授权代表签署并加盖单位公章或合同专用章之日起</w:t>
      </w:r>
      <w:r>
        <w:rPr>
          <w:rFonts w:hint="eastAsia" w:ascii="宋体" w:hAnsi="宋体" w:cs="宋体"/>
          <w:color w:val="auto"/>
          <w:sz w:val="21"/>
          <w:szCs w:val="21"/>
          <w:highlight w:val="none"/>
        </w:rPr>
        <w:t>生效。</w:t>
      </w:r>
    </w:p>
    <w:p w14:paraId="22837184">
      <w:pPr>
        <w:pStyle w:val="50"/>
        <w:wordWrap/>
        <w:topLinePunct w:val="0"/>
        <w:snapToGrid/>
        <w:spacing w:after="0" w:afterLines="0"/>
        <w:ind w:left="0"/>
        <w:rPr>
          <w:rFonts w:hint="eastAsia" w:cs="宋体"/>
          <w:b w:val="0"/>
          <w:bCs/>
          <w:color w:val="auto"/>
          <w:sz w:val="21"/>
          <w:szCs w:val="21"/>
          <w:highlight w:val="none"/>
        </w:rPr>
      </w:pPr>
      <w:bookmarkStart w:id="1019" w:name="_Toc12889"/>
      <w:bookmarkStart w:id="1020" w:name="_Toc11728"/>
      <w:bookmarkStart w:id="1021" w:name="_Toc28482"/>
      <w:bookmarkStart w:id="1022" w:name="_Toc54862175"/>
      <w:r>
        <w:rPr>
          <w:rFonts w:hint="eastAsia" w:cs="宋体"/>
          <w:b w:val="0"/>
          <w:bCs/>
          <w:color w:val="auto"/>
          <w:sz w:val="21"/>
          <w:szCs w:val="21"/>
          <w:highlight w:val="none"/>
        </w:rPr>
        <w:t>十二、合同份数</w:t>
      </w:r>
      <w:bookmarkEnd w:id="1019"/>
      <w:bookmarkEnd w:id="1020"/>
      <w:bookmarkEnd w:id="1021"/>
      <w:bookmarkEnd w:id="1022"/>
    </w:p>
    <w:p w14:paraId="32B50752">
      <w:pPr>
        <w:spacing w:line="360" w:lineRule="auto"/>
        <w:ind w:firstLine="600"/>
        <w:rPr>
          <w:rFonts w:hint="eastAsia" w:ascii="宋体" w:hAnsi="宋体" w:cs="宋体"/>
          <w:color w:val="auto"/>
          <w:sz w:val="24"/>
          <w:szCs w:val="24"/>
          <w:highlight w:val="none"/>
        </w:rPr>
      </w:pPr>
      <w:r>
        <w:rPr>
          <w:rFonts w:hint="eastAsia" w:ascii="宋体" w:hAnsi="宋体" w:cs="宋体"/>
          <w:color w:val="auto"/>
          <w:sz w:val="21"/>
          <w:szCs w:val="21"/>
          <w:highlight w:val="none"/>
        </w:rPr>
        <w:t>本合同一式</w:t>
      </w:r>
      <w:r>
        <w:rPr>
          <w:rFonts w:hint="eastAsia" w:ascii="宋体" w:hAnsi="宋体" w:cs="宋体"/>
          <w:color w:val="auto"/>
          <w:sz w:val="21"/>
          <w:szCs w:val="21"/>
          <w:highlight w:val="none"/>
          <w:u w:val="single"/>
        </w:rPr>
        <w:t>捌</w:t>
      </w:r>
      <w:r>
        <w:rPr>
          <w:rFonts w:hint="eastAsia" w:ascii="宋体" w:hAnsi="宋体" w:cs="宋体"/>
          <w:color w:val="auto"/>
          <w:sz w:val="21"/>
          <w:szCs w:val="21"/>
          <w:highlight w:val="none"/>
        </w:rPr>
        <w:t>份，均具有同等法律效力，发包人执肆份，承包人执肆份。</w:t>
      </w:r>
    </w:p>
    <w:p w14:paraId="213B0A14">
      <w:pPr>
        <w:pStyle w:val="34"/>
        <w:widowControl/>
        <w:adjustRightInd w:val="0"/>
        <w:snapToGrid w:val="0"/>
        <w:spacing w:after="156" w:afterLines="50" w:line="360" w:lineRule="auto"/>
        <w:ind w:firstLine="420" w:firstLineChars="200"/>
        <w:rPr>
          <w:rFonts w:ascii="宋体" w:hAnsi="宋体"/>
          <w:color w:val="auto"/>
          <w:kern w:val="0"/>
          <w:highlight w:val="none"/>
        </w:rPr>
      </w:pPr>
    </w:p>
    <w:p w14:paraId="673D6660">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ascii="宋体" w:hAnsi="宋体"/>
          <w:color w:val="auto"/>
          <w:kern w:val="0"/>
          <w:highlight w:val="none"/>
        </w:rPr>
        <w:br w:type="page"/>
      </w:r>
    </w:p>
    <w:tbl>
      <w:tblPr>
        <w:tblStyle w:val="23"/>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5C85AB06">
        <w:tblPrEx>
          <w:tblCellMar>
            <w:top w:w="0" w:type="dxa"/>
            <w:left w:w="108" w:type="dxa"/>
            <w:bottom w:w="0" w:type="dxa"/>
            <w:right w:w="108" w:type="dxa"/>
          </w:tblCellMar>
        </w:tblPrEx>
        <w:tc>
          <w:tcPr>
            <w:tcW w:w="4507" w:type="dxa"/>
          </w:tcPr>
          <w:p w14:paraId="4EC447BA">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发包人：（公章）</w:t>
            </w:r>
          </w:p>
          <w:p w14:paraId="4575E4F9">
            <w:pPr>
              <w:pStyle w:val="34"/>
              <w:widowControl/>
              <w:adjustRightInd w:val="0"/>
              <w:snapToGrid w:val="0"/>
              <w:spacing w:after="50" w:line="360" w:lineRule="auto"/>
              <w:jc w:val="left"/>
              <w:rPr>
                <w:rFonts w:ascii="宋体" w:hAnsi="宋体"/>
                <w:color w:val="auto"/>
                <w:highlight w:val="none"/>
              </w:rPr>
            </w:pPr>
          </w:p>
          <w:p w14:paraId="4BE1A5F9">
            <w:pPr>
              <w:pStyle w:val="34"/>
              <w:widowControl/>
              <w:adjustRightInd w:val="0"/>
              <w:snapToGrid w:val="0"/>
              <w:spacing w:after="50" w:line="360" w:lineRule="auto"/>
              <w:jc w:val="left"/>
              <w:rPr>
                <w:rFonts w:ascii="宋体" w:hAnsi="宋体"/>
                <w:color w:val="auto"/>
                <w:highlight w:val="none"/>
              </w:rPr>
            </w:pPr>
          </w:p>
        </w:tc>
        <w:tc>
          <w:tcPr>
            <w:tcW w:w="4565" w:type="dxa"/>
          </w:tcPr>
          <w:p w14:paraId="6825A85A">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承包人：（公章）</w:t>
            </w:r>
          </w:p>
          <w:p w14:paraId="3581A084">
            <w:pPr>
              <w:pStyle w:val="34"/>
              <w:widowControl/>
              <w:adjustRightInd w:val="0"/>
              <w:snapToGrid w:val="0"/>
              <w:spacing w:after="50" w:line="360" w:lineRule="auto"/>
              <w:jc w:val="left"/>
              <w:rPr>
                <w:rFonts w:ascii="宋体" w:hAnsi="宋体"/>
                <w:color w:val="auto"/>
                <w:highlight w:val="none"/>
              </w:rPr>
            </w:pPr>
          </w:p>
          <w:p w14:paraId="6866AE7C">
            <w:pPr>
              <w:pStyle w:val="34"/>
              <w:widowControl/>
              <w:adjustRightInd w:val="0"/>
              <w:snapToGrid w:val="0"/>
              <w:spacing w:after="50" w:line="360" w:lineRule="auto"/>
              <w:jc w:val="left"/>
              <w:rPr>
                <w:rFonts w:ascii="宋体" w:hAnsi="宋体"/>
                <w:color w:val="auto"/>
                <w:highlight w:val="none"/>
              </w:rPr>
            </w:pPr>
          </w:p>
        </w:tc>
      </w:tr>
      <w:tr w14:paraId="729EFEF1">
        <w:tblPrEx>
          <w:tblCellMar>
            <w:top w:w="0" w:type="dxa"/>
            <w:left w:w="108" w:type="dxa"/>
            <w:bottom w:w="0" w:type="dxa"/>
            <w:right w:w="108" w:type="dxa"/>
          </w:tblCellMar>
        </w:tblPrEx>
        <w:tc>
          <w:tcPr>
            <w:tcW w:w="4507" w:type="dxa"/>
          </w:tcPr>
          <w:p w14:paraId="292BCB0B">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法定代表人或其委托代理人：</w:t>
            </w:r>
          </w:p>
          <w:p w14:paraId="6B529B63">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（签字）</w:t>
            </w:r>
          </w:p>
          <w:p w14:paraId="2929153D">
            <w:pPr>
              <w:pStyle w:val="34"/>
              <w:widowControl/>
              <w:adjustRightInd w:val="0"/>
              <w:snapToGrid w:val="0"/>
              <w:spacing w:after="50" w:line="360" w:lineRule="auto"/>
              <w:jc w:val="left"/>
              <w:rPr>
                <w:rFonts w:ascii="宋体" w:hAnsi="宋体"/>
                <w:color w:val="auto"/>
                <w:highlight w:val="none"/>
              </w:rPr>
            </w:pPr>
          </w:p>
        </w:tc>
        <w:tc>
          <w:tcPr>
            <w:tcW w:w="4565" w:type="dxa"/>
          </w:tcPr>
          <w:p w14:paraId="2512EA14">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法定代表人或其委托代理人：</w:t>
            </w:r>
          </w:p>
          <w:p w14:paraId="66A3690E">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（签字）</w:t>
            </w:r>
          </w:p>
          <w:p w14:paraId="1CBA3FC1">
            <w:pPr>
              <w:pStyle w:val="34"/>
              <w:widowControl/>
              <w:adjustRightInd w:val="0"/>
              <w:snapToGrid w:val="0"/>
              <w:spacing w:after="50" w:line="360" w:lineRule="auto"/>
              <w:jc w:val="left"/>
              <w:rPr>
                <w:rFonts w:ascii="宋体" w:hAnsi="宋体"/>
                <w:color w:val="auto"/>
                <w:highlight w:val="none"/>
              </w:rPr>
            </w:pPr>
          </w:p>
        </w:tc>
      </w:tr>
      <w:tr w14:paraId="4158A0CF">
        <w:tblPrEx>
          <w:tblCellMar>
            <w:top w:w="0" w:type="dxa"/>
            <w:left w:w="108" w:type="dxa"/>
            <w:bottom w:w="0" w:type="dxa"/>
            <w:right w:w="108" w:type="dxa"/>
          </w:tblCellMar>
        </w:tblPrEx>
        <w:tc>
          <w:tcPr>
            <w:tcW w:w="4507" w:type="dxa"/>
          </w:tcPr>
          <w:p w14:paraId="4819FB30">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统一社会信用代码：</w:t>
            </w:r>
            <w:r>
              <w:rPr>
                <w:rFonts w:ascii="宋体" w:hAnsi="宋体" w:eastAsia="宋体" w:cs="Times New Roman"/>
                <w:color w:val="auto"/>
                <w:kern w:val="0"/>
                <w:sz w:val="21"/>
                <w:szCs w:val="22"/>
                <w:highlight w:val="none"/>
                <w:u w:val="single"/>
                <w:lang w:val="en-US" w:eastAsia="zh-CN" w:bidi="ar-SA"/>
              </w:rPr>
              <w:t xml:space="preserve">            </w:t>
            </w:r>
          </w:p>
          <w:p w14:paraId="3EC56708">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地址：</w:t>
            </w:r>
            <w:r>
              <w:rPr>
                <w:rFonts w:ascii="宋体" w:hAnsi="宋体" w:eastAsia="宋体" w:cs="Times New Roman"/>
                <w:color w:val="auto"/>
                <w:kern w:val="0"/>
                <w:sz w:val="21"/>
                <w:szCs w:val="22"/>
                <w:highlight w:val="none"/>
                <w:u w:val="single"/>
                <w:lang w:val="en-US" w:eastAsia="zh-CN" w:bidi="ar-SA"/>
              </w:rPr>
              <w:t xml:space="preserve">                       </w:t>
            </w:r>
          </w:p>
          <w:p w14:paraId="0ABC1391">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邮政编码：</w:t>
            </w:r>
            <w:r>
              <w:rPr>
                <w:rFonts w:ascii="宋体" w:hAnsi="宋体" w:eastAsia="宋体" w:cs="Times New Roman"/>
                <w:color w:val="auto"/>
                <w:kern w:val="0"/>
                <w:sz w:val="21"/>
                <w:szCs w:val="22"/>
                <w:highlight w:val="none"/>
                <w:u w:val="single"/>
                <w:lang w:val="en-US" w:eastAsia="zh-CN" w:bidi="ar-SA"/>
              </w:rPr>
              <w:t xml:space="preserve">                      </w:t>
            </w:r>
          </w:p>
          <w:p w14:paraId="00A7856D">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w:t>
            </w:r>
            <w:r>
              <w:rPr>
                <w:rFonts w:ascii="宋体" w:hAnsi="宋体" w:eastAsia="宋体" w:cs="Times New Roman"/>
                <w:color w:val="auto"/>
                <w:kern w:val="0"/>
                <w:sz w:val="21"/>
                <w:szCs w:val="22"/>
                <w:highlight w:val="none"/>
                <w:u w:val="single"/>
                <w:lang w:val="en-US" w:eastAsia="zh-CN" w:bidi="ar-SA"/>
              </w:rPr>
              <w:t xml:space="preserve">                 </w:t>
            </w:r>
          </w:p>
          <w:p w14:paraId="61195ACE">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委托代理人：</w:t>
            </w:r>
            <w:r>
              <w:rPr>
                <w:rFonts w:ascii="宋体" w:hAnsi="宋体" w:eastAsia="宋体" w:cs="Times New Roman"/>
                <w:color w:val="auto"/>
                <w:kern w:val="0"/>
                <w:sz w:val="21"/>
                <w:szCs w:val="22"/>
                <w:highlight w:val="none"/>
                <w:u w:val="single"/>
                <w:lang w:val="en-US" w:eastAsia="zh-CN" w:bidi="ar-SA"/>
              </w:rPr>
              <w:t xml:space="preserve">                 </w:t>
            </w:r>
          </w:p>
          <w:p w14:paraId="0D25E0ED">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电话：</w:t>
            </w:r>
            <w:r>
              <w:rPr>
                <w:rFonts w:ascii="宋体" w:hAnsi="宋体" w:eastAsia="宋体" w:cs="Times New Roman"/>
                <w:color w:val="auto"/>
                <w:kern w:val="0"/>
                <w:sz w:val="21"/>
                <w:szCs w:val="22"/>
                <w:highlight w:val="none"/>
                <w:u w:val="single"/>
                <w:lang w:val="en-US" w:eastAsia="zh-CN" w:bidi="ar-SA"/>
              </w:rPr>
              <w:t xml:space="preserve">                       </w:t>
            </w:r>
          </w:p>
          <w:p w14:paraId="366363A5">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 xml:space="preserve">传真： </w:t>
            </w:r>
            <w:r>
              <w:rPr>
                <w:rFonts w:ascii="宋体" w:hAnsi="宋体" w:eastAsia="宋体" w:cs="Times New Roman"/>
                <w:color w:val="auto"/>
                <w:kern w:val="0"/>
                <w:sz w:val="21"/>
                <w:szCs w:val="22"/>
                <w:highlight w:val="none"/>
                <w:u w:val="single"/>
                <w:lang w:val="en-US" w:eastAsia="zh-CN" w:bidi="ar-SA"/>
              </w:rPr>
              <w:t xml:space="preserve">                      </w:t>
            </w:r>
          </w:p>
          <w:p w14:paraId="02CA2470">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电子信箱：</w:t>
            </w:r>
            <w:r>
              <w:rPr>
                <w:rFonts w:ascii="宋体" w:hAnsi="宋体" w:eastAsia="宋体" w:cs="Times New Roman"/>
                <w:color w:val="auto"/>
                <w:kern w:val="0"/>
                <w:sz w:val="21"/>
                <w:szCs w:val="22"/>
                <w:highlight w:val="none"/>
                <w:u w:val="single"/>
                <w:lang w:val="en-US" w:eastAsia="zh-CN" w:bidi="ar-SA"/>
              </w:rPr>
              <w:t xml:space="preserve">                    </w:t>
            </w:r>
          </w:p>
          <w:p w14:paraId="28FBE702">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开户银行：</w:t>
            </w:r>
            <w:r>
              <w:rPr>
                <w:rFonts w:ascii="宋体" w:hAnsi="宋体" w:eastAsia="宋体" w:cs="Times New Roman"/>
                <w:color w:val="auto"/>
                <w:kern w:val="0"/>
                <w:sz w:val="21"/>
                <w:szCs w:val="22"/>
                <w:highlight w:val="none"/>
                <w:u w:val="single"/>
                <w:lang w:val="en-US" w:eastAsia="zh-CN" w:bidi="ar-SA"/>
              </w:rPr>
              <w:t xml:space="preserve">                   </w:t>
            </w:r>
          </w:p>
          <w:p w14:paraId="20268021">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账号：</w:t>
            </w:r>
            <w:r>
              <w:rPr>
                <w:rFonts w:ascii="宋体" w:hAnsi="宋体" w:eastAsia="宋体" w:cs="Times New Roman"/>
                <w:color w:val="auto"/>
                <w:kern w:val="0"/>
                <w:sz w:val="21"/>
                <w:szCs w:val="22"/>
                <w:highlight w:val="none"/>
                <w:u w:val="single"/>
                <w:lang w:val="en-US" w:eastAsia="zh-CN" w:bidi="ar-SA"/>
              </w:rPr>
              <w:t xml:space="preserve">                       </w:t>
            </w:r>
          </w:p>
        </w:tc>
        <w:tc>
          <w:tcPr>
            <w:tcW w:w="4565" w:type="dxa"/>
          </w:tcPr>
          <w:p w14:paraId="306C5A09">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统一社会信用代码：</w:t>
            </w:r>
            <w:r>
              <w:rPr>
                <w:rFonts w:ascii="宋体" w:hAnsi="宋体" w:eastAsia="宋体" w:cs="Times New Roman"/>
                <w:color w:val="auto"/>
                <w:kern w:val="0"/>
                <w:sz w:val="21"/>
                <w:szCs w:val="22"/>
                <w:highlight w:val="none"/>
                <w:u w:val="single"/>
                <w:lang w:val="en-US" w:eastAsia="zh-CN" w:bidi="ar-SA"/>
              </w:rPr>
              <w:t xml:space="preserve">            </w:t>
            </w:r>
          </w:p>
          <w:p w14:paraId="4A0AE7E2">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地址：</w:t>
            </w:r>
            <w:r>
              <w:rPr>
                <w:rFonts w:ascii="宋体" w:hAnsi="宋体" w:eastAsia="宋体" w:cs="Times New Roman"/>
                <w:color w:val="auto"/>
                <w:kern w:val="0"/>
                <w:sz w:val="21"/>
                <w:szCs w:val="22"/>
                <w:highlight w:val="none"/>
                <w:u w:val="single"/>
                <w:lang w:val="en-US" w:eastAsia="zh-CN" w:bidi="ar-SA"/>
              </w:rPr>
              <w:t xml:space="preserve">                        </w:t>
            </w:r>
          </w:p>
          <w:p w14:paraId="55E3C8AF">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邮政编码：</w:t>
            </w:r>
            <w:r>
              <w:rPr>
                <w:rFonts w:ascii="宋体" w:hAnsi="宋体" w:eastAsia="宋体" w:cs="Times New Roman"/>
                <w:color w:val="auto"/>
                <w:kern w:val="0"/>
                <w:sz w:val="21"/>
                <w:szCs w:val="22"/>
                <w:highlight w:val="none"/>
                <w:u w:val="single"/>
                <w:lang w:val="en-US" w:eastAsia="zh-CN" w:bidi="ar-SA"/>
              </w:rPr>
              <w:t xml:space="preserve">                      </w:t>
            </w:r>
          </w:p>
          <w:p w14:paraId="1532BB3F">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w:t>
            </w:r>
            <w:r>
              <w:rPr>
                <w:rFonts w:ascii="宋体" w:hAnsi="宋体" w:eastAsia="宋体" w:cs="Times New Roman"/>
                <w:color w:val="auto"/>
                <w:kern w:val="0"/>
                <w:sz w:val="21"/>
                <w:szCs w:val="22"/>
                <w:highlight w:val="none"/>
                <w:u w:val="single"/>
                <w:lang w:val="en-US" w:eastAsia="zh-CN" w:bidi="ar-SA"/>
              </w:rPr>
              <w:t xml:space="preserve">                  </w:t>
            </w:r>
          </w:p>
          <w:p w14:paraId="00AEED4E">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委托代理人：</w:t>
            </w:r>
            <w:r>
              <w:rPr>
                <w:rFonts w:ascii="宋体" w:hAnsi="宋体" w:eastAsia="宋体" w:cs="Times New Roman"/>
                <w:color w:val="auto"/>
                <w:kern w:val="0"/>
                <w:sz w:val="21"/>
                <w:szCs w:val="22"/>
                <w:highlight w:val="none"/>
                <w:u w:val="single"/>
                <w:lang w:val="en-US" w:eastAsia="zh-CN" w:bidi="ar-SA"/>
              </w:rPr>
              <w:t xml:space="preserve">                 </w:t>
            </w:r>
          </w:p>
          <w:p w14:paraId="414DAD16">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电话：</w:t>
            </w:r>
            <w:r>
              <w:rPr>
                <w:rFonts w:ascii="宋体" w:hAnsi="宋体" w:eastAsia="宋体" w:cs="Times New Roman"/>
                <w:color w:val="auto"/>
                <w:kern w:val="0"/>
                <w:sz w:val="21"/>
                <w:szCs w:val="22"/>
                <w:highlight w:val="none"/>
                <w:u w:val="single"/>
                <w:lang w:val="en-US" w:eastAsia="zh-CN" w:bidi="ar-SA"/>
              </w:rPr>
              <w:t xml:space="preserve">                       </w:t>
            </w:r>
          </w:p>
          <w:p w14:paraId="6DB2A70F">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传真：</w:t>
            </w:r>
            <w:r>
              <w:rPr>
                <w:rFonts w:ascii="宋体" w:hAnsi="宋体" w:eastAsia="宋体" w:cs="Times New Roman"/>
                <w:color w:val="auto"/>
                <w:kern w:val="0"/>
                <w:sz w:val="21"/>
                <w:szCs w:val="22"/>
                <w:highlight w:val="none"/>
                <w:u w:val="single"/>
                <w:lang w:val="en-US" w:eastAsia="zh-CN" w:bidi="ar-SA"/>
              </w:rPr>
              <w:t xml:space="preserve">                       </w:t>
            </w:r>
          </w:p>
          <w:p w14:paraId="5CEB824A">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电子信箱：</w:t>
            </w:r>
            <w:r>
              <w:rPr>
                <w:rFonts w:ascii="宋体" w:hAnsi="宋体" w:eastAsia="宋体" w:cs="Times New Roman"/>
                <w:color w:val="auto"/>
                <w:kern w:val="0"/>
                <w:sz w:val="21"/>
                <w:szCs w:val="22"/>
                <w:highlight w:val="none"/>
                <w:u w:val="single"/>
                <w:lang w:val="en-US" w:eastAsia="zh-CN" w:bidi="ar-SA"/>
              </w:rPr>
              <w:t xml:space="preserve">                   </w:t>
            </w:r>
          </w:p>
          <w:p w14:paraId="012737AE">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开户银行：</w:t>
            </w:r>
            <w:r>
              <w:rPr>
                <w:rFonts w:ascii="宋体" w:hAnsi="宋体" w:eastAsia="宋体" w:cs="Times New Roman"/>
                <w:color w:val="auto"/>
                <w:kern w:val="0"/>
                <w:sz w:val="21"/>
                <w:szCs w:val="22"/>
                <w:highlight w:val="none"/>
                <w:u w:val="single"/>
                <w:lang w:val="en-US" w:eastAsia="zh-CN" w:bidi="ar-SA"/>
              </w:rPr>
              <w:t xml:space="preserve">                   </w:t>
            </w:r>
          </w:p>
          <w:p w14:paraId="505B2489">
            <w:pPr>
              <w:pStyle w:val="34"/>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账号：</w:t>
            </w:r>
            <w:r>
              <w:rPr>
                <w:rFonts w:ascii="宋体" w:hAnsi="宋体" w:eastAsia="宋体" w:cs="Times New Roman"/>
                <w:color w:val="auto"/>
                <w:kern w:val="2"/>
                <w:sz w:val="21"/>
                <w:szCs w:val="22"/>
                <w:highlight w:val="none"/>
                <w:u w:val="single"/>
                <w:lang w:val="en-US" w:eastAsia="zh-CN" w:bidi="ar-SA"/>
              </w:rPr>
              <w:t xml:space="preserve">                       </w:t>
            </w:r>
          </w:p>
        </w:tc>
      </w:tr>
    </w:tbl>
    <w:p w14:paraId="79BD9160">
      <w:pPr>
        <w:pStyle w:val="34"/>
        <w:rPr>
          <w:rFonts w:hint="eastAsia" w:ascii="华文中宋" w:hAnsi="华文中宋" w:eastAsia="华文中宋"/>
          <w:b/>
          <w:bCs/>
          <w:color w:val="auto"/>
          <w:kern w:val="44"/>
          <w:sz w:val="44"/>
          <w:szCs w:val="52"/>
          <w:highlight w:val="none"/>
          <w:lang w:val="zh-CN"/>
        </w:rPr>
      </w:pPr>
      <w:bookmarkStart w:id="1023" w:name="_Toc5718"/>
      <w:bookmarkStart w:id="1024" w:name="_Toc28936"/>
      <w:bookmarkStart w:id="1025" w:name="_Toc54862176"/>
      <w:r>
        <w:rPr>
          <w:rFonts w:hint="eastAsia" w:ascii="华文中宋" w:hAnsi="华文中宋" w:eastAsia="华文中宋"/>
          <w:b/>
          <w:bCs/>
          <w:color w:val="auto"/>
          <w:kern w:val="44"/>
          <w:sz w:val="44"/>
          <w:szCs w:val="52"/>
          <w:highlight w:val="none"/>
          <w:lang w:val="zh-CN"/>
        </w:rPr>
        <w:br w:type="page"/>
      </w:r>
    </w:p>
    <w:p w14:paraId="09A7DEFF">
      <w:pPr>
        <w:pStyle w:val="34"/>
        <w:widowControl/>
        <w:adjustRightInd w:val="0"/>
        <w:snapToGrid w:val="0"/>
        <w:spacing w:after="50" w:line="360" w:lineRule="auto"/>
        <w:jc w:val="center"/>
        <w:outlineLvl w:val="2"/>
        <w:rPr>
          <w:rFonts w:ascii="华文中宋" w:hAnsi="华文中宋" w:eastAsia="华文中宋"/>
          <w:b/>
          <w:bCs/>
          <w:color w:val="auto"/>
          <w:kern w:val="44"/>
          <w:sz w:val="44"/>
          <w:szCs w:val="52"/>
          <w:highlight w:val="none"/>
          <w:lang w:val="zh-CN"/>
        </w:rPr>
      </w:pPr>
      <w:bookmarkStart w:id="1026" w:name="_Toc256000164"/>
      <w:bookmarkStart w:id="1027" w:name="_Toc30945"/>
      <w:r>
        <w:rPr>
          <w:rFonts w:hint="eastAsia" w:ascii="华文中宋" w:hAnsi="华文中宋" w:eastAsia="华文中宋"/>
          <w:b/>
          <w:bCs/>
          <w:color w:val="auto"/>
          <w:kern w:val="44"/>
          <w:sz w:val="44"/>
          <w:szCs w:val="52"/>
          <w:highlight w:val="none"/>
          <w:lang w:val="zh-CN"/>
        </w:rPr>
        <w:t>第二部分</w:t>
      </w:r>
      <w:r>
        <w:rPr>
          <w:rFonts w:ascii="华文中宋" w:hAnsi="华文中宋" w:eastAsia="华文中宋"/>
          <w:b/>
          <w:bCs/>
          <w:color w:val="auto"/>
          <w:kern w:val="44"/>
          <w:sz w:val="44"/>
          <w:szCs w:val="52"/>
          <w:highlight w:val="none"/>
          <w:lang w:val="zh-CN"/>
        </w:rPr>
        <w:t xml:space="preserve"> </w:t>
      </w:r>
      <w:r>
        <w:rPr>
          <w:rFonts w:hint="eastAsia" w:ascii="华文中宋" w:hAnsi="华文中宋" w:eastAsia="华文中宋"/>
          <w:b/>
          <w:bCs/>
          <w:color w:val="auto"/>
          <w:kern w:val="44"/>
          <w:sz w:val="44"/>
          <w:szCs w:val="52"/>
          <w:highlight w:val="none"/>
          <w:lang w:val="zh-CN"/>
        </w:rPr>
        <w:t>通用合同条件</w:t>
      </w:r>
      <w:bookmarkEnd w:id="1023"/>
      <w:bookmarkEnd w:id="1024"/>
      <w:bookmarkEnd w:id="1025"/>
      <w:bookmarkEnd w:id="1026"/>
      <w:bookmarkEnd w:id="1027"/>
    </w:p>
    <w:p w14:paraId="639F9F5D">
      <w:pPr>
        <w:adjustRightInd w:val="0"/>
        <w:snapToGrid w:val="0"/>
        <w:spacing w:line="360" w:lineRule="auto"/>
        <w:rPr>
          <w:rFonts w:ascii="黑体" w:hAnsi="黑体" w:eastAsia="黑体"/>
          <w:color w:val="auto"/>
          <w:sz w:val="24"/>
          <w:highlight w:val="none"/>
        </w:rPr>
      </w:pPr>
      <w:bookmarkStart w:id="1028" w:name="_Toc161228626"/>
      <w:bookmarkStart w:id="1029" w:name="_Ref508893699"/>
      <w:bookmarkStart w:id="1030" w:name="_Toc54862177"/>
      <w:bookmarkStart w:id="1031" w:name="_Toc256000089"/>
      <w:bookmarkStart w:id="1032" w:name="_Ref509040826"/>
      <w:bookmarkStart w:id="1033" w:name="_Toc15462"/>
      <w:bookmarkStart w:id="1034" w:name="_Ref509040831"/>
      <w:bookmarkStart w:id="1035" w:name="_Toc27833"/>
      <w:bookmarkStart w:id="1036" w:name="_Toc10156"/>
      <w:bookmarkStart w:id="1037" w:name="_Toc25028"/>
      <w:r>
        <w:rPr>
          <w:rFonts w:hint="eastAsia" w:ascii="黑体" w:hAnsi="黑体" w:eastAsia="黑体"/>
          <w:color w:val="auto"/>
          <w:sz w:val="24"/>
          <w:highlight w:val="none"/>
        </w:rPr>
        <w:t>第1条 一般约定</w:t>
      </w:r>
      <w:bookmarkEnd w:id="1028"/>
    </w:p>
    <w:p w14:paraId="53AE56AB">
      <w:pPr>
        <w:adjustRightInd w:val="0"/>
        <w:snapToGrid w:val="0"/>
        <w:spacing w:line="360" w:lineRule="auto"/>
        <w:rPr>
          <w:rFonts w:ascii="宋体" w:hAnsi="宋体"/>
          <w:b/>
          <w:color w:val="auto"/>
          <w:sz w:val="24"/>
          <w:highlight w:val="none"/>
        </w:rPr>
      </w:pPr>
      <w:bookmarkStart w:id="1038" w:name="_Ref523741471"/>
      <w:bookmarkStart w:id="1039" w:name="_Toc54862178"/>
      <w:bookmarkStart w:id="1040" w:name="_Ref523741474"/>
      <w:bookmarkStart w:id="1041" w:name="_Toc145081541"/>
      <w:r>
        <w:rPr>
          <w:rFonts w:hint="eastAsia" w:ascii="宋体" w:hAnsi="宋体" w:eastAsia="宋体"/>
          <w:b/>
          <w:color w:val="auto"/>
          <w:sz w:val="24"/>
          <w:highlight w:val="none"/>
        </w:rPr>
        <w:t>1.1词语定义和解释</w:t>
      </w:r>
      <w:bookmarkEnd w:id="1038"/>
      <w:bookmarkEnd w:id="1039"/>
      <w:bookmarkEnd w:id="1040"/>
      <w:bookmarkEnd w:id="1041"/>
    </w:p>
    <w:p w14:paraId="5ABACE2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合同协议书、通用合同条件、专用合同条件中的下列词语应具有本款所赋予的含义：</w:t>
      </w:r>
    </w:p>
    <w:p w14:paraId="28A08BD8">
      <w:pPr>
        <w:widowControl/>
        <w:adjustRightInd w:val="0"/>
        <w:snapToGrid w:val="0"/>
        <w:spacing w:line="360" w:lineRule="auto"/>
        <w:ind w:firstLine="420" w:firstLineChars="200"/>
        <w:rPr>
          <w:rFonts w:ascii="宋体" w:hAnsi="宋体" w:cs="宋体"/>
          <w:color w:val="auto"/>
          <w:kern w:val="0"/>
          <w:szCs w:val="20"/>
          <w:highlight w:val="none"/>
          <w:lang w:bidi="ar"/>
        </w:rPr>
      </w:pPr>
      <w:bookmarkStart w:id="1042" w:name="_Ref4757289"/>
      <w:bookmarkStart w:id="1043" w:name="_Ref521288340"/>
      <w:r>
        <w:rPr>
          <w:rFonts w:hint="eastAsia" w:ascii="宋体" w:hAnsi="宋体" w:cs="宋体"/>
          <w:color w:val="auto"/>
          <w:kern w:val="0"/>
          <w:szCs w:val="20"/>
          <w:highlight w:val="none"/>
          <w:lang w:bidi="ar"/>
        </w:rPr>
        <w:t>1.1.1合同</w:t>
      </w:r>
      <w:bookmarkEnd w:id="1042"/>
    </w:p>
    <w:p w14:paraId="01C4A3A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1.1.1.1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773ED770">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1.1.1.2合同协议书：是指构成合同的由发包人和承包人共同签署的称为“合同协议书”的书面文件。</w:t>
      </w:r>
    </w:p>
    <w:p w14:paraId="1F86F55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1.1.1.3中标通知书：是指构成合同的由发包人通知承包人中标的书面文件。中标通知书随附的澄清、说明、补正事项纪要等，是中标通知书的组成部分。</w:t>
      </w:r>
    </w:p>
    <w:p w14:paraId="56F69A0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1.1.1.4投标函：是指构成合同的由承包人填写并签署的用于投标的称为“投标函”的文件。</w:t>
      </w:r>
    </w:p>
    <w:p w14:paraId="18A9869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1.1.1.5投标函附录：是指构成合同的附在投标函后的称为“投标函附录”的文件。</w:t>
      </w:r>
    </w:p>
    <w:p w14:paraId="213BE19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1.1.1.6《发包人要求》：指构成合同文件组成部分的名为《发包人要求》的文件，其中列明工程的目的、范围、设计与其他技术标准和要求，以及合同双方当事人约定对其所作的修改或补充。</w:t>
      </w:r>
    </w:p>
    <w:p w14:paraId="5967D24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1.1.1.7项目清单：是指发包人提供的载明工程总承包项目勘察费（如果有）、设计费、建筑安装工程费、设备购置费、暂估价、暂列金额和双方约定的其他费用的名称和相应数量等内容的项目明细。</w:t>
      </w:r>
    </w:p>
    <w:p w14:paraId="4D0E9A6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1.1.1.8价格清单：指构成合同文件组成部分的由承包人按发包人提供的项目清单规定的格式和要求填写并标明价格的清单。</w:t>
      </w:r>
    </w:p>
    <w:p w14:paraId="0602236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1.1.1.9承包人建议书：指构成合同文件组成部分的名为承包人建议书的文件。承包人建议书由承包人随投标函一起提交。</w:t>
      </w:r>
    </w:p>
    <w:p w14:paraId="46248222">
      <w:pPr>
        <w:tabs>
          <w:tab w:val="left" w:pos="1134"/>
        </w:tabs>
        <w:adjustRightInd w:val="0"/>
        <w:snapToGrid w:val="0"/>
        <w:spacing w:line="360" w:lineRule="auto"/>
        <w:ind w:firstLine="420" w:firstLineChars="200"/>
        <w:rPr>
          <w:rFonts w:ascii="宋体" w:hAnsi="宋体" w:cs="宋体"/>
          <w:color w:val="auto"/>
          <w:highlight w:val="none"/>
        </w:rPr>
      </w:pPr>
      <w:bookmarkStart w:id="1044" w:name="_Ref4415300"/>
      <w:r>
        <w:rPr>
          <w:rFonts w:hint="eastAsia" w:ascii="宋体" w:hAnsi="宋体" w:cs="宋体"/>
          <w:color w:val="auto"/>
          <w:highlight w:val="none"/>
        </w:rPr>
        <w:t>1.1.1.10其他合同文件：是指经合同当事人约定的与工程实施有关的具有合同约束力的文件或书面协议。合同当事人可以在专用合同条件中进行约定。</w:t>
      </w:r>
      <w:bookmarkEnd w:id="1044"/>
    </w:p>
    <w:p w14:paraId="1057AE8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045" w:name="_Ref4757418"/>
      <w:r>
        <w:rPr>
          <w:rFonts w:hint="eastAsia" w:ascii="宋体" w:hAnsi="宋体" w:cs="宋体"/>
          <w:color w:val="auto"/>
          <w:kern w:val="0"/>
          <w:szCs w:val="20"/>
          <w:highlight w:val="none"/>
          <w:lang w:bidi="ar"/>
        </w:rPr>
        <w:t>1.1.2合同当事人及其他相关方</w:t>
      </w:r>
      <w:bookmarkEnd w:id="1045"/>
    </w:p>
    <w:p w14:paraId="006BAF10">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1.1.2.1合同当事人：是指发包人和（或）承包人。</w:t>
      </w:r>
    </w:p>
    <w:p w14:paraId="3230BE1D">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1.1.2.2发包人：是指与承包人订立合同协议书的当事人及取得该当事人资格的合法继受人。本合同中“因发包人原因”里的“发包人”包括发包人及所有发包人人员。</w:t>
      </w:r>
    </w:p>
    <w:p w14:paraId="7DF78BE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1.1.2.3承包人：是指与发包人订立合同协议书的当事人及取得该当事人资格的合法继受人。</w:t>
      </w:r>
    </w:p>
    <w:p w14:paraId="34D9304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1.1.2.4联合体：是指经发包人同意由两个或两个以上法人或者其他组织组成的，作为承包人的临时机构。</w:t>
      </w:r>
    </w:p>
    <w:p w14:paraId="46FE56A3">
      <w:pPr>
        <w:tabs>
          <w:tab w:val="left" w:pos="1134"/>
        </w:tabs>
        <w:adjustRightInd w:val="0"/>
        <w:snapToGrid w:val="0"/>
        <w:spacing w:line="360" w:lineRule="auto"/>
        <w:ind w:firstLine="420" w:firstLineChars="200"/>
        <w:rPr>
          <w:rFonts w:ascii="宋体" w:hAnsi="宋体" w:cs="宋体"/>
          <w:color w:val="auto"/>
          <w:highlight w:val="none"/>
        </w:rPr>
      </w:pPr>
      <w:bookmarkStart w:id="1046" w:name="_Ref4420046"/>
      <w:r>
        <w:rPr>
          <w:rFonts w:hint="eastAsia" w:ascii="宋体" w:hAnsi="宋体" w:cs="宋体"/>
          <w:color w:val="auto"/>
          <w:highlight w:val="none"/>
        </w:rPr>
        <w:t>1.1.2.5发包人代表：是指由发包人任命并派驻工作现场，在发包人授权范围内行使发包人权利和履行发包人义务的人。</w:t>
      </w:r>
    </w:p>
    <w:p w14:paraId="44C8670F">
      <w:pPr>
        <w:tabs>
          <w:tab w:val="left" w:pos="1134"/>
        </w:tabs>
        <w:adjustRightInd w:val="0"/>
        <w:snapToGrid w:val="0"/>
        <w:spacing w:line="360" w:lineRule="auto"/>
        <w:ind w:firstLine="420" w:firstLineChars="200"/>
        <w:rPr>
          <w:rFonts w:ascii="宋体" w:hAnsi="宋体" w:cs="宋体"/>
          <w:color w:val="auto"/>
          <w:highlight w:val="none"/>
        </w:rPr>
      </w:pPr>
      <w:bookmarkStart w:id="1047" w:name="_Ref4756982"/>
      <w:r>
        <w:rPr>
          <w:rFonts w:hint="eastAsia" w:ascii="宋体" w:hAnsi="宋体" w:cs="宋体"/>
          <w:color w:val="auto"/>
          <w:highlight w:val="none"/>
        </w:rPr>
        <w:t>1.1.2.6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1046"/>
      <w:bookmarkEnd w:id="1047"/>
    </w:p>
    <w:p w14:paraId="0607FF98">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1.1.2.7工程总承包项目经理：是指由承包人任命的，在承包人授权范围内负责合同履行的管理，且按照法律规定具有相应资格的项目负责人。</w:t>
      </w:r>
    </w:p>
    <w:p w14:paraId="7007393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1.1.2.8设计负责人：是指承包人指定负责组织、指导、协调设计工作并具有相应资格的人员。</w:t>
      </w:r>
    </w:p>
    <w:p w14:paraId="4C38754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1.1.2.9采购负责人：是指承包人指定负责组织、指导、协调采购工作的人员。</w:t>
      </w:r>
    </w:p>
    <w:p w14:paraId="557A4D99">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1.1.2.10施工负责人：是指承包人指定负责组织、指导、协调施工工作并具有相应资格的人员。</w:t>
      </w:r>
    </w:p>
    <w:p w14:paraId="60B0647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1.1.2.11分包人：是指按照法律规定和合同约定，分包部分工程或工作，并与承包人订立分包合同的具有相应资质或资格的法人或其他组织。</w:t>
      </w:r>
    </w:p>
    <w:p w14:paraId="763895D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048" w:name="_Ref4758319"/>
      <w:r>
        <w:rPr>
          <w:rFonts w:hint="eastAsia" w:ascii="宋体" w:hAnsi="宋体" w:cs="宋体"/>
          <w:color w:val="auto"/>
          <w:kern w:val="0"/>
          <w:szCs w:val="20"/>
          <w:highlight w:val="none"/>
          <w:lang w:bidi="ar"/>
        </w:rPr>
        <w:t>1.1.3工程和设备</w:t>
      </w:r>
      <w:bookmarkEnd w:id="1048"/>
    </w:p>
    <w:p w14:paraId="6BD2D13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1.1.3.1工程：是指与合同协议书中工程承包范围对应的永久工程和（或）临时工程。</w:t>
      </w:r>
    </w:p>
    <w:p w14:paraId="65ECC95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1.1.3.2工程实施：是指进行工程的设计、采购、施工和竣工以及对工程任何缺陷的修复。</w:t>
      </w:r>
    </w:p>
    <w:p w14:paraId="32C256F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1.1.3.3永久工程：是指按合同约定建造并移交给发包人的工程，包括工程设备。</w:t>
      </w:r>
    </w:p>
    <w:p w14:paraId="6335149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1.1.3.4临时工程：是指为完成合同约定的永久工程所修建的各类临时性工程，不包括施工设备。</w:t>
      </w:r>
    </w:p>
    <w:p w14:paraId="6097A2B0">
      <w:pPr>
        <w:tabs>
          <w:tab w:val="left" w:pos="1134"/>
        </w:tabs>
        <w:adjustRightInd w:val="0"/>
        <w:snapToGrid w:val="0"/>
        <w:spacing w:line="360" w:lineRule="auto"/>
        <w:ind w:firstLine="420" w:firstLineChars="200"/>
        <w:rPr>
          <w:rFonts w:ascii="宋体" w:hAnsi="宋体" w:cs="宋体"/>
          <w:color w:val="auto"/>
          <w:highlight w:val="none"/>
        </w:rPr>
      </w:pPr>
      <w:bookmarkStart w:id="1049" w:name="_Ref4419825"/>
      <w:r>
        <w:rPr>
          <w:rFonts w:hint="eastAsia" w:ascii="宋体" w:hAnsi="宋体" w:cs="宋体"/>
          <w:color w:val="auto"/>
          <w:highlight w:val="none"/>
        </w:rPr>
        <w:t>1.1.3.5单位/区段工程：是指在专用合同条件中指明特定范围的，能单独接收并使用的永久工程。</w:t>
      </w:r>
      <w:bookmarkEnd w:id="1049"/>
    </w:p>
    <w:p w14:paraId="553F085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1.1.3.6工程设备：指构成永久工程的机电设备、仪器装置、运载工具及其他类似的设备和装置，包括其配件及备品、备件、易损易耗件等。</w:t>
      </w:r>
    </w:p>
    <w:p w14:paraId="048D179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1.1.3.7施工设备：指为完成合同约定的各项工作所需的设备、器具和其他物品，不包括工程设备、临时工程和材料。</w:t>
      </w:r>
    </w:p>
    <w:p w14:paraId="62E65A4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1.1.3.8临时设施：指为完成合同约定的各项工作所服务的临时性生产和生活设施。</w:t>
      </w:r>
    </w:p>
    <w:p w14:paraId="0283AB96">
      <w:pPr>
        <w:tabs>
          <w:tab w:val="left" w:pos="1134"/>
        </w:tabs>
        <w:adjustRightInd w:val="0"/>
        <w:snapToGrid w:val="0"/>
        <w:spacing w:line="360" w:lineRule="auto"/>
        <w:ind w:firstLine="420" w:firstLineChars="200"/>
        <w:rPr>
          <w:rFonts w:ascii="宋体" w:hAnsi="宋体" w:cs="宋体"/>
          <w:color w:val="auto"/>
          <w:highlight w:val="none"/>
        </w:rPr>
      </w:pPr>
      <w:bookmarkStart w:id="1050" w:name="_Ref4420577"/>
      <w:r>
        <w:rPr>
          <w:rFonts w:hint="eastAsia" w:ascii="宋体" w:hAnsi="宋体" w:cs="宋体"/>
          <w:color w:val="auto"/>
          <w:highlight w:val="none"/>
        </w:rPr>
        <w:t>1.1.3.9施工现场：是指用于工程施工的场所，以及在专用合同条件中指明作为施工场所组成部分的其他场所，包括永久占地和临时占地。</w:t>
      </w:r>
      <w:bookmarkEnd w:id="1050"/>
    </w:p>
    <w:p w14:paraId="65D976CF">
      <w:pPr>
        <w:tabs>
          <w:tab w:val="left" w:pos="1134"/>
        </w:tabs>
        <w:adjustRightInd w:val="0"/>
        <w:snapToGrid w:val="0"/>
        <w:spacing w:line="360" w:lineRule="auto"/>
        <w:ind w:firstLine="420" w:firstLineChars="200"/>
        <w:rPr>
          <w:rFonts w:ascii="宋体" w:hAnsi="宋体" w:cs="宋体"/>
          <w:color w:val="auto"/>
          <w:highlight w:val="none"/>
        </w:rPr>
      </w:pPr>
      <w:bookmarkStart w:id="1051" w:name="_Ref4420746"/>
      <w:r>
        <w:rPr>
          <w:rFonts w:hint="eastAsia" w:ascii="宋体" w:hAnsi="宋体" w:cs="宋体"/>
          <w:color w:val="auto"/>
          <w:highlight w:val="none"/>
        </w:rPr>
        <w:t>1.1.3.10永久占地：是指专用合同条件中指明为实施工程需永久占用的土地。</w:t>
      </w:r>
      <w:bookmarkEnd w:id="1051"/>
    </w:p>
    <w:p w14:paraId="49D79A65">
      <w:pPr>
        <w:tabs>
          <w:tab w:val="left" w:pos="1134"/>
        </w:tabs>
        <w:adjustRightInd w:val="0"/>
        <w:snapToGrid w:val="0"/>
        <w:spacing w:line="360" w:lineRule="auto"/>
        <w:ind w:firstLine="420" w:firstLineChars="200"/>
        <w:rPr>
          <w:rFonts w:ascii="宋体" w:hAnsi="宋体" w:cs="宋体"/>
          <w:color w:val="auto"/>
          <w:highlight w:val="none"/>
        </w:rPr>
      </w:pPr>
      <w:bookmarkStart w:id="1052" w:name="_Ref4420821"/>
      <w:r>
        <w:rPr>
          <w:rFonts w:hint="eastAsia" w:ascii="宋体" w:hAnsi="宋体" w:cs="宋体"/>
          <w:color w:val="auto"/>
          <w:highlight w:val="none"/>
        </w:rPr>
        <w:t>1.1.3.11临时占地：是指专用合同条件中指明为实施工程需临时占用的土地。</w:t>
      </w:r>
      <w:bookmarkEnd w:id="1052"/>
    </w:p>
    <w:p w14:paraId="63B32FD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1.1.4日期和期限</w:t>
      </w:r>
    </w:p>
    <w:p w14:paraId="443EFEC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1.1.4.1开始工作通知：指工程师按第8.1.2项[开始工作通知]的约定通知承包人开始工作的函件。</w:t>
      </w:r>
    </w:p>
    <w:p w14:paraId="5FA5E759">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1.1.4.2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50008DC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1.1.4.3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71FAB30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1.1.4.4竣工日期：包括计划竣工日期和实际竣工日期。计划竣工日期是指合同协议书约定的竣工日期；实际竣工日期按照第8.2款[竣工日期]的约定确定。</w:t>
      </w:r>
    </w:p>
    <w:p w14:paraId="6549137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1.1.4.5工期：是指在合同协议书约定的承包人完成合同工作所需的期限，包括按照合同约定所作的期限变更及按合同约定承包人有权取得的工期延长。</w:t>
      </w:r>
    </w:p>
    <w:p w14:paraId="7B5066F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1.1.4.6缺陷责任期：是指发包人预留工程质量保证金以保证承包人履行第11.3款[缺陷调查]下质量缺陷责任的期限。</w:t>
      </w:r>
    </w:p>
    <w:p w14:paraId="7DF76BB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1.1.4.7保修期：是指承包人按照合同约定和法律规定对工程质量承担保修责任的期限，该期限自缺陷责任期起算之日起计算。</w:t>
      </w:r>
    </w:p>
    <w:p w14:paraId="4AFED88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1.1.4.8基准日期：招标发包的工程以投标截止日前28天的日期为基准日期，直接发包的工程以合同订立日前28天的日期为基准日期。</w:t>
      </w:r>
    </w:p>
    <w:p w14:paraId="48F4147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1.1.4.9天：除特别指明外，均指日历天。合同中按天计算时间的，开始当天不计入，从次日开始计算。期限最后一天的截止时间为当天24:00。</w:t>
      </w:r>
    </w:p>
    <w:p w14:paraId="54D0640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1.1.4.10竣工试验：是指在工程竣工验收前，根据第9条[竣工试验]要求进行的试验。</w:t>
      </w:r>
    </w:p>
    <w:p w14:paraId="4254A2E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1.1.4.11竣工验收：是指承包人完成了合同约定的各项内容后，发包人按合同要求进行的验收。</w:t>
      </w:r>
    </w:p>
    <w:p w14:paraId="79472AC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1.1.4.12竣工后试验：是指在工程竣工验收后，根据第12条[竣工后试验]约定进行的试验。</w:t>
      </w:r>
    </w:p>
    <w:p w14:paraId="12A28E7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1.1.5合同价格和费用</w:t>
      </w:r>
    </w:p>
    <w:p w14:paraId="03E1CD2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1.1.5.1签约合同价：是指发包人和承包人在合同协议书中确定的总金额，包括暂估价及暂列金额等。</w:t>
      </w:r>
    </w:p>
    <w:p w14:paraId="7335FB7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1.1.5.2合同价格：是指发包人用于支付承包人按照合同约定完成承包范围内全部工作的金额，包括合同履行过程中按合同约定发生的价格变化。</w:t>
      </w:r>
    </w:p>
    <w:p w14:paraId="307535E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1.1.5.3费用：是指为履行合同所发生的或将要发生的所有合理开支，包括管理费和应分摊的其他费用，但不包括利润。</w:t>
      </w:r>
    </w:p>
    <w:p w14:paraId="04CBA40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1.1.5.4人工费：是指支付给直接从事建筑安装工程施工作业的建筑工人的各项费用。</w:t>
      </w:r>
    </w:p>
    <w:p w14:paraId="3FDCD6F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1.1.5.5暂估价：</w:t>
      </w:r>
      <w:bookmarkStart w:id="1053" w:name="_Hlk18973781"/>
      <w:r>
        <w:rPr>
          <w:rFonts w:hint="eastAsia" w:ascii="宋体" w:hAnsi="宋体" w:cs="宋体"/>
          <w:color w:val="auto"/>
          <w:highlight w:val="none"/>
        </w:rPr>
        <w:t>是指发包人在项目清单中给定的，用于支付必然发生但暂时不能确定价格的专业服务、材料、设备、专业工程的金额。</w:t>
      </w:r>
      <w:bookmarkEnd w:id="1053"/>
    </w:p>
    <w:p w14:paraId="4400835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1.1.5.6暂列金额：是指发包人在项目清单中给定的，用于在订立协议书时尚未确定或不可预见变更的设计、施工及其所需材料、工程设备、服务等的金额，包括以计日工方式支付的金额。</w:t>
      </w:r>
    </w:p>
    <w:p w14:paraId="01027F98">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1.1.5.7计日工：是指合同履行过程中，承包人完成发包人提出的零星工作或需要采用计日工计价的变更工作时，按合同中约定的单价计价的一种方式。</w:t>
      </w:r>
    </w:p>
    <w:p w14:paraId="669DBBE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1.1.5.8质量保证金：是指按第14.6款[质量保证金]约定承包人用于保证其在缺陷责任期内履行缺陷修复义务的担保。</w:t>
      </w:r>
    </w:p>
    <w:p w14:paraId="0ACA393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1.1.6其他</w:t>
      </w:r>
    </w:p>
    <w:p w14:paraId="60EFB74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1.1.6.1书面形式：指合同文件、信函、电报、传真、数据电文、电子邮件、会议纪要等可以有形地表现所载内容的形式。</w:t>
      </w:r>
    </w:p>
    <w:p w14:paraId="56D85AA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1.1.6.2承包人文件：指由承包人根据合同约定应提交的所有图纸、手册、模型、计算书、软件、函件、洽商性文件和其他技术性文件。</w:t>
      </w:r>
    </w:p>
    <w:p w14:paraId="6B951BD0">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1.1.6.3变更：指根据第13条[变更与调整]的约定，经指示或批准对《发包人要求》或工程所做的改变。</w:t>
      </w:r>
    </w:p>
    <w:bookmarkEnd w:id="1043"/>
    <w:p w14:paraId="5487758E">
      <w:pPr>
        <w:adjustRightInd w:val="0"/>
        <w:snapToGrid w:val="0"/>
        <w:spacing w:line="360" w:lineRule="auto"/>
        <w:rPr>
          <w:rFonts w:ascii="宋体" w:hAnsi="宋体"/>
          <w:b/>
          <w:color w:val="auto"/>
          <w:sz w:val="24"/>
          <w:highlight w:val="none"/>
        </w:rPr>
      </w:pPr>
      <w:bookmarkStart w:id="1054" w:name="_Toc145081542"/>
      <w:bookmarkStart w:id="1055" w:name="_Ref509042101"/>
      <w:bookmarkStart w:id="1056" w:name="_Toc161228627"/>
      <w:bookmarkStart w:id="1057" w:name="_Ref509042104"/>
      <w:bookmarkStart w:id="1058" w:name="_Toc54862179"/>
      <w:bookmarkStart w:id="1059" w:name="_Ref522730353"/>
      <w:bookmarkStart w:id="1060" w:name="_Ref522730349"/>
      <w:r>
        <w:rPr>
          <w:rFonts w:hint="eastAsia" w:ascii="宋体" w:hAnsi="宋体" w:eastAsia="宋体"/>
          <w:b/>
          <w:color w:val="auto"/>
          <w:sz w:val="24"/>
          <w:highlight w:val="none"/>
        </w:rPr>
        <w:t>1.2语言文字</w:t>
      </w:r>
      <w:bookmarkEnd w:id="1054"/>
      <w:bookmarkEnd w:id="1055"/>
      <w:bookmarkEnd w:id="1056"/>
      <w:bookmarkEnd w:id="1057"/>
      <w:bookmarkEnd w:id="1058"/>
    </w:p>
    <w:p w14:paraId="22F1AB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合同文件以中国的汉语简体语言文字编写、解释和说明。专用术语使用外文的，应附有中文注释。合同当事人在专用合同条件约定使用两种及以上语言时，汉语为优先解释和说明合同的语言。</w:t>
      </w:r>
    </w:p>
    <w:p w14:paraId="19B0BF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与合同有关的联络应使用专用合同条件约定的语言。如没有约定，则应使用中国的汉语简体语言文字。</w:t>
      </w:r>
    </w:p>
    <w:p w14:paraId="4F58216C">
      <w:pPr>
        <w:adjustRightInd w:val="0"/>
        <w:snapToGrid w:val="0"/>
        <w:spacing w:line="360" w:lineRule="auto"/>
        <w:rPr>
          <w:rFonts w:ascii="宋体" w:hAnsi="宋体"/>
          <w:b/>
          <w:color w:val="auto"/>
          <w:sz w:val="24"/>
          <w:highlight w:val="none"/>
        </w:rPr>
      </w:pPr>
      <w:bookmarkStart w:id="1061" w:name="_Toc161228628"/>
      <w:bookmarkStart w:id="1062" w:name="_Toc54862180"/>
      <w:bookmarkStart w:id="1063" w:name="_Ref531949543"/>
      <w:bookmarkStart w:id="1064" w:name="_Toc145081543"/>
      <w:bookmarkStart w:id="1065" w:name="_Ref531949539"/>
      <w:r>
        <w:rPr>
          <w:rFonts w:hint="eastAsia" w:ascii="宋体" w:hAnsi="宋体" w:eastAsia="宋体"/>
          <w:b/>
          <w:color w:val="auto"/>
          <w:sz w:val="24"/>
          <w:highlight w:val="none"/>
        </w:rPr>
        <w:t>1.3法律</w:t>
      </w:r>
      <w:bookmarkEnd w:id="1061"/>
      <w:bookmarkEnd w:id="1062"/>
      <w:bookmarkEnd w:id="1063"/>
      <w:bookmarkEnd w:id="1064"/>
      <w:bookmarkEnd w:id="1065"/>
    </w:p>
    <w:p w14:paraId="09C04C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合同所称法律是指中华人民共和国法律、行政法规、部门规章，以及工程所在地的地方法规、自治条例、单行条例和地方政府规章等。</w:t>
      </w:r>
    </w:p>
    <w:p w14:paraId="74B05A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合同当事人可以在专用合同条件中约定合同适用的其他规范性文件。</w:t>
      </w:r>
    </w:p>
    <w:p w14:paraId="20CC5607">
      <w:pPr>
        <w:adjustRightInd w:val="0"/>
        <w:snapToGrid w:val="0"/>
        <w:spacing w:line="360" w:lineRule="auto"/>
        <w:rPr>
          <w:rFonts w:ascii="宋体" w:hAnsi="宋体"/>
          <w:b/>
          <w:color w:val="auto"/>
          <w:sz w:val="24"/>
          <w:highlight w:val="none"/>
        </w:rPr>
      </w:pPr>
      <w:bookmarkStart w:id="1066" w:name="_Ref531949589"/>
      <w:bookmarkStart w:id="1067" w:name="_Toc161228629"/>
      <w:bookmarkStart w:id="1068" w:name="_Toc54862181"/>
      <w:bookmarkStart w:id="1069" w:name="_Ref531949594"/>
      <w:bookmarkStart w:id="1070" w:name="_Toc145081544"/>
      <w:r>
        <w:rPr>
          <w:rFonts w:hint="eastAsia" w:ascii="宋体" w:hAnsi="宋体" w:eastAsia="宋体"/>
          <w:b/>
          <w:color w:val="auto"/>
          <w:sz w:val="24"/>
          <w:highlight w:val="none"/>
        </w:rPr>
        <w:t>1.4标准和规范</w:t>
      </w:r>
      <w:bookmarkEnd w:id="1066"/>
      <w:bookmarkEnd w:id="1067"/>
      <w:bookmarkEnd w:id="1068"/>
      <w:bookmarkEnd w:id="1069"/>
      <w:bookmarkEnd w:id="1070"/>
    </w:p>
    <w:p w14:paraId="52F4BCEC">
      <w:pPr>
        <w:tabs>
          <w:tab w:val="left" w:pos="851"/>
        </w:tabs>
        <w:adjustRightInd w:val="0"/>
        <w:snapToGrid w:val="0"/>
        <w:spacing w:line="360" w:lineRule="auto"/>
        <w:ind w:firstLine="420" w:firstLineChars="200"/>
        <w:rPr>
          <w:rFonts w:ascii="宋体" w:hAnsi="宋体" w:cs="宋体"/>
          <w:color w:val="auto"/>
          <w:highlight w:val="none"/>
        </w:rPr>
      </w:pPr>
      <w:bookmarkStart w:id="1071" w:name="_Ref4420991"/>
      <w:r>
        <w:rPr>
          <w:rFonts w:hint="eastAsia" w:ascii="宋体" w:hAnsi="宋体" w:cs="宋体"/>
          <w:color w:val="auto"/>
          <w:highlight w:val="none"/>
        </w:rPr>
        <w:t>1.4.1适用于工程的国家标准、行业标准、工程所在地的地方性标准，以及相应的规范、规程等，合同当事人有特别要求的，应在专用合同条件中约定。</w:t>
      </w:r>
      <w:bookmarkEnd w:id="1071"/>
    </w:p>
    <w:p w14:paraId="0BFEAF94">
      <w:pPr>
        <w:tabs>
          <w:tab w:val="left" w:pos="851"/>
        </w:tabs>
        <w:adjustRightInd w:val="0"/>
        <w:snapToGrid w:val="0"/>
        <w:spacing w:line="360" w:lineRule="auto"/>
        <w:ind w:firstLine="420" w:firstLineChars="200"/>
        <w:rPr>
          <w:rFonts w:ascii="宋体" w:hAnsi="宋体" w:cs="宋体"/>
          <w:color w:val="auto"/>
          <w:highlight w:val="none"/>
        </w:rPr>
      </w:pPr>
      <w:bookmarkStart w:id="1072" w:name="_Ref531949642"/>
      <w:r>
        <w:rPr>
          <w:rFonts w:hint="eastAsia" w:ascii="宋体" w:hAnsi="宋体" w:cs="宋体"/>
          <w:color w:val="auto"/>
          <w:highlight w:val="none"/>
        </w:rPr>
        <w:t>1.4.2发包人要求使用国外标准、规范的，发包人负责提供原文版本和中文译本，并在专用合同条件中约定提供标准规范的名称、份数和时间。</w:t>
      </w:r>
      <w:bookmarkEnd w:id="1072"/>
    </w:p>
    <w:p w14:paraId="623B4E64">
      <w:pPr>
        <w:tabs>
          <w:tab w:val="left" w:pos="851"/>
        </w:tabs>
        <w:adjustRightInd w:val="0"/>
        <w:snapToGrid w:val="0"/>
        <w:spacing w:line="360" w:lineRule="auto"/>
        <w:ind w:firstLine="420" w:firstLineChars="200"/>
        <w:rPr>
          <w:rFonts w:ascii="宋体" w:hAnsi="宋体" w:cs="宋体"/>
          <w:color w:val="auto"/>
          <w:highlight w:val="none"/>
        </w:rPr>
      </w:pPr>
      <w:bookmarkStart w:id="1073" w:name="_Ref531949657"/>
      <w:r>
        <w:rPr>
          <w:rFonts w:hint="eastAsia" w:ascii="宋体" w:hAnsi="宋体" w:cs="宋体"/>
          <w:color w:val="auto"/>
          <w:highlight w:val="none"/>
        </w:rPr>
        <w:t>1.4.3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1073"/>
    </w:p>
    <w:p w14:paraId="4FE28C45">
      <w:pPr>
        <w:tabs>
          <w:tab w:val="left" w:pos="851"/>
        </w:tabs>
        <w:adjustRightInd w:val="0"/>
        <w:snapToGrid w:val="0"/>
        <w:spacing w:line="360" w:lineRule="auto"/>
        <w:ind w:firstLine="420" w:firstLineChars="200"/>
        <w:rPr>
          <w:rFonts w:ascii="宋体" w:hAnsi="宋体" w:cs="宋体"/>
          <w:color w:val="auto"/>
          <w:highlight w:val="none"/>
        </w:rPr>
      </w:pPr>
      <w:bookmarkStart w:id="1074" w:name="_Ref4421272"/>
      <w:r>
        <w:rPr>
          <w:rFonts w:hint="eastAsia" w:ascii="宋体" w:hAnsi="宋体" w:cs="宋体"/>
          <w:color w:val="auto"/>
          <w:highlight w:val="none"/>
        </w:rPr>
        <w:t>1.4.4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1074"/>
    </w:p>
    <w:p w14:paraId="1C4221F3">
      <w:pPr>
        <w:adjustRightInd w:val="0"/>
        <w:snapToGrid w:val="0"/>
        <w:spacing w:line="360" w:lineRule="auto"/>
        <w:rPr>
          <w:rFonts w:ascii="宋体" w:hAnsi="宋体"/>
          <w:b/>
          <w:color w:val="auto"/>
          <w:sz w:val="24"/>
          <w:highlight w:val="none"/>
        </w:rPr>
      </w:pPr>
      <w:bookmarkStart w:id="1075" w:name="_Toc161228630"/>
      <w:bookmarkStart w:id="1076" w:name="_Toc145081545"/>
      <w:bookmarkStart w:id="1077" w:name="_Ref4421717"/>
      <w:bookmarkStart w:id="1078" w:name="_Toc54862182"/>
      <w:r>
        <w:rPr>
          <w:rFonts w:hint="eastAsia" w:ascii="宋体" w:hAnsi="宋体" w:eastAsia="宋体"/>
          <w:b/>
          <w:color w:val="auto"/>
          <w:sz w:val="24"/>
          <w:highlight w:val="none"/>
        </w:rPr>
        <w:t>1.5合同文件的优先顺序</w:t>
      </w:r>
      <w:bookmarkEnd w:id="1059"/>
      <w:bookmarkEnd w:id="1060"/>
      <w:bookmarkEnd w:id="1075"/>
      <w:bookmarkEnd w:id="1076"/>
      <w:bookmarkEnd w:id="1077"/>
      <w:bookmarkEnd w:id="1078"/>
    </w:p>
    <w:p w14:paraId="5CF91D82">
      <w:pPr>
        <w:adjustRightInd w:val="0"/>
        <w:snapToGrid w:val="0"/>
        <w:spacing w:line="360" w:lineRule="auto"/>
        <w:ind w:firstLine="420" w:firstLineChars="200"/>
        <w:rPr>
          <w:rFonts w:ascii="宋体" w:hAnsi="宋体" w:cs="宋体"/>
          <w:color w:val="auto"/>
          <w:szCs w:val="21"/>
          <w:highlight w:val="none"/>
        </w:rPr>
      </w:pPr>
      <w:bookmarkStart w:id="1079" w:name="_Ref531948776"/>
      <w:r>
        <w:rPr>
          <w:rFonts w:hint="eastAsia" w:ascii="宋体" w:hAnsi="宋体" w:cs="宋体"/>
          <w:color w:val="auto"/>
          <w:szCs w:val="21"/>
          <w:highlight w:val="none"/>
        </w:rPr>
        <w:t>组成合同的各项文件应互相解释，互为说明。除专用合同条件另有约定外，</w:t>
      </w:r>
      <w:bookmarkEnd w:id="1079"/>
      <w:r>
        <w:rPr>
          <w:rFonts w:hint="eastAsia" w:ascii="宋体" w:hAnsi="宋体" w:cs="宋体"/>
          <w:color w:val="auto"/>
          <w:szCs w:val="21"/>
          <w:highlight w:val="none"/>
        </w:rPr>
        <w:t>解释合同文件的优先顺序如下：</w:t>
      </w:r>
    </w:p>
    <w:p w14:paraId="29DAFE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w:t>
      </w:r>
    </w:p>
    <w:p w14:paraId="40122C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（2）中标通知书（如果有）；</w:t>
      </w:r>
    </w:p>
    <w:p w14:paraId="23F863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（3）投标函及投标函附录（如果有）；</w:t>
      </w:r>
    </w:p>
    <w:p w14:paraId="0419015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（4）专用合同条件及《发包人要求》等附件；</w:t>
      </w:r>
    </w:p>
    <w:p w14:paraId="4DA836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（5）通用合同条件；</w:t>
      </w:r>
    </w:p>
    <w:p w14:paraId="369EF1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（6）承包人建议书；</w:t>
      </w:r>
    </w:p>
    <w:p w14:paraId="2558CD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（7）价格清单；</w:t>
      </w:r>
    </w:p>
    <w:p w14:paraId="5A22E6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（8）双方约定的其他合同文件。</w:t>
      </w:r>
    </w:p>
    <w:p w14:paraId="0A4E8BF7">
      <w:pPr>
        <w:adjustRightInd w:val="0"/>
        <w:snapToGrid w:val="0"/>
        <w:spacing w:line="360" w:lineRule="auto"/>
        <w:ind w:firstLine="420" w:firstLineChars="200"/>
        <w:rPr>
          <w:rFonts w:ascii="宋体" w:hAnsi="宋体" w:cs="宋体"/>
          <w:color w:val="auto"/>
          <w:szCs w:val="21"/>
          <w:highlight w:val="none"/>
        </w:rPr>
      </w:pPr>
      <w:bookmarkStart w:id="1080" w:name="_Hlk18951547"/>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bookmarkEnd w:id="1080"/>
      <w:r>
        <w:rPr>
          <w:rFonts w:hint="eastAsia" w:ascii="宋体" w:hAnsi="宋体" w:cs="宋体"/>
          <w:color w:val="auto"/>
          <w:szCs w:val="21"/>
          <w:highlight w:val="none"/>
        </w:rPr>
        <w:t>。</w:t>
      </w:r>
    </w:p>
    <w:p w14:paraId="3EB5CE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5A4CBF1C">
      <w:pPr>
        <w:adjustRightInd w:val="0"/>
        <w:snapToGrid w:val="0"/>
        <w:spacing w:line="360" w:lineRule="auto"/>
        <w:rPr>
          <w:rFonts w:ascii="宋体" w:hAnsi="宋体"/>
          <w:b/>
          <w:color w:val="auto"/>
          <w:sz w:val="24"/>
          <w:highlight w:val="none"/>
        </w:rPr>
      </w:pPr>
      <w:bookmarkStart w:id="1081" w:name="_Ref4422060"/>
      <w:bookmarkStart w:id="1082" w:name="_Toc54862183"/>
      <w:bookmarkStart w:id="1083" w:name="_Toc161228631"/>
      <w:bookmarkStart w:id="1084" w:name="_Toc145081546"/>
      <w:bookmarkStart w:id="1085" w:name="_Ref11917818"/>
      <w:bookmarkStart w:id="1086" w:name="_Ref531949822"/>
      <w:bookmarkStart w:id="1087" w:name="_Ref531949803"/>
      <w:bookmarkStart w:id="1088" w:name="_Ref531949807"/>
      <w:r>
        <w:rPr>
          <w:rFonts w:hint="eastAsia" w:ascii="宋体" w:hAnsi="宋体" w:eastAsia="宋体"/>
          <w:b/>
          <w:color w:val="auto"/>
          <w:sz w:val="24"/>
          <w:highlight w:val="none"/>
        </w:rPr>
        <w:t>1.6文件的提供和</w:t>
      </w:r>
      <w:bookmarkEnd w:id="1081"/>
      <w:r>
        <w:rPr>
          <w:rFonts w:hint="eastAsia" w:ascii="宋体" w:hAnsi="宋体" w:eastAsia="宋体"/>
          <w:b/>
          <w:color w:val="auto"/>
          <w:sz w:val="24"/>
          <w:highlight w:val="none"/>
        </w:rPr>
        <w:t>照管</w:t>
      </w:r>
      <w:bookmarkEnd w:id="1082"/>
      <w:bookmarkEnd w:id="1083"/>
      <w:bookmarkEnd w:id="1084"/>
      <w:bookmarkEnd w:id="1085"/>
    </w:p>
    <w:p w14:paraId="20FE108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089" w:name="_Ref4421991"/>
      <w:r>
        <w:rPr>
          <w:rFonts w:hint="eastAsia" w:ascii="宋体" w:hAnsi="宋体" w:cs="宋体"/>
          <w:color w:val="auto"/>
          <w:kern w:val="0"/>
          <w:szCs w:val="20"/>
          <w:highlight w:val="none"/>
          <w:lang w:bidi="ar"/>
        </w:rPr>
        <w:t>1.6.1发包人文件的提供</w:t>
      </w:r>
      <w:bookmarkEnd w:id="1089"/>
    </w:p>
    <w:p w14:paraId="054ADD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0CF450B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090" w:name="_Ref4422317"/>
      <w:r>
        <w:rPr>
          <w:rFonts w:hint="eastAsia" w:ascii="宋体" w:hAnsi="宋体" w:cs="宋体"/>
          <w:color w:val="auto"/>
          <w:kern w:val="0"/>
          <w:szCs w:val="20"/>
          <w:highlight w:val="none"/>
          <w:lang w:bidi="ar"/>
        </w:rPr>
        <w:t>1.6.2承包人文件的提供</w:t>
      </w:r>
      <w:bookmarkEnd w:id="1090"/>
    </w:p>
    <w:p w14:paraId="1E5322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除专用合同条件另有约定外，承包人文件应包含下列内容，并用第1.2款[语言文字]约定的语言制作：</w:t>
      </w:r>
    </w:p>
    <w:p w14:paraId="204042E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（1）《发包人要求》中规定的相关文件；</w:t>
      </w:r>
    </w:p>
    <w:p w14:paraId="45DB60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（2）满足工程相关行政审批手续所必</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的应由承包人负责的相关文件；</w:t>
      </w:r>
    </w:p>
    <w:p w14:paraId="0B31EB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（3）第5.4款[竣工文件]与第5.5款[操作和维修手册]中要求的相关文件。</w:t>
      </w:r>
    </w:p>
    <w:p w14:paraId="309FBF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41A9FFA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1.6.3文件错误的通知</w:t>
      </w:r>
    </w:p>
    <w:p w14:paraId="70606D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任何一方发现文件中存在明显的错误或疏忽，应及时通知另一方。</w:t>
      </w:r>
    </w:p>
    <w:p w14:paraId="48F7515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091" w:name="_Ref4678410"/>
      <w:bookmarkStart w:id="1092" w:name="_Ref11957673"/>
      <w:r>
        <w:rPr>
          <w:rFonts w:hint="eastAsia" w:ascii="宋体" w:hAnsi="宋体" w:cs="宋体"/>
          <w:color w:val="auto"/>
          <w:kern w:val="0"/>
          <w:szCs w:val="20"/>
          <w:highlight w:val="none"/>
          <w:lang w:bidi="ar"/>
        </w:rPr>
        <w:t>1.6.4文件的</w:t>
      </w:r>
      <w:bookmarkEnd w:id="1091"/>
      <w:r>
        <w:rPr>
          <w:rFonts w:hint="eastAsia" w:ascii="宋体" w:hAnsi="宋体" w:cs="宋体"/>
          <w:color w:val="auto"/>
          <w:kern w:val="0"/>
          <w:szCs w:val="20"/>
          <w:highlight w:val="none"/>
          <w:lang w:bidi="ar"/>
        </w:rPr>
        <w:t>照管</w:t>
      </w:r>
      <w:bookmarkEnd w:id="1092"/>
    </w:p>
    <w:p w14:paraId="278B368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7BE7989A">
      <w:pPr>
        <w:adjustRightInd w:val="0"/>
        <w:snapToGrid w:val="0"/>
        <w:spacing w:line="360" w:lineRule="auto"/>
        <w:rPr>
          <w:rFonts w:ascii="宋体" w:hAnsi="宋体"/>
          <w:b/>
          <w:color w:val="auto"/>
          <w:sz w:val="24"/>
          <w:highlight w:val="none"/>
        </w:rPr>
      </w:pPr>
      <w:bookmarkStart w:id="1093" w:name="_Toc161228632"/>
      <w:bookmarkStart w:id="1094" w:name="_Toc54862184"/>
      <w:bookmarkStart w:id="1095" w:name="_Toc145081547"/>
      <w:bookmarkStart w:id="1096" w:name="_Ref4415170"/>
      <w:r>
        <w:rPr>
          <w:rFonts w:hint="eastAsia" w:ascii="宋体" w:hAnsi="宋体" w:eastAsia="宋体"/>
          <w:b/>
          <w:color w:val="auto"/>
          <w:sz w:val="24"/>
          <w:highlight w:val="none"/>
        </w:rPr>
        <w:t>1.7联络</w:t>
      </w:r>
      <w:bookmarkEnd w:id="1093"/>
      <w:bookmarkEnd w:id="1094"/>
      <w:bookmarkEnd w:id="1095"/>
      <w:bookmarkEnd w:id="1096"/>
    </w:p>
    <w:p w14:paraId="117CAD4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208CBBD3">
      <w:pPr>
        <w:tabs>
          <w:tab w:val="left" w:pos="851"/>
        </w:tabs>
        <w:adjustRightInd w:val="0"/>
        <w:snapToGrid w:val="0"/>
        <w:spacing w:line="360" w:lineRule="auto"/>
        <w:ind w:firstLine="420" w:firstLineChars="200"/>
        <w:rPr>
          <w:rFonts w:ascii="宋体" w:hAnsi="宋体" w:cs="宋体"/>
          <w:color w:val="auto"/>
          <w:highlight w:val="none"/>
        </w:rPr>
      </w:pPr>
      <w:bookmarkStart w:id="1097" w:name="_Ref531949897"/>
      <w:r>
        <w:rPr>
          <w:rFonts w:hint="eastAsia" w:ascii="宋体" w:hAnsi="宋体" w:cs="宋体"/>
          <w:color w:val="auto"/>
          <w:highlight w:val="none"/>
        </w:rPr>
        <w:t>1.7.2发包人和承包人应在专用合同条件中约定各自的送达方式和收件地址。任何一方合同当事人指定的送达方式或收件地址发生变动的，应提前3天以书面形式通知对方。</w:t>
      </w:r>
      <w:bookmarkEnd w:id="1097"/>
    </w:p>
    <w:p w14:paraId="476AB6B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1.7.3发包人和承包人应当及时签收另一方通过约定的送达方式送达至收件地址的来往文件。拒不签收的，由此增加的费用和（或）延误的工期由拒绝接收一方承担。</w:t>
      </w:r>
    </w:p>
    <w:p w14:paraId="7A241B1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1.7.4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6D0D1085">
      <w:pPr>
        <w:adjustRightInd w:val="0"/>
        <w:snapToGrid w:val="0"/>
        <w:spacing w:line="360" w:lineRule="auto"/>
        <w:rPr>
          <w:rFonts w:ascii="宋体" w:hAnsi="宋体"/>
          <w:b/>
          <w:color w:val="auto"/>
          <w:sz w:val="24"/>
          <w:highlight w:val="none"/>
        </w:rPr>
      </w:pPr>
      <w:bookmarkStart w:id="1098" w:name="_Toc145081548"/>
      <w:bookmarkStart w:id="1099" w:name="_Toc54862185"/>
      <w:bookmarkStart w:id="1100" w:name="_Toc161228633"/>
      <w:r>
        <w:rPr>
          <w:rFonts w:hint="eastAsia" w:ascii="宋体" w:hAnsi="宋体" w:eastAsia="宋体"/>
          <w:b/>
          <w:color w:val="auto"/>
          <w:sz w:val="24"/>
          <w:highlight w:val="none"/>
        </w:rPr>
        <w:t>1.8严禁贿赂</w:t>
      </w:r>
      <w:bookmarkEnd w:id="1086"/>
      <w:bookmarkEnd w:id="1087"/>
      <w:bookmarkEnd w:id="1088"/>
      <w:bookmarkEnd w:id="1098"/>
      <w:bookmarkEnd w:id="1099"/>
      <w:bookmarkEnd w:id="1100"/>
    </w:p>
    <w:p w14:paraId="57AC3B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05283E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14:paraId="70037083">
      <w:pPr>
        <w:adjustRightInd w:val="0"/>
        <w:snapToGrid w:val="0"/>
        <w:spacing w:line="360" w:lineRule="auto"/>
        <w:rPr>
          <w:rFonts w:ascii="宋体" w:hAnsi="宋体"/>
          <w:b/>
          <w:color w:val="auto"/>
          <w:sz w:val="24"/>
          <w:highlight w:val="none"/>
        </w:rPr>
      </w:pPr>
      <w:bookmarkStart w:id="1101" w:name="_Toc54862186"/>
      <w:bookmarkStart w:id="1102" w:name="_Toc161228634"/>
      <w:bookmarkStart w:id="1103" w:name="_Toc145081549"/>
      <w:r>
        <w:rPr>
          <w:rFonts w:hint="eastAsia" w:ascii="宋体" w:hAnsi="宋体" w:eastAsia="宋体"/>
          <w:b/>
          <w:color w:val="auto"/>
          <w:sz w:val="24"/>
          <w:highlight w:val="none"/>
        </w:rPr>
        <w:t>1.9化石、文物</w:t>
      </w:r>
      <w:bookmarkEnd w:id="1101"/>
      <w:bookmarkEnd w:id="1102"/>
      <w:bookmarkEnd w:id="1103"/>
    </w:p>
    <w:p w14:paraId="2262D87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0157CA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发包人、工程师和承包人应按有关政府行政管理部门要求采取妥善的保护措施，由此增加的费用和（或）延误的工期由发包人承担。</w:t>
      </w:r>
    </w:p>
    <w:p w14:paraId="38FBE8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承包人发现文物后不及时报告或隐瞒不报，致使文物丢失或损坏的，应赔偿损失，并承担相应的法律责任。</w:t>
      </w:r>
    </w:p>
    <w:p w14:paraId="3C7C8349">
      <w:pPr>
        <w:adjustRightInd w:val="0"/>
        <w:snapToGrid w:val="0"/>
        <w:spacing w:line="360" w:lineRule="auto"/>
        <w:rPr>
          <w:rFonts w:ascii="宋体" w:hAnsi="宋体"/>
          <w:b/>
          <w:color w:val="auto"/>
          <w:sz w:val="24"/>
          <w:highlight w:val="none"/>
        </w:rPr>
      </w:pPr>
      <w:bookmarkStart w:id="1104" w:name="_Toc161228635"/>
      <w:bookmarkStart w:id="1105" w:name="_Ref4423426"/>
      <w:bookmarkStart w:id="1106" w:name="_Ref531949770"/>
      <w:bookmarkStart w:id="1107" w:name="_Toc145081550"/>
      <w:bookmarkStart w:id="1108" w:name="_Ref531949766"/>
      <w:bookmarkStart w:id="1109" w:name="_Toc54862187"/>
      <w:bookmarkStart w:id="1110" w:name="_Ref531949855"/>
      <w:bookmarkStart w:id="1111" w:name="_Ref531949826"/>
      <w:bookmarkStart w:id="1112" w:name="_Ref531949841"/>
      <w:r>
        <w:rPr>
          <w:rFonts w:hint="eastAsia" w:ascii="宋体" w:hAnsi="宋体" w:eastAsia="宋体"/>
          <w:b/>
          <w:color w:val="auto"/>
          <w:sz w:val="24"/>
          <w:highlight w:val="none"/>
        </w:rPr>
        <w:t>1.10知识产权</w:t>
      </w:r>
      <w:bookmarkEnd w:id="1104"/>
      <w:bookmarkEnd w:id="1105"/>
      <w:bookmarkEnd w:id="1106"/>
      <w:bookmarkEnd w:id="1107"/>
      <w:bookmarkEnd w:id="1108"/>
      <w:bookmarkEnd w:id="1109"/>
    </w:p>
    <w:p w14:paraId="342A0BAC">
      <w:pPr>
        <w:tabs>
          <w:tab w:val="left" w:pos="851"/>
        </w:tabs>
        <w:adjustRightInd w:val="0"/>
        <w:snapToGrid w:val="0"/>
        <w:spacing w:line="360" w:lineRule="auto"/>
        <w:ind w:firstLine="420" w:firstLineChars="200"/>
        <w:rPr>
          <w:rFonts w:ascii="宋体" w:hAnsi="宋体" w:cs="宋体"/>
          <w:color w:val="auto"/>
          <w:highlight w:val="none"/>
        </w:rPr>
      </w:pPr>
      <w:bookmarkStart w:id="1113" w:name="_Ref4423563"/>
      <w:r>
        <w:rPr>
          <w:rFonts w:hint="eastAsia" w:ascii="宋体" w:hAnsi="宋体" w:cs="宋体"/>
          <w:color w:val="auto"/>
          <w:highlight w:val="none"/>
        </w:rPr>
        <w:t>1.10.1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1113"/>
    </w:p>
    <w:p w14:paraId="7B2564BD">
      <w:pPr>
        <w:tabs>
          <w:tab w:val="left" w:pos="851"/>
        </w:tabs>
        <w:adjustRightInd w:val="0"/>
        <w:snapToGrid w:val="0"/>
        <w:spacing w:line="360" w:lineRule="auto"/>
        <w:ind w:firstLine="420" w:firstLineChars="200"/>
        <w:rPr>
          <w:rFonts w:ascii="宋体" w:hAnsi="宋体" w:cs="宋体"/>
          <w:color w:val="auto"/>
          <w:highlight w:val="none"/>
        </w:rPr>
      </w:pPr>
      <w:bookmarkStart w:id="1114" w:name="_Ref4423604"/>
      <w:r>
        <w:rPr>
          <w:rFonts w:hint="eastAsia" w:ascii="宋体" w:hAnsi="宋体" w:cs="宋体"/>
          <w:color w:val="auto"/>
          <w:highlight w:val="none"/>
        </w:rPr>
        <w:t>1.10.2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1114"/>
    </w:p>
    <w:p w14:paraId="513627B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4C6E802B">
      <w:pPr>
        <w:tabs>
          <w:tab w:val="left" w:pos="851"/>
        </w:tabs>
        <w:adjustRightInd w:val="0"/>
        <w:snapToGrid w:val="0"/>
        <w:spacing w:line="360" w:lineRule="auto"/>
        <w:ind w:firstLine="420" w:firstLineChars="200"/>
        <w:rPr>
          <w:rFonts w:ascii="宋体" w:hAnsi="宋体" w:cs="宋体"/>
          <w:color w:val="auto"/>
          <w:highlight w:val="none"/>
        </w:rPr>
      </w:pPr>
      <w:bookmarkStart w:id="1115" w:name="_Ref4423695"/>
      <w:r>
        <w:rPr>
          <w:rFonts w:hint="eastAsia" w:ascii="宋体" w:hAnsi="宋体" w:cs="宋体"/>
          <w:color w:val="auto"/>
          <w:highlight w:val="none"/>
        </w:rPr>
        <w:t>1.10.4除专用合同条件另有约定外，承包人在投标文件中采用的专利、专有技术、商业软件、技术秘密的使用费已包含在签约合同价中。</w:t>
      </w:r>
      <w:bookmarkEnd w:id="1115"/>
    </w:p>
    <w:p w14:paraId="64D262F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1.10.5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1A86EFA7">
      <w:pPr>
        <w:adjustRightInd w:val="0"/>
        <w:snapToGrid w:val="0"/>
        <w:spacing w:line="360" w:lineRule="auto"/>
        <w:rPr>
          <w:rFonts w:ascii="宋体" w:hAnsi="宋体"/>
          <w:b/>
          <w:color w:val="auto"/>
          <w:sz w:val="24"/>
          <w:highlight w:val="none"/>
        </w:rPr>
      </w:pPr>
      <w:bookmarkStart w:id="1116" w:name="_Toc54862188"/>
      <w:bookmarkStart w:id="1117" w:name="_Ref4423898"/>
      <w:bookmarkStart w:id="1118" w:name="_Ref4423873"/>
      <w:bookmarkStart w:id="1119" w:name="_Toc145081551"/>
      <w:bookmarkStart w:id="1120" w:name="_Toc161228636"/>
      <w:r>
        <w:rPr>
          <w:rFonts w:hint="eastAsia" w:ascii="宋体" w:hAnsi="宋体" w:eastAsia="宋体"/>
          <w:b/>
          <w:color w:val="auto"/>
          <w:sz w:val="24"/>
          <w:highlight w:val="none"/>
        </w:rPr>
        <w:t>1.11保密</w:t>
      </w:r>
      <w:bookmarkEnd w:id="1110"/>
      <w:bookmarkEnd w:id="1111"/>
      <w:bookmarkEnd w:id="1112"/>
      <w:bookmarkEnd w:id="1116"/>
      <w:bookmarkEnd w:id="1117"/>
      <w:bookmarkEnd w:id="1118"/>
      <w:bookmarkEnd w:id="1119"/>
      <w:bookmarkEnd w:id="1120"/>
    </w:p>
    <w:p w14:paraId="26FE7D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合同当事人一方对在订立和履行合同过程中知悉的另一方的商业秘密、技术秘密，以及任何一方明确要求保密的其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信息，负有保密责任。</w:t>
      </w:r>
    </w:p>
    <w:p w14:paraId="720334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除法律规定或合同另有约定外，未经对方同意，任何一方当事人不得将对方提供的文件、技术秘密以及声明需要保密的资料信息等商业秘密泄露给第三方或者用于本合同以外的目的。</w:t>
      </w:r>
    </w:p>
    <w:p w14:paraId="2A00B12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601DC40A">
      <w:pPr>
        <w:adjustRightInd w:val="0"/>
        <w:snapToGrid w:val="0"/>
        <w:spacing w:line="360" w:lineRule="auto"/>
        <w:rPr>
          <w:rFonts w:ascii="宋体" w:hAnsi="宋体"/>
          <w:b/>
          <w:color w:val="auto"/>
          <w:sz w:val="24"/>
          <w:highlight w:val="none"/>
        </w:rPr>
      </w:pPr>
      <w:bookmarkStart w:id="1121" w:name="_Toc161228637"/>
      <w:bookmarkStart w:id="1122" w:name="_Toc54862189"/>
      <w:bookmarkStart w:id="1123" w:name="_Ref532336812"/>
      <w:bookmarkStart w:id="1124" w:name="_Toc145081552"/>
      <w:r>
        <w:rPr>
          <w:rFonts w:hint="eastAsia" w:ascii="宋体" w:hAnsi="宋体" w:eastAsia="宋体"/>
          <w:b/>
          <w:color w:val="auto"/>
          <w:sz w:val="24"/>
          <w:highlight w:val="none"/>
        </w:rPr>
        <w:t>1.12</w:t>
      </w:r>
      <w:bookmarkStart w:id="1125" w:name="_Hlk55215423"/>
      <w:r>
        <w:rPr>
          <w:rFonts w:hint="eastAsia" w:ascii="宋体" w:hAnsi="宋体" w:eastAsia="宋体"/>
          <w:b/>
          <w:color w:val="auto"/>
          <w:sz w:val="24"/>
          <w:highlight w:val="none"/>
        </w:rPr>
        <w:t>《发包人要求》和基础资料中的错误</w:t>
      </w:r>
      <w:bookmarkEnd w:id="1121"/>
      <w:bookmarkEnd w:id="1122"/>
      <w:bookmarkEnd w:id="1123"/>
      <w:bookmarkEnd w:id="1124"/>
      <w:bookmarkEnd w:id="1125"/>
    </w:p>
    <w:p w14:paraId="55884D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承包人应尽早认真阅读、复核《发包人要求》以及其提供的基础资料，发现错误的，应及时书面通知发包人补正。发包人作相应修改的，按照第13条[变更与调整</w:t>
      </w:r>
      <w:bookmarkStart w:id="1126" w:name="_Ref523403409"/>
      <w:bookmarkStart w:id="1127" w:name="_Ref523403776"/>
      <w:r>
        <w:rPr>
          <w:rFonts w:hint="eastAsia" w:ascii="宋体" w:hAnsi="宋体" w:cs="宋体"/>
          <w:color w:val="auto"/>
          <w:szCs w:val="21"/>
          <w:highlight w:val="none"/>
        </w:rPr>
        <w:t>]的约定处理。</w:t>
      </w:r>
    </w:p>
    <w:p w14:paraId="3476D2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《发包人要求》或其提供的基础资料中的错误导致承包人增加费用和（或）工期延误的，发包人应承担由此增加的费用和（或）工期延误，并向承包人支付合理利润。</w:t>
      </w:r>
    </w:p>
    <w:bookmarkEnd w:id="1126"/>
    <w:bookmarkEnd w:id="1127"/>
    <w:p w14:paraId="3E627DA9">
      <w:pPr>
        <w:adjustRightInd w:val="0"/>
        <w:snapToGrid w:val="0"/>
        <w:spacing w:line="360" w:lineRule="auto"/>
        <w:rPr>
          <w:rFonts w:ascii="宋体" w:hAnsi="宋体"/>
          <w:b/>
          <w:color w:val="auto"/>
          <w:sz w:val="24"/>
          <w:highlight w:val="none"/>
        </w:rPr>
      </w:pPr>
      <w:bookmarkStart w:id="1128" w:name="_Ref531949933"/>
      <w:bookmarkStart w:id="1129" w:name="_Toc161228638"/>
      <w:bookmarkStart w:id="1130" w:name="_Toc145081553"/>
      <w:bookmarkStart w:id="1131" w:name="_Toc54862190"/>
      <w:bookmarkStart w:id="1132" w:name="_Ref531949937"/>
      <w:r>
        <w:rPr>
          <w:rFonts w:hint="eastAsia" w:ascii="宋体" w:hAnsi="宋体" w:eastAsia="宋体"/>
          <w:b/>
          <w:color w:val="auto"/>
          <w:sz w:val="24"/>
          <w:highlight w:val="none"/>
        </w:rPr>
        <w:t>1.13责任限制</w:t>
      </w:r>
      <w:bookmarkEnd w:id="1128"/>
      <w:bookmarkEnd w:id="1129"/>
      <w:bookmarkEnd w:id="1130"/>
      <w:bookmarkEnd w:id="1131"/>
      <w:bookmarkEnd w:id="1132"/>
    </w:p>
    <w:p w14:paraId="401DC57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089002FE">
      <w:pPr>
        <w:adjustRightInd w:val="0"/>
        <w:snapToGrid w:val="0"/>
        <w:spacing w:line="360" w:lineRule="auto"/>
        <w:rPr>
          <w:rFonts w:ascii="宋体" w:hAnsi="宋体"/>
          <w:b/>
          <w:color w:val="auto"/>
          <w:sz w:val="24"/>
          <w:highlight w:val="none"/>
        </w:rPr>
      </w:pPr>
      <w:bookmarkStart w:id="1133" w:name="_Toc161228639"/>
      <w:bookmarkStart w:id="1134" w:name="_Toc54862191"/>
      <w:bookmarkStart w:id="1135" w:name="_Toc145081554"/>
      <w:bookmarkStart w:id="1136" w:name="_Hlk51506160"/>
      <w:r>
        <w:rPr>
          <w:rFonts w:hint="eastAsia" w:ascii="宋体" w:hAnsi="宋体" w:eastAsia="宋体"/>
          <w:b/>
          <w:color w:val="auto"/>
          <w:sz w:val="24"/>
          <w:highlight w:val="none"/>
        </w:rPr>
        <w:t>1.14建筑信息模型技术的应用</w:t>
      </w:r>
      <w:bookmarkEnd w:id="1133"/>
      <w:bookmarkEnd w:id="1134"/>
      <w:bookmarkEnd w:id="1135"/>
    </w:p>
    <w:bookmarkEnd w:id="1136"/>
    <w:p w14:paraId="17B5D9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654F05A9">
      <w:pPr>
        <w:adjustRightInd w:val="0"/>
        <w:snapToGrid w:val="0"/>
        <w:spacing w:line="360" w:lineRule="auto"/>
        <w:rPr>
          <w:rFonts w:ascii="黑体" w:hAnsi="黑体" w:eastAsia="黑体"/>
          <w:color w:val="auto"/>
          <w:sz w:val="24"/>
          <w:highlight w:val="none"/>
        </w:rPr>
      </w:pPr>
      <w:bookmarkStart w:id="1137" w:name="_Ref4796511"/>
      <w:bookmarkStart w:id="1138" w:name="_Toc54862192"/>
      <w:bookmarkStart w:id="1139" w:name="_Toc161228640"/>
      <w:r>
        <w:rPr>
          <w:rFonts w:hint="eastAsia" w:ascii="黑体" w:hAnsi="黑体" w:eastAsia="黑体"/>
          <w:color w:val="auto"/>
          <w:sz w:val="24"/>
          <w:highlight w:val="none"/>
        </w:rPr>
        <w:t>第2条 发包人</w:t>
      </w:r>
      <w:bookmarkEnd w:id="1137"/>
      <w:bookmarkEnd w:id="1138"/>
      <w:bookmarkEnd w:id="1139"/>
    </w:p>
    <w:p w14:paraId="06B77D85">
      <w:pPr>
        <w:adjustRightInd w:val="0"/>
        <w:snapToGrid w:val="0"/>
        <w:spacing w:line="360" w:lineRule="auto"/>
        <w:rPr>
          <w:rFonts w:ascii="宋体" w:hAnsi="宋体"/>
          <w:b/>
          <w:color w:val="auto"/>
          <w:sz w:val="24"/>
          <w:highlight w:val="none"/>
        </w:rPr>
      </w:pPr>
      <w:bookmarkStart w:id="1140" w:name="_Toc54862193"/>
      <w:bookmarkStart w:id="1141" w:name="_Toc161228641"/>
      <w:bookmarkStart w:id="1142" w:name="_Toc145081556"/>
      <w:r>
        <w:rPr>
          <w:rFonts w:hint="eastAsia" w:ascii="宋体" w:hAnsi="宋体" w:eastAsia="宋体"/>
          <w:b/>
          <w:color w:val="auto"/>
          <w:sz w:val="24"/>
          <w:highlight w:val="none"/>
        </w:rPr>
        <w:t>2.1遵守法律</w:t>
      </w:r>
      <w:bookmarkEnd w:id="1140"/>
      <w:bookmarkEnd w:id="1141"/>
      <w:bookmarkEnd w:id="1142"/>
    </w:p>
    <w:p w14:paraId="339AEE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0578BDEC">
      <w:pPr>
        <w:adjustRightInd w:val="0"/>
        <w:snapToGrid w:val="0"/>
        <w:spacing w:line="360" w:lineRule="auto"/>
        <w:rPr>
          <w:rFonts w:ascii="宋体" w:hAnsi="宋体"/>
          <w:b/>
          <w:color w:val="auto"/>
          <w:sz w:val="24"/>
          <w:highlight w:val="none"/>
        </w:rPr>
      </w:pPr>
      <w:bookmarkStart w:id="1143" w:name="_Ref11917977"/>
      <w:bookmarkStart w:id="1144" w:name="_Toc145081557"/>
      <w:bookmarkStart w:id="1145" w:name="_Toc54862194"/>
      <w:bookmarkStart w:id="1146" w:name="_Ref11917995"/>
      <w:bookmarkStart w:id="1147" w:name="_Toc161228642"/>
      <w:r>
        <w:rPr>
          <w:rFonts w:hint="eastAsia" w:ascii="宋体" w:hAnsi="宋体" w:eastAsia="宋体"/>
          <w:b/>
          <w:color w:val="auto"/>
          <w:sz w:val="24"/>
          <w:highlight w:val="none"/>
        </w:rPr>
        <w:t>2.2提供施工现场和工作条件</w:t>
      </w:r>
      <w:bookmarkEnd w:id="1143"/>
      <w:bookmarkEnd w:id="1144"/>
      <w:bookmarkEnd w:id="1145"/>
      <w:bookmarkEnd w:id="1146"/>
      <w:bookmarkEnd w:id="1147"/>
      <w:bookmarkStart w:id="1148" w:name="_Toc54862195"/>
      <w:bookmarkEnd w:id="1148"/>
      <w:bookmarkStart w:id="1149" w:name="_Toc54862196"/>
      <w:bookmarkEnd w:id="1149"/>
      <w:bookmarkStart w:id="1150" w:name="_Toc51505124"/>
      <w:bookmarkEnd w:id="1150"/>
      <w:bookmarkStart w:id="1151" w:name="_Toc51505123"/>
      <w:bookmarkEnd w:id="1151"/>
      <w:bookmarkStart w:id="1152" w:name="_Toc51505125"/>
      <w:bookmarkEnd w:id="1152"/>
      <w:bookmarkStart w:id="1153" w:name="_Toc54862197"/>
      <w:bookmarkEnd w:id="1153"/>
      <w:bookmarkStart w:id="1154" w:name="_Ref531950085"/>
    </w:p>
    <w:p w14:paraId="142E981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2.2.1提供施工</w:t>
      </w:r>
      <w:bookmarkEnd w:id="1154"/>
      <w:r>
        <w:rPr>
          <w:rFonts w:hint="eastAsia" w:ascii="宋体" w:hAnsi="宋体" w:cs="宋体"/>
          <w:color w:val="auto"/>
          <w:kern w:val="0"/>
          <w:szCs w:val="20"/>
          <w:highlight w:val="none"/>
          <w:lang w:bidi="ar"/>
        </w:rPr>
        <w:t>现场</w:t>
      </w:r>
    </w:p>
    <w:p w14:paraId="1E5C33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4D5F92E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55" w:name="_Ref531950101"/>
      <w:r>
        <w:rPr>
          <w:rFonts w:hint="eastAsia" w:ascii="宋体" w:hAnsi="宋体" w:cs="宋体"/>
          <w:color w:val="auto"/>
          <w:kern w:val="0"/>
          <w:szCs w:val="20"/>
          <w:highlight w:val="none"/>
          <w:lang w:bidi="ar"/>
        </w:rPr>
        <w:t>2.2.2提供工作条件</w:t>
      </w:r>
      <w:bookmarkEnd w:id="1155"/>
    </w:p>
    <w:p w14:paraId="78BD207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发包人应按专用合同条件约定向承包人提供工作条件。专用合同条件对此没有约定的，发包人应负责提供开展本合同相关工作所需要的条件，包括：</w:t>
      </w:r>
    </w:p>
    <w:p w14:paraId="6BD6EA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（1）将施工用水、电力、通讯线路等施工所必需的条件接至施工现场内；</w:t>
      </w:r>
    </w:p>
    <w:p w14:paraId="59A67A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（2）保证向承包人提供正常施工所需要的进入施工现场的交通条件；</w:t>
      </w:r>
    </w:p>
    <w:p w14:paraId="0047186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（3）协调处理施工现场周围地下管线和邻近建筑物、构筑物、古树名木、文物、化石及坟墓等的保护工作，并承担相关费用；</w:t>
      </w:r>
    </w:p>
    <w:p w14:paraId="6405FC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（4）对工程现场临近发包人正在使用、运行或由发包人用于生产的建筑物、构筑物、生产装置、设施、设备等，设置隔离设施，</w:t>
      </w:r>
      <w:r>
        <w:rPr>
          <w:rFonts w:hint="eastAsia" w:ascii="宋体" w:hAnsi="宋体" w:cs="宋体"/>
          <w:color w:val="auto"/>
          <w:szCs w:val="21"/>
          <w:highlight w:val="none"/>
          <w:lang w:val="en-US" w:eastAsia="zh-CN"/>
        </w:rPr>
        <w:t>树</w:t>
      </w:r>
      <w:r>
        <w:rPr>
          <w:rFonts w:hint="eastAsia" w:ascii="宋体" w:hAnsi="宋体" w:cs="宋体"/>
          <w:color w:val="auto"/>
          <w:szCs w:val="21"/>
          <w:highlight w:val="none"/>
        </w:rPr>
        <w:t>立禁止入内、禁止动火的明显标志，并以书面形式通知承包人须遵守的安全规定和位置范围；</w:t>
      </w:r>
    </w:p>
    <w:p w14:paraId="2C048A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（5）按照专用合同条件约定应提供的其他设施和条件。</w:t>
      </w:r>
    </w:p>
    <w:p w14:paraId="431D2C0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2.2.3逾期提供的责任</w:t>
      </w:r>
    </w:p>
    <w:p w14:paraId="47E5FE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因发包人原因未能按合同约定及时向承包人提供施工现场和施工条件的，由发包人承担由此增加的费用和（或）延误的工期。</w:t>
      </w:r>
    </w:p>
    <w:p w14:paraId="1D49E5BF">
      <w:pPr>
        <w:adjustRightInd w:val="0"/>
        <w:snapToGrid w:val="0"/>
        <w:spacing w:line="360" w:lineRule="auto"/>
        <w:rPr>
          <w:rFonts w:ascii="宋体" w:hAnsi="宋体"/>
          <w:b/>
          <w:color w:val="auto"/>
          <w:sz w:val="24"/>
          <w:highlight w:val="none"/>
        </w:rPr>
      </w:pPr>
      <w:bookmarkStart w:id="1156" w:name="_Ref11918025"/>
      <w:bookmarkStart w:id="1157" w:name="_Ref11956654"/>
      <w:bookmarkStart w:id="1158" w:name="_Ref11918036"/>
      <w:bookmarkStart w:id="1159" w:name="_Toc54862198"/>
      <w:bookmarkStart w:id="1160" w:name="_Toc161228643"/>
      <w:bookmarkStart w:id="1161" w:name="_Ref11956647"/>
      <w:bookmarkStart w:id="1162" w:name="_Toc145081558"/>
      <w:r>
        <w:rPr>
          <w:rFonts w:hint="eastAsia" w:ascii="宋体" w:hAnsi="宋体" w:eastAsia="宋体"/>
          <w:b/>
          <w:color w:val="auto"/>
          <w:sz w:val="24"/>
          <w:highlight w:val="none"/>
        </w:rPr>
        <w:t>2.3提供基础资料</w:t>
      </w:r>
      <w:bookmarkEnd w:id="1156"/>
      <w:bookmarkEnd w:id="1157"/>
      <w:bookmarkEnd w:id="1158"/>
      <w:bookmarkEnd w:id="1159"/>
      <w:bookmarkEnd w:id="1160"/>
      <w:bookmarkEnd w:id="1161"/>
      <w:bookmarkEnd w:id="1162"/>
    </w:p>
    <w:p w14:paraId="5270F9CE">
      <w:pPr>
        <w:adjustRightInd w:val="0"/>
        <w:snapToGrid w:val="0"/>
        <w:spacing w:line="360" w:lineRule="auto"/>
        <w:ind w:firstLine="420" w:firstLineChars="200"/>
        <w:rPr>
          <w:rFonts w:ascii="宋体" w:hAnsi="宋体" w:cs="宋体"/>
          <w:color w:val="auto"/>
          <w:szCs w:val="21"/>
          <w:highlight w:val="none"/>
        </w:rPr>
      </w:pPr>
      <w:bookmarkStart w:id="1163" w:name="_Hlk51506429"/>
      <w:r>
        <w:rPr>
          <w:rFonts w:hint="eastAsia" w:ascii="宋体" w:hAnsi="宋体" w:cs="宋体"/>
          <w:color w:val="auto"/>
          <w:szCs w:val="21"/>
          <w:highlight w:val="none"/>
        </w:rPr>
        <w:t>发包人应按专用合同条件和《发包人要求》中的约定向承包人提供</w:t>
      </w:r>
      <w:bookmarkEnd w:id="1163"/>
      <w:r>
        <w:rPr>
          <w:rFonts w:hint="eastAsia" w:ascii="宋体" w:hAnsi="宋体" w:cs="宋体"/>
          <w:color w:val="auto"/>
          <w:szCs w:val="21"/>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4304DDC2">
      <w:pPr>
        <w:adjustRightInd w:val="0"/>
        <w:snapToGrid w:val="0"/>
        <w:spacing w:line="360" w:lineRule="auto"/>
        <w:rPr>
          <w:rFonts w:ascii="宋体" w:hAnsi="宋体"/>
          <w:b/>
          <w:color w:val="auto"/>
          <w:sz w:val="24"/>
          <w:highlight w:val="none"/>
        </w:rPr>
      </w:pPr>
      <w:bookmarkStart w:id="1164" w:name="_Ref531950045"/>
      <w:bookmarkStart w:id="1165" w:name="_Toc161228644"/>
      <w:bookmarkStart w:id="1166" w:name="_Toc54862199"/>
      <w:bookmarkStart w:id="1167" w:name="_Toc145081559"/>
      <w:bookmarkStart w:id="1168" w:name="_Ref531950041"/>
      <w:r>
        <w:rPr>
          <w:rFonts w:hint="eastAsia" w:ascii="宋体" w:hAnsi="宋体" w:eastAsia="宋体"/>
          <w:b/>
          <w:color w:val="auto"/>
          <w:sz w:val="24"/>
          <w:highlight w:val="none"/>
        </w:rPr>
        <w:t>2.4办理许可和批准</w:t>
      </w:r>
      <w:bookmarkEnd w:id="1164"/>
      <w:bookmarkEnd w:id="1165"/>
      <w:bookmarkEnd w:id="1166"/>
      <w:bookmarkEnd w:id="1167"/>
      <w:bookmarkEnd w:id="1168"/>
    </w:p>
    <w:p w14:paraId="6DF26D39">
      <w:pPr>
        <w:tabs>
          <w:tab w:val="left" w:pos="851"/>
        </w:tabs>
        <w:adjustRightInd w:val="0"/>
        <w:snapToGrid w:val="0"/>
        <w:spacing w:line="360" w:lineRule="auto"/>
        <w:ind w:firstLine="420" w:firstLineChars="200"/>
        <w:rPr>
          <w:rFonts w:ascii="宋体" w:hAnsi="宋体" w:cs="宋体"/>
          <w:color w:val="auto"/>
          <w:highlight w:val="none"/>
        </w:rPr>
      </w:pPr>
      <w:bookmarkStart w:id="1169" w:name="_Toc51505128"/>
      <w:r>
        <w:rPr>
          <w:rFonts w:hint="eastAsia" w:ascii="宋体" w:hAnsi="宋体" w:cs="宋体"/>
          <w:color w:val="auto"/>
          <w:highlight w:val="none"/>
        </w:rPr>
        <w:t>2.4.1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169"/>
    </w:p>
    <w:p w14:paraId="13AE03DB">
      <w:pPr>
        <w:tabs>
          <w:tab w:val="left" w:pos="851"/>
        </w:tabs>
        <w:adjustRightInd w:val="0"/>
        <w:snapToGrid w:val="0"/>
        <w:spacing w:line="360" w:lineRule="auto"/>
        <w:ind w:firstLine="420" w:firstLineChars="200"/>
        <w:rPr>
          <w:rFonts w:ascii="宋体" w:hAnsi="宋体" w:cs="宋体"/>
          <w:color w:val="auto"/>
          <w:highlight w:val="none"/>
        </w:rPr>
      </w:pPr>
      <w:bookmarkStart w:id="1170" w:name="_Toc51505129"/>
      <w:r>
        <w:rPr>
          <w:rFonts w:hint="eastAsia" w:ascii="宋体" w:hAnsi="宋体" w:cs="宋体"/>
          <w:color w:val="auto"/>
          <w:highlight w:val="none"/>
        </w:rPr>
        <w:t>2.4.2因发包人原因未能及时办理完毕前述许可、批准或备案，由发包人承担由此增加的费用和（或）延误的工期，并支付承包人合理的利润。</w:t>
      </w:r>
      <w:bookmarkEnd w:id="1170"/>
    </w:p>
    <w:p w14:paraId="732A6A43">
      <w:pPr>
        <w:adjustRightInd w:val="0"/>
        <w:snapToGrid w:val="0"/>
        <w:spacing w:line="360" w:lineRule="auto"/>
        <w:rPr>
          <w:rFonts w:ascii="宋体" w:hAnsi="宋体"/>
          <w:b/>
          <w:color w:val="auto"/>
          <w:sz w:val="24"/>
          <w:highlight w:val="none"/>
        </w:rPr>
      </w:pPr>
      <w:bookmarkStart w:id="1171" w:name="_Ref11956525"/>
      <w:bookmarkStart w:id="1172" w:name="_Ref11956533"/>
      <w:bookmarkStart w:id="1173" w:name="_Ref11918060"/>
      <w:bookmarkStart w:id="1174" w:name="_Ref11918070"/>
      <w:bookmarkStart w:id="1175" w:name="_Toc161228645"/>
      <w:bookmarkStart w:id="1176" w:name="_Toc54862200"/>
      <w:bookmarkStart w:id="1177" w:name="_Toc145081560"/>
      <w:r>
        <w:rPr>
          <w:rFonts w:hint="eastAsia" w:ascii="宋体" w:hAnsi="宋体" w:eastAsia="宋体"/>
          <w:b/>
          <w:color w:val="auto"/>
          <w:sz w:val="24"/>
          <w:highlight w:val="none"/>
        </w:rPr>
        <w:t>2.5支付合同价款</w:t>
      </w:r>
      <w:bookmarkEnd w:id="1171"/>
      <w:bookmarkEnd w:id="1172"/>
      <w:bookmarkEnd w:id="1173"/>
      <w:bookmarkEnd w:id="1174"/>
      <w:bookmarkEnd w:id="1175"/>
      <w:bookmarkEnd w:id="1176"/>
      <w:bookmarkEnd w:id="1177"/>
    </w:p>
    <w:p w14:paraId="7254A095">
      <w:pPr>
        <w:tabs>
          <w:tab w:val="left" w:pos="851"/>
        </w:tabs>
        <w:adjustRightInd w:val="0"/>
        <w:snapToGrid w:val="0"/>
        <w:spacing w:line="360" w:lineRule="auto"/>
        <w:ind w:firstLine="420" w:firstLineChars="200"/>
        <w:rPr>
          <w:rFonts w:ascii="宋体" w:hAnsi="宋体" w:cs="宋体"/>
          <w:color w:val="auto"/>
          <w:highlight w:val="none"/>
        </w:rPr>
      </w:pPr>
      <w:bookmarkStart w:id="1178" w:name="_Toc51505131"/>
      <w:bookmarkStart w:id="1179" w:name="_Ref531950147"/>
      <w:r>
        <w:rPr>
          <w:rFonts w:hint="eastAsia" w:ascii="宋体" w:hAnsi="宋体" w:cs="宋体"/>
          <w:color w:val="auto"/>
          <w:highlight w:val="none"/>
        </w:rPr>
        <w:t>2.5.1发包人应按合同约定向承包人及时支付合同价款。</w:t>
      </w:r>
      <w:bookmarkEnd w:id="1178"/>
    </w:p>
    <w:bookmarkEnd w:id="1179"/>
    <w:p w14:paraId="7A984262">
      <w:pPr>
        <w:tabs>
          <w:tab w:val="left" w:pos="851"/>
        </w:tabs>
        <w:adjustRightInd w:val="0"/>
        <w:snapToGrid w:val="0"/>
        <w:spacing w:line="360" w:lineRule="auto"/>
        <w:ind w:firstLine="420" w:firstLineChars="200"/>
        <w:rPr>
          <w:rFonts w:ascii="宋体" w:hAnsi="宋体" w:cs="宋体"/>
          <w:color w:val="auto"/>
          <w:highlight w:val="none"/>
        </w:rPr>
      </w:pPr>
      <w:bookmarkStart w:id="1180" w:name="_Toc51505132"/>
      <w:r>
        <w:rPr>
          <w:rFonts w:hint="eastAsia" w:ascii="宋体" w:hAnsi="宋体" w:cs="宋体"/>
          <w:color w:val="auto"/>
          <w:highlight w:val="none"/>
        </w:rPr>
        <w:t>2.5.2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180"/>
    </w:p>
    <w:p w14:paraId="79702103">
      <w:pPr>
        <w:tabs>
          <w:tab w:val="left" w:pos="851"/>
        </w:tabs>
        <w:adjustRightInd w:val="0"/>
        <w:snapToGrid w:val="0"/>
        <w:spacing w:line="360" w:lineRule="auto"/>
        <w:ind w:firstLine="420" w:firstLineChars="200"/>
        <w:rPr>
          <w:rFonts w:ascii="宋体" w:hAnsi="宋体" w:cs="宋体"/>
          <w:color w:val="auto"/>
          <w:highlight w:val="none"/>
        </w:rPr>
      </w:pPr>
      <w:bookmarkStart w:id="1181" w:name="_Ref531950161"/>
      <w:bookmarkStart w:id="1182" w:name="_Toc51505133"/>
      <w:r>
        <w:rPr>
          <w:rFonts w:hint="eastAsia" w:ascii="宋体" w:hAnsi="宋体" w:cs="宋体"/>
          <w:color w:val="auto"/>
          <w:highlight w:val="none"/>
        </w:rPr>
        <w:t>2.5.3发包人应当向承包人提供支付担保。支付担保可以采用银行保函或担保公司担保等形式，具体由合同当事人在专用合同条件中约定。</w:t>
      </w:r>
      <w:bookmarkEnd w:id="1181"/>
      <w:bookmarkEnd w:id="1182"/>
    </w:p>
    <w:p w14:paraId="785FABA9">
      <w:pPr>
        <w:adjustRightInd w:val="0"/>
        <w:snapToGrid w:val="0"/>
        <w:spacing w:line="360" w:lineRule="auto"/>
        <w:rPr>
          <w:rFonts w:ascii="宋体" w:hAnsi="宋体"/>
          <w:b/>
          <w:color w:val="auto"/>
          <w:sz w:val="24"/>
          <w:highlight w:val="none"/>
        </w:rPr>
      </w:pPr>
      <w:bookmarkStart w:id="1183" w:name="_Toc54862201"/>
      <w:bookmarkStart w:id="1184" w:name="_Toc161228646"/>
      <w:bookmarkStart w:id="1185" w:name="_Toc145081561"/>
      <w:r>
        <w:rPr>
          <w:rFonts w:hint="eastAsia" w:ascii="宋体" w:hAnsi="宋体" w:eastAsia="宋体"/>
          <w:b/>
          <w:color w:val="auto"/>
          <w:sz w:val="24"/>
          <w:highlight w:val="none"/>
        </w:rPr>
        <w:t>2.6现场管理配合</w:t>
      </w:r>
      <w:bookmarkEnd w:id="1183"/>
      <w:bookmarkEnd w:id="1184"/>
      <w:bookmarkEnd w:id="1185"/>
    </w:p>
    <w:p w14:paraId="40B65E2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发包人应负责保证在现场或现场附近的发包人人员和发包人的其他承包人（如有）：</w:t>
      </w:r>
    </w:p>
    <w:p w14:paraId="74F57F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（1）根据第7.3款[现场合作]的约定，与承包人进行合作；</w:t>
      </w:r>
    </w:p>
    <w:p w14:paraId="2677C9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（2）遵守第7.5款[现场劳动用工]、第7.6款[安全文明施工]、第7.7款[职业健康</w:t>
      </w:r>
      <w:bookmarkStart w:id="1186" w:name="_Ref531952761"/>
      <w:bookmarkStart w:id="1187" w:name="_Ref531952756"/>
      <w:r>
        <w:rPr>
          <w:rFonts w:hint="eastAsia" w:ascii="宋体" w:hAnsi="宋体" w:cs="宋体"/>
          <w:color w:val="auto"/>
          <w:szCs w:val="21"/>
          <w:highlight w:val="none"/>
        </w:rPr>
        <w:t>]和第7.8款[环境保护]的相关约定。</w:t>
      </w:r>
    </w:p>
    <w:p w14:paraId="2D877D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发包人应与承包人、由发包人直接发包的其他承包人（如有）订立施工现场统一管理协议，明确各方的权利义务。</w:t>
      </w:r>
    </w:p>
    <w:p w14:paraId="6AA99CEB">
      <w:pPr>
        <w:adjustRightInd w:val="0"/>
        <w:snapToGrid w:val="0"/>
        <w:spacing w:line="360" w:lineRule="auto"/>
        <w:rPr>
          <w:rFonts w:ascii="宋体" w:hAnsi="宋体"/>
          <w:b/>
          <w:color w:val="auto"/>
          <w:sz w:val="24"/>
          <w:highlight w:val="none"/>
        </w:rPr>
      </w:pPr>
      <w:bookmarkStart w:id="1188" w:name="_Ref11959376"/>
      <w:bookmarkStart w:id="1189" w:name="_Toc145081562"/>
      <w:bookmarkStart w:id="1190" w:name="_Ref11959372"/>
      <w:bookmarkStart w:id="1191" w:name="_Toc161228647"/>
      <w:bookmarkStart w:id="1192" w:name="_Toc54862202"/>
      <w:r>
        <w:rPr>
          <w:rFonts w:hint="eastAsia" w:ascii="宋体" w:hAnsi="宋体" w:eastAsia="宋体"/>
          <w:b/>
          <w:color w:val="auto"/>
          <w:sz w:val="24"/>
          <w:highlight w:val="none"/>
        </w:rPr>
        <w:t>2.7其他义务</w:t>
      </w:r>
      <w:bookmarkEnd w:id="1188"/>
      <w:bookmarkEnd w:id="1189"/>
      <w:bookmarkEnd w:id="1190"/>
      <w:bookmarkEnd w:id="1191"/>
      <w:bookmarkEnd w:id="1192"/>
    </w:p>
    <w:p w14:paraId="554F81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发包人应履行合同约定的其他义务，双方可在专用合同条件内对发包人应履行的其他义务进行补充约定。</w:t>
      </w:r>
    </w:p>
    <w:bookmarkEnd w:id="1186"/>
    <w:bookmarkEnd w:id="1187"/>
    <w:p w14:paraId="5FEAAE37">
      <w:pPr>
        <w:adjustRightInd w:val="0"/>
        <w:snapToGrid w:val="0"/>
        <w:spacing w:line="360" w:lineRule="auto"/>
        <w:rPr>
          <w:rFonts w:ascii="黑体" w:hAnsi="黑体" w:eastAsia="黑体"/>
          <w:color w:val="auto"/>
          <w:sz w:val="24"/>
          <w:highlight w:val="none"/>
        </w:rPr>
      </w:pPr>
      <w:bookmarkStart w:id="1193" w:name="_Toc161228648"/>
      <w:bookmarkStart w:id="1194" w:name="_Toc54862203"/>
      <w:bookmarkStart w:id="1195" w:name="_Ref531952791"/>
      <w:r>
        <w:rPr>
          <w:rFonts w:hint="eastAsia" w:ascii="黑体" w:hAnsi="黑体" w:eastAsia="黑体"/>
          <w:color w:val="auto"/>
          <w:sz w:val="24"/>
          <w:highlight w:val="none"/>
        </w:rPr>
        <w:t>第3条 发包人的管理</w:t>
      </w:r>
      <w:bookmarkEnd w:id="1193"/>
      <w:bookmarkEnd w:id="1194"/>
      <w:bookmarkEnd w:id="1195"/>
    </w:p>
    <w:p w14:paraId="1FA00F09">
      <w:pPr>
        <w:adjustRightInd w:val="0"/>
        <w:snapToGrid w:val="0"/>
        <w:spacing w:line="360" w:lineRule="auto"/>
        <w:rPr>
          <w:rFonts w:ascii="宋体" w:hAnsi="宋体"/>
          <w:b/>
          <w:color w:val="auto"/>
          <w:sz w:val="24"/>
          <w:highlight w:val="none"/>
        </w:rPr>
      </w:pPr>
      <w:bookmarkStart w:id="1196" w:name="_Ref522810094"/>
      <w:bookmarkStart w:id="1197" w:name="_Ref522810097"/>
      <w:bookmarkStart w:id="1198" w:name="_Toc54862204"/>
      <w:bookmarkStart w:id="1199" w:name="_Toc145081564"/>
      <w:bookmarkStart w:id="1200" w:name="_Ref531951538"/>
      <w:bookmarkStart w:id="1201" w:name="_Toc161228649"/>
      <w:bookmarkStart w:id="1202" w:name="_Ref531951533"/>
      <w:r>
        <w:rPr>
          <w:rFonts w:hint="eastAsia" w:ascii="宋体" w:hAnsi="宋体" w:eastAsia="宋体"/>
          <w:b/>
          <w:color w:val="auto"/>
          <w:sz w:val="24"/>
          <w:highlight w:val="none"/>
        </w:rPr>
        <w:t>3.1发包人</w:t>
      </w:r>
      <w:bookmarkEnd w:id="1196"/>
      <w:bookmarkEnd w:id="1197"/>
      <w:r>
        <w:rPr>
          <w:rFonts w:hint="eastAsia" w:ascii="宋体" w:hAnsi="宋体" w:eastAsia="宋体"/>
          <w:b/>
          <w:color w:val="auto"/>
          <w:sz w:val="24"/>
          <w:highlight w:val="none"/>
        </w:rPr>
        <w:t>代表</w:t>
      </w:r>
      <w:bookmarkEnd w:id="1198"/>
      <w:bookmarkEnd w:id="1199"/>
      <w:bookmarkEnd w:id="1200"/>
      <w:bookmarkEnd w:id="1201"/>
      <w:bookmarkEnd w:id="1202"/>
    </w:p>
    <w:p w14:paraId="47B6948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328E4F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除非发包人另行通知承包人，发包人代表应被授予并且被认为具有发包人在授权范围内享有的相应权利，涉及第16.1款[由发包人解除合同]的权利除外。</w:t>
      </w:r>
    </w:p>
    <w:p w14:paraId="570391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发包人代表（或者在其为法人的情况下，被任命代表其行事的自然人）应：</w:t>
      </w:r>
    </w:p>
    <w:p w14:paraId="17D5FE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（1）履行指派给其的职责，行使发包人托付给的权利；</w:t>
      </w:r>
    </w:p>
    <w:p w14:paraId="3259D5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（2）具备履行这些职责、行使这些权利的能力；</w:t>
      </w:r>
    </w:p>
    <w:p w14:paraId="37FECB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（3）作为熟练的专业人员行事。</w:t>
      </w:r>
    </w:p>
    <w:p w14:paraId="619537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4B4A36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2A97E0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发包人代表不能按照合同约定履行其职责及义务，并导致合同无法继续正常履行的，承包人可以要求发包人撤换发包人代表。</w:t>
      </w:r>
    </w:p>
    <w:p w14:paraId="665CB2B0">
      <w:pPr>
        <w:adjustRightInd w:val="0"/>
        <w:snapToGrid w:val="0"/>
        <w:spacing w:line="360" w:lineRule="auto"/>
        <w:rPr>
          <w:rFonts w:ascii="宋体" w:hAnsi="宋体"/>
          <w:b/>
          <w:color w:val="auto"/>
          <w:sz w:val="24"/>
          <w:highlight w:val="none"/>
        </w:rPr>
      </w:pPr>
      <w:bookmarkStart w:id="1203" w:name="_Toc54862205"/>
      <w:bookmarkStart w:id="1204" w:name="_Toc145081565"/>
      <w:bookmarkStart w:id="1205" w:name="_Ref531951557"/>
      <w:bookmarkStart w:id="1206" w:name="_Ref531951553"/>
      <w:bookmarkStart w:id="1207" w:name="_Toc161228650"/>
      <w:r>
        <w:rPr>
          <w:rFonts w:hint="eastAsia" w:ascii="宋体" w:hAnsi="宋体" w:eastAsia="宋体"/>
          <w:b/>
          <w:color w:val="auto"/>
          <w:sz w:val="24"/>
          <w:highlight w:val="none"/>
        </w:rPr>
        <w:t>3.2发包人人员</w:t>
      </w:r>
      <w:bookmarkEnd w:id="1203"/>
      <w:bookmarkEnd w:id="1204"/>
      <w:bookmarkEnd w:id="1205"/>
      <w:bookmarkEnd w:id="1206"/>
      <w:bookmarkEnd w:id="1207"/>
    </w:p>
    <w:p w14:paraId="31C1E7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05AD10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发包人应要求在施工现场的发包人人员遵守法律及有关安全、质量、环境保护、文明施工等规定，因发包人人员未遵守上述要求给承包人造成的损失和责任由发包人承担。</w:t>
      </w:r>
    </w:p>
    <w:p w14:paraId="19C54AB6">
      <w:pPr>
        <w:adjustRightInd w:val="0"/>
        <w:snapToGrid w:val="0"/>
        <w:spacing w:line="360" w:lineRule="auto"/>
        <w:rPr>
          <w:rFonts w:ascii="宋体" w:hAnsi="宋体"/>
          <w:b/>
          <w:color w:val="auto"/>
          <w:sz w:val="24"/>
          <w:highlight w:val="none"/>
        </w:rPr>
      </w:pPr>
      <w:bookmarkStart w:id="1208" w:name="_Toc145081566"/>
      <w:bookmarkStart w:id="1209" w:name="_Toc161228651"/>
      <w:bookmarkStart w:id="1210" w:name="_Toc54862206"/>
      <w:r>
        <w:rPr>
          <w:rFonts w:hint="eastAsia" w:ascii="宋体" w:hAnsi="宋体" w:eastAsia="宋体"/>
          <w:b/>
          <w:color w:val="auto"/>
          <w:sz w:val="24"/>
          <w:highlight w:val="none"/>
        </w:rPr>
        <w:t>3.3工程师</w:t>
      </w:r>
      <w:bookmarkEnd w:id="1208"/>
      <w:bookmarkEnd w:id="1209"/>
      <w:bookmarkEnd w:id="1210"/>
    </w:p>
    <w:p w14:paraId="638A977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3.3.1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69247C0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32ECB2D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2337C52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3.3.4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0900A36F">
      <w:pPr>
        <w:adjustRightInd w:val="0"/>
        <w:snapToGrid w:val="0"/>
        <w:spacing w:line="360" w:lineRule="auto"/>
        <w:rPr>
          <w:rFonts w:ascii="宋体" w:hAnsi="宋体"/>
          <w:b/>
          <w:color w:val="auto"/>
          <w:sz w:val="24"/>
          <w:highlight w:val="none"/>
        </w:rPr>
      </w:pPr>
      <w:bookmarkStart w:id="1211" w:name="_Toc161228652"/>
      <w:bookmarkStart w:id="1212" w:name="_Toc54862207"/>
      <w:bookmarkStart w:id="1213" w:name="_Toc145081567"/>
      <w:bookmarkStart w:id="1214" w:name="_Ref531951597"/>
      <w:bookmarkStart w:id="1215" w:name="_Ref531951594"/>
      <w:r>
        <w:rPr>
          <w:rFonts w:hint="eastAsia" w:ascii="宋体" w:hAnsi="宋体" w:eastAsia="宋体"/>
          <w:b/>
          <w:color w:val="auto"/>
          <w:sz w:val="24"/>
          <w:highlight w:val="none"/>
        </w:rPr>
        <w:t>3.4任命和授权</w:t>
      </w:r>
      <w:bookmarkEnd w:id="1211"/>
      <w:bookmarkEnd w:id="1212"/>
      <w:bookmarkEnd w:id="1213"/>
    </w:p>
    <w:p w14:paraId="6C09344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3.4.1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0728269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3.4.2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636AE244">
      <w:pPr>
        <w:adjustRightInd w:val="0"/>
        <w:snapToGrid w:val="0"/>
        <w:spacing w:line="360" w:lineRule="auto"/>
        <w:rPr>
          <w:rFonts w:ascii="宋体" w:hAnsi="宋体"/>
          <w:b/>
          <w:color w:val="auto"/>
          <w:sz w:val="24"/>
          <w:highlight w:val="none"/>
        </w:rPr>
      </w:pPr>
      <w:bookmarkStart w:id="1216" w:name="_Ref20165400"/>
      <w:bookmarkStart w:id="1217" w:name="_Toc161228653"/>
      <w:bookmarkStart w:id="1218" w:name="_Toc54862208"/>
      <w:bookmarkStart w:id="1219" w:name="_Toc145081568"/>
      <w:r>
        <w:rPr>
          <w:rFonts w:hint="eastAsia" w:ascii="宋体" w:hAnsi="宋体" w:eastAsia="宋体"/>
          <w:b/>
          <w:color w:val="auto"/>
          <w:sz w:val="24"/>
          <w:highlight w:val="none"/>
        </w:rPr>
        <w:t>3.5指示</w:t>
      </w:r>
      <w:bookmarkEnd w:id="1214"/>
      <w:bookmarkEnd w:id="1215"/>
      <w:bookmarkEnd w:id="1216"/>
      <w:bookmarkEnd w:id="1217"/>
      <w:bookmarkEnd w:id="1218"/>
      <w:bookmarkEnd w:id="1219"/>
    </w:p>
    <w:p w14:paraId="7B38CE6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3.5.1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7E12CBF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3.5.2承包人收到工程师作出的指示后应遵照执行。如果任何此类指示构成一项变更时，应按照第13条[变更与调整]的约定办理。</w:t>
      </w:r>
    </w:p>
    <w:p w14:paraId="4140A20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3.5.3由于工程师未能按合同约定发出指示、指示延误或指示错误而导致承包人费用增加和（或）工期延误的，发包人应承担由此增加的费用和（或）工期延误，并向承包人支付合理利润。</w:t>
      </w:r>
    </w:p>
    <w:p w14:paraId="6FD5927E">
      <w:pPr>
        <w:adjustRightInd w:val="0"/>
        <w:snapToGrid w:val="0"/>
        <w:spacing w:line="360" w:lineRule="auto"/>
        <w:rPr>
          <w:rFonts w:ascii="宋体" w:hAnsi="宋体"/>
          <w:b/>
          <w:color w:val="auto"/>
          <w:sz w:val="24"/>
          <w:highlight w:val="none"/>
        </w:rPr>
      </w:pPr>
      <w:bookmarkStart w:id="1220" w:name="_Ref531951611"/>
      <w:bookmarkStart w:id="1221" w:name="_Ref531951609"/>
      <w:bookmarkStart w:id="1222" w:name="_Toc54862209"/>
      <w:bookmarkStart w:id="1223" w:name="_Toc145081569"/>
      <w:bookmarkStart w:id="1224" w:name="_Toc161228654"/>
      <w:r>
        <w:rPr>
          <w:rFonts w:hint="eastAsia" w:ascii="宋体" w:hAnsi="宋体" w:eastAsia="宋体"/>
          <w:b/>
          <w:color w:val="auto"/>
          <w:sz w:val="24"/>
          <w:highlight w:val="none"/>
        </w:rPr>
        <w:t>3.6商定或确定</w:t>
      </w:r>
      <w:bookmarkEnd w:id="1220"/>
      <w:bookmarkEnd w:id="1221"/>
      <w:bookmarkEnd w:id="1222"/>
      <w:bookmarkEnd w:id="1223"/>
      <w:bookmarkEnd w:id="1224"/>
    </w:p>
    <w:p w14:paraId="30FC248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3.6.1合同约定工程师应按照本款对任何事项进行商定或确定时，工程师应及时与合同当事人协商，尽量达成一致。工程师应将商定的结果以书面形式通知发包人和承包人，并由双方签署确认。</w:t>
      </w:r>
    </w:p>
    <w:p w14:paraId="17A11B8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3.6.2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77C07CFE">
      <w:pPr>
        <w:tabs>
          <w:tab w:val="left" w:pos="851"/>
        </w:tabs>
        <w:adjustRightInd w:val="0"/>
        <w:snapToGrid w:val="0"/>
        <w:spacing w:line="360" w:lineRule="auto"/>
        <w:ind w:firstLine="420" w:firstLineChars="200"/>
        <w:rPr>
          <w:rFonts w:ascii="宋体" w:hAnsi="宋体" w:cs="宋体"/>
          <w:color w:val="auto"/>
          <w:highlight w:val="none"/>
        </w:rPr>
      </w:pPr>
      <w:bookmarkStart w:id="1225" w:name="_Ref532287856"/>
      <w:r>
        <w:rPr>
          <w:rFonts w:hint="eastAsia" w:ascii="宋体" w:hAnsi="宋体" w:cs="宋体"/>
          <w:color w:val="auto"/>
          <w:highlight w:val="none"/>
        </w:rPr>
        <w:t>3.6.3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225"/>
    </w:p>
    <w:p w14:paraId="4478DE0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3.6.4在该争议解决前，双方应暂按工程师的确定执行。按照第20条[争议解决]的约定对工程师的确定作出修改的，按修改后的结果执行，由此导致承包人增加的费用和延误的工期由责任方承担。</w:t>
      </w:r>
    </w:p>
    <w:p w14:paraId="4A90AF16">
      <w:pPr>
        <w:adjustRightInd w:val="0"/>
        <w:snapToGrid w:val="0"/>
        <w:spacing w:line="360" w:lineRule="auto"/>
        <w:rPr>
          <w:rFonts w:ascii="宋体" w:hAnsi="宋体"/>
          <w:b/>
          <w:color w:val="auto"/>
          <w:sz w:val="24"/>
          <w:highlight w:val="none"/>
        </w:rPr>
      </w:pPr>
      <w:bookmarkStart w:id="1226" w:name="_Toc161228655"/>
      <w:bookmarkStart w:id="1227" w:name="_Toc54862210"/>
      <w:bookmarkStart w:id="1228" w:name="_Ref531951749"/>
      <w:bookmarkStart w:id="1229" w:name="_Toc145081570"/>
      <w:bookmarkStart w:id="1230" w:name="_Ref531951747"/>
      <w:r>
        <w:rPr>
          <w:rFonts w:hint="eastAsia" w:ascii="宋体" w:hAnsi="宋体" w:eastAsia="宋体"/>
          <w:b/>
          <w:color w:val="auto"/>
          <w:sz w:val="24"/>
          <w:highlight w:val="none"/>
        </w:rPr>
        <w:t>3.7会议</w:t>
      </w:r>
      <w:bookmarkEnd w:id="1226"/>
      <w:bookmarkEnd w:id="1227"/>
      <w:bookmarkEnd w:id="1228"/>
      <w:bookmarkEnd w:id="1229"/>
      <w:bookmarkEnd w:id="1230"/>
    </w:p>
    <w:p w14:paraId="121173A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3.7.1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2109CE8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3.7.2除专用合同条件另有约定外，发包人应保存每次会议参加人签名的记录，并将会议纪要提供给出席会议的人员。任何根据此类会议以及会议纪要采取的行动应符合本合同的约定。</w:t>
      </w:r>
    </w:p>
    <w:p w14:paraId="111ED0B1">
      <w:pPr>
        <w:adjustRightInd w:val="0"/>
        <w:snapToGrid w:val="0"/>
        <w:spacing w:line="360" w:lineRule="auto"/>
        <w:rPr>
          <w:rFonts w:ascii="黑体" w:hAnsi="黑体" w:eastAsia="黑体"/>
          <w:color w:val="auto"/>
          <w:sz w:val="24"/>
          <w:highlight w:val="none"/>
        </w:rPr>
      </w:pPr>
      <w:bookmarkStart w:id="1231" w:name="_Toc54862211"/>
      <w:bookmarkStart w:id="1232" w:name="_Toc161228656"/>
      <w:bookmarkStart w:id="1233" w:name="_Ref531952805"/>
      <w:r>
        <w:rPr>
          <w:rFonts w:hint="eastAsia" w:ascii="黑体" w:hAnsi="黑体" w:eastAsia="黑体"/>
          <w:color w:val="auto"/>
          <w:sz w:val="24"/>
          <w:highlight w:val="none"/>
        </w:rPr>
        <w:t>第4条 承包人</w:t>
      </w:r>
      <w:bookmarkEnd w:id="1231"/>
      <w:bookmarkEnd w:id="1232"/>
      <w:bookmarkEnd w:id="1233"/>
    </w:p>
    <w:p w14:paraId="21575A67">
      <w:pPr>
        <w:adjustRightInd w:val="0"/>
        <w:snapToGrid w:val="0"/>
        <w:spacing w:line="360" w:lineRule="auto"/>
        <w:rPr>
          <w:rFonts w:ascii="宋体" w:hAnsi="宋体"/>
          <w:b/>
          <w:color w:val="auto"/>
          <w:sz w:val="24"/>
          <w:highlight w:val="none"/>
        </w:rPr>
      </w:pPr>
      <w:bookmarkStart w:id="1234" w:name="_Ref531951961"/>
      <w:bookmarkStart w:id="1235" w:name="_Ref531951958"/>
      <w:bookmarkStart w:id="1236" w:name="_Toc161228657"/>
      <w:bookmarkStart w:id="1237" w:name="_Toc54862212"/>
      <w:bookmarkStart w:id="1238" w:name="_Ref531951975"/>
      <w:bookmarkStart w:id="1239" w:name="_Toc145081572"/>
      <w:bookmarkStart w:id="1240" w:name="_Ref531951941"/>
      <w:bookmarkStart w:id="1241" w:name="_Ref531951945"/>
      <w:r>
        <w:rPr>
          <w:rFonts w:hint="eastAsia" w:ascii="宋体" w:hAnsi="宋体" w:eastAsia="宋体"/>
          <w:b/>
          <w:color w:val="auto"/>
          <w:sz w:val="24"/>
          <w:highlight w:val="none"/>
        </w:rPr>
        <w:t>4.1承包人的一般义务</w:t>
      </w:r>
      <w:bookmarkEnd w:id="1234"/>
      <w:bookmarkEnd w:id="1235"/>
      <w:bookmarkEnd w:id="1236"/>
      <w:bookmarkEnd w:id="1237"/>
      <w:bookmarkEnd w:id="1238"/>
      <w:bookmarkEnd w:id="1239"/>
      <w:bookmarkEnd w:id="1240"/>
      <w:bookmarkEnd w:id="1241"/>
    </w:p>
    <w:p w14:paraId="01BB6FE7">
      <w:pPr>
        <w:adjustRightInd w:val="0"/>
        <w:snapToGrid w:val="0"/>
        <w:spacing w:line="360" w:lineRule="auto"/>
        <w:ind w:firstLine="420" w:firstLineChars="200"/>
        <w:rPr>
          <w:rFonts w:ascii="宋体" w:hAnsi="宋体" w:cs="宋体"/>
          <w:color w:val="auto"/>
          <w:szCs w:val="21"/>
          <w:highlight w:val="none"/>
        </w:rPr>
      </w:pPr>
      <w:bookmarkStart w:id="1242" w:name="_Ref509046929"/>
      <w:r>
        <w:rPr>
          <w:rFonts w:hint="eastAsia" w:ascii="宋体" w:hAnsi="宋体" w:cs="宋体"/>
          <w:color w:val="auto"/>
          <w:szCs w:val="21"/>
          <w:highlight w:val="none"/>
        </w:rPr>
        <w:t>除专用合同条件另有约定外，承包人在履行合同过程中应遵守法律和工程建设标准规范，并履行以下义务：</w:t>
      </w:r>
    </w:p>
    <w:p w14:paraId="574804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（1）办理法律规定和合同约定由承包人办理的许可和批准，将办理结果书面报送发包人留存，并承担因承包人违反法律或合同约定给发包人造成的任何费用和损失；</w:t>
      </w:r>
    </w:p>
    <w:p w14:paraId="7CFB8D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（2）按合同约定完成全部工作并在缺陷责任期和保修期内承担缺陷保证责任和保修义务，对工作中的任何缺陷进行整改、完善和修补，使其满足合同约定的目的；</w:t>
      </w:r>
    </w:p>
    <w:p w14:paraId="530CB1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（3）提供合同约定的工程设备和承包人文件，以及为完成合同工作所需的劳务、材料、施工设备和其他物品，并按合同约定负责临时设施的设计、施工、运行、维护、管理和拆除；</w:t>
      </w:r>
    </w:p>
    <w:p w14:paraId="5508E3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（4）按合同约定的工作内容和进度要求，编制设计、施工的组织和实施计划，保证项目进度计划的实现，并对所有设计、施工作业和施工方法，以及全部工程的完备性和安全可靠性负责；</w:t>
      </w:r>
    </w:p>
    <w:p w14:paraId="4F512B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（5）按法律规定和合同约定采取安全文明施工、职业健康和环境保护措施，办理员工工伤保险等相关保险，确保工程及人员、材料、设备和设施的安全，防止因工程实施造成的人身伤害和财产损失；</w:t>
      </w:r>
    </w:p>
    <w:p w14:paraId="710A70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（6）将发包人按合同约定支付的各项价款专用于合同工程，且应及时支付其雇用人员（包括建筑工人）工资，并及时向分包人支付合同价款；</w:t>
      </w:r>
    </w:p>
    <w:p w14:paraId="1DE213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（7）在进行合同约定的各项工作时，不得侵害发包人与他人使用公用道路、水源、市政管网等公共设施的权利，避免对邻近的公共设施产生干扰。</w:t>
      </w:r>
    </w:p>
    <w:p w14:paraId="2C31CD35">
      <w:pPr>
        <w:adjustRightInd w:val="0"/>
        <w:snapToGrid w:val="0"/>
        <w:spacing w:line="360" w:lineRule="auto"/>
        <w:rPr>
          <w:rFonts w:ascii="宋体" w:hAnsi="宋体"/>
          <w:b/>
          <w:color w:val="auto"/>
          <w:sz w:val="24"/>
          <w:highlight w:val="none"/>
        </w:rPr>
      </w:pPr>
      <w:bookmarkStart w:id="1243" w:name="_Toc54862213"/>
      <w:bookmarkStart w:id="1244" w:name="_Toc161228658"/>
      <w:bookmarkStart w:id="1245" w:name="_Toc145081573"/>
      <w:bookmarkStart w:id="1246" w:name="_Ref4426803"/>
      <w:bookmarkStart w:id="1247" w:name="_Ref4428418"/>
      <w:r>
        <w:rPr>
          <w:rFonts w:hint="eastAsia" w:ascii="宋体" w:hAnsi="宋体" w:eastAsia="宋体"/>
          <w:b/>
          <w:color w:val="auto"/>
          <w:sz w:val="24"/>
          <w:highlight w:val="none"/>
        </w:rPr>
        <w:t>4.2履约担保</w:t>
      </w:r>
      <w:bookmarkEnd w:id="1243"/>
      <w:bookmarkEnd w:id="1244"/>
      <w:bookmarkEnd w:id="1245"/>
      <w:bookmarkEnd w:id="1246"/>
    </w:p>
    <w:p w14:paraId="4BDDC9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686A74F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承包人应保证其履约担保在发包人竣工验收前一直有效，发包人应在竣工验收合格后7天内将履约担保款项退还给承包人或者解除履约担保。</w:t>
      </w:r>
    </w:p>
    <w:p w14:paraId="7EF18AC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因承包人原因导致工期延长的，继续提供履约担保所增加的费用由承包人承担；非因承包人原因导致工期延长的，继续提供履约担保所增加的费用由发包人承担。</w:t>
      </w:r>
    </w:p>
    <w:bookmarkEnd w:id="1242"/>
    <w:bookmarkEnd w:id="1247"/>
    <w:p w14:paraId="4A9441AB">
      <w:pPr>
        <w:adjustRightInd w:val="0"/>
        <w:snapToGrid w:val="0"/>
        <w:spacing w:line="360" w:lineRule="auto"/>
        <w:rPr>
          <w:rFonts w:ascii="宋体" w:hAnsi="宋体"/>
          <w:b/>
          <w:color w:val="auto"/>
          <w:sz w:val="24"/>
          <w:highlight w:val="none"/>
        </w:rPr>
      </w:pPr>
      <w:bookmarkStart w:id="1248" w:name="_Ref532689108"/>
      <w:bookmarkStart w:id="1249" w:name="_Ref532689105"/>
      <w:bookmarkStart w:id="1250" w:name="_Toc54862214"/>
      <w:bookmarkStart w:id="1251" w:name="_Toc145081574"/>
      <w:bookmarkStart w:id="1252" w:name="_Toc161228659"/>
      <w:r>
        <w:rPr>
          <w:rFonts w:hint="eastAsia" w:ascii="宋体" w:hAnsi="宋体" w:eastAsia="宋体"/>
          <w:b/>
          <w:color w:val="auto"/>
          <w:sz w:val="24"/>
          <w:highlight w:val="none"/>
        </w:rPr>
        <w:t>4.3工程总承包项目经理</w:t>
      </w:r>
      <w:bookmarkEnd w:id="1248"/>
      <w:bookmarkEnd w:id="1249"/>
      <w:bookmarkEnd w:id="1250"/>
      <w:bookmarkEnd w:id="1251"/>
      <w:bookmarkEnd w:id="1252"/>
    </w:p>
    <w:p w14:paraId="745A1CC2">
      <w:pPr>
        <w:tabs>
          <w:tab w:val="left" w:pos="851"/>
        </w:tabs>
        <w:adjustRightInd w:val="0"/>
        <w:snapToGrid w:val="0"/>
        <w:spacing w:line="360" w:lineRule="auto"/>
        <w:ind w:firstLine="420" w:firstLineChars="200"/>
        <w:rPr>
          <w:rFonts w:ascii="宋体" w:hAnsi="宋体" w:cs="宋体"/>
          <w:color w:val="auto"/>
          <w:highlight w:val="none"/>
        </w:rPr>
      </w:pPr>
      <w:bookmarkStart w:id="1253" w:name="_Ref532351726"/>
      <w:r>
        <w:rPr>
          <w:rFonts w:hint="eastAsia" w:ascii="宋体" w:hAnsi="宋体" w:cs="宋体"/>
          <w:color w:val="auto"/>
          <w:highlight w:val="none"/>
        </w:rPr>
        <w:t>4.3.1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253"/>
    </w:p>
    <w:p w14:paraId="06D0164C">
      <w:pPr>
        <w:tabs>
          <w:tab w:val="left" w:pos="851"/>
        </w:tabs>
        <w:adjustRightInd w:val="0"/>
        <w:snapToGrid w:val="0"/>
        <w:spacing w:line="360" w:lineRule="auto"/>
        <w:ind w:firstLine="420" w:firstLineChars="200"/>
        <w:rPr>
          <w:rFonts w:ascii="宋体" w:hAnsi="宋体" w:cs="宋体"/>
          <w:color w:val="auto"/>
          <w:highlight w:val="none"/>
        </w:rPr>
      </w:pPr>
      <w:bookmarkStart w:id="1254" w:name="_Ref532689263"/>
      <w:r>
        <w:rPr>
          <w:rFonts w:hint="eastAsia" w:ascii="宋体" w:hAnsi="宋体" w:cs="宋体"/>
          <w:color w:val="auto"/>
          <w:highlight w:val="none"/>
        </w:rPr>
        <w:t>4.3.2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254"/>
    </w:p>
    <w:p w14:paraId="47C863E4">
      <w:pPr>
        <w:tabs>
          <w:tab w:val="left" w:pos="851"/>
        </w:tabs>
        <w:adjustRightInd w:val="0"/>
        <w:snapToGrid w:val="0"/>
        <w:spacing w:line="360" w:lineRule="auto"/>
        <w:ind w:firstLine="420" w:firstLineChars="200"/>
        <w:rPr>
          <w:rFonts w:ascii="宋体" w:hAnsi="宋体" w:cs="宋体"/>
          <w:color w:val="auto"/>
          <w:highlight w:val="none"/>
        </w:rPr>
      </w:pPr>
      <w:bookmarkStart w:id="1255" w:name="_Ref532689178"/>
      <w:bookmarkStart w:id="1256" w:name="_Ref531952112"/>
      <w:r>
        <w:rPr>
          <w:rFonts w:hint="eastAsia" w:ascii="宋体" w:hAnsi="宋体" w:cs="宋体"/>
          <w:color w:val="auto"/>
          <w:highlight w:val="none"/>
        </w:rPr>
        <w:t>4.3.3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255"/>
    </w:p>
    <w:bookmarkEnd w:id="1256"/>
    <w:p w14:paraId="796A7BCD">
      <w:pPr>
        <w:tabs>
          <w:tab w:val="left" w:pos="851"/>
        </w:tabs>
        <w:adjustRightInd w:val="0"/>
        <w:snapToGrid w:val="0"/>
        <w:spacing w:line="360" w:lineRule="auto"/>
        <w:ind w:firstLine="420" w:firstLineChars="200"/>
        <w:rPr>
          <w:rFonts w:ascii="宋体" w:hAnsi="宋体" w:cs="宋体"/>
          <w:color w:val="auto"/>
          <w:highlight w:val="none"/>
        </w:rPr>
      </w:pPr>
      <w:bookmarkStart w:id="1257" w:name="_Ref4426412"/>
      <w:r>
        <w:rPr>
          <w:rFonts w:hint="eastAsia" w:ascii="宋体" w:hAnsi="宋体" w:cs="宋体"/>
          <w:color w:val="auto"/>
          <w:highlight w:val="none"/>
        </w:rPr>
        <w:t>4.3.4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258" w:name="_Hlk55056591"/>
      <w:r>
        <w:rPr>
          <w:rFonts w:hint="eastAsia" w:ascii="宋体" w:hAnsi="宋体" w:cs="宋体"/>
          <w:color w:val="auto"/>
          <w:highlight w:val="none"/>
        </w:rPr>
        <w:t>应按照专用合同条件的约定承担违约责任。</w:t>
      </w:r>
      <w:bookmarkEnd w:id="1257"/>
      <w:bookmarkEnd w:id="1258"/>
    </w:p>
    <w:p w14:paraId="6E3BA62E">
      <w:pPr>
        <w:tabs>
          <w:tab w:val="left" w:pos="851"/>
        </w:tabs>
        <w:adjustRightInd w:val="0"/>
        <w:snapToGrid w:val="0"/>
        <w:spacing w:line="360" w:lineRule="auto"/>
        <w:ind w:firstLine="420" w:firstLineChars="200"/>
        <w:rPr>
          <w:rFonts w:ascii="宋体" w:hAnsi="宋体" w:cs="宋体"/>
          <w:color w:val="auto"/>
          <w:highlight w:val="none"/>
        </w:rPr>
      </w:pPr>
      <w:bookmarkStart w:id="1259" w:name="_Ref531952137"/>
      <w:r>
        <w:rPr>
          <w:rFonts w:hint="eastAsia" w:ascii="宋体" w:hAnsi="宋体" w:cs="宋体"/>
          <w:color w:val="auto"/>
          <w:highlight w:val="none"/>
        </w:rPr>
        <w:t>4.3.5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259"/>
    </w:p>
    <w:p w14:paraId="79F7804C">
      <w:pPr>
        <w:tabs>
          <w:tab w:val="left" w:pos="851"/>
        </w:tabs>
        <w:adjustRightInd w:val="0"/>
        <w:snapToGrid w:val="0"/>
        <w:spacing w:line="360" w:lineRule="auto"/>
        <w:ind w:firstLine="420" w:firstLineChars="200"/>
        <w:rPr>
          <w:rFonts w:ascii="宋体" w:hAnsi="宋体" w:cs="宋体"/>
          <w:color w:val="auto"/>
          <w:highlight w:val="none"/>
        </w:rPr>
      </w:pPr>
      <w:bookmarkStart w:id="1260" w:name="_Ref122620"/>
      <w:r>
        <w:rPr>
          <w:rFonts w:hint="eastAsia" w:ascii="宋体" w:hAnsi="宋体" w:cs="宋体"/>
          <w:color w:val="auto"/>
          <w:highlight w:val="none"/>
        </w:rPr>
        <w:t>4.3.6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260"/>
    </w:p>
    <w:p w14:paraId="17EE11B9">
      <w:pPr>
        <w:adjustRightInd w:val="0"/>
        <w:snapToGrid w:val="0"/>
        <w:spacing w:line="360" w:lineRule="auto"/>
        <w:rPr>
          <w:rFonts w:ascii="宋体" w:hAnsi="宋体"/>
          <w:b/>
          <w:color w:val="auto"/>
          <w:sz w:val="24"/>
          <w:highlight w:val="none"/>
        </w:rPr>
      </w:pPr>
      <w:bookmarkStart w:id="1261" w:name="_Ref531952172"/>
      <w:bookmarkStart w:id="1262" w:name="_Toc161228660"/>
      <w:bookmarkStart w:id="1263" w:name="_Ref531952175"/>
      <w:bookmarkStart w:id="1264" w:name="_Toc145081575"/>
      <w:bookmarkStart w:id="1265" w:name="_Toc54862215"/>
      <w:r>
        <w:rPr>
          <w:rFonts w:hint="eastAsia" w:ascii="宋体" w:hAnsi="宋体" w:eastAsia="宋体"/>
          <w:b/>
          <w:color w:val="auto"/>
          <w:sz w:val="24"/>
          <w:highlight w:val="none"/>
        </w:rPr>
        <w:t>4.4承包人人员</w:t>
      </w:r>
      <w:bookmarkEnd w:id="1261"/>
      <w:bookmarkEnd w:id="1262"/>
      <w:bookmarkEnd w:id="1263"/>
      <w:bookmarkEnd w:id="1264"/>
      <w:bookmarkEnd w:id="1265"/>
    </w:p>
    <w:p w14:paraId="01B6124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66" w:name="_Ref531952185"/>
      <w:r>
        <w:rPr>
          <w:rFonts w:hint="eastAsia" w:ascii="宋体" w:hAnsi="宋体" w:cs="宋体"/>
          <w:color w:val="auto"/>
          <w:kern w:val="0"/>
          <w:szCs w:val="20"/>
          <w:highlight w:val="none"/>
          <w:lang w:bidi="ar"/>
        </w:rPr>
        <w:t>4.4.1人员安排</w:t>
      </w:r>
      <w:bookmarkEnd w:id="1266"/>
    </w:p>
    <w:p w14:paraId="0CD582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71CC5D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关键人员</w:t>
      </w:r>
      <w:bookmarkStart w:id="1267" w:name="_Hlk16210335"/>
      <w:r>
        <w:rPr>
          <w:rFonts w:hint="eastAsia" w:ascii="宋体" w:hAnsi="宋体" w:cs="宋体"/>
          <w:color w:val="auto"/>
          <w:szCs w:val="21"/>
          <w:highlight w:val="none"/>
        </w:rPr>
        <w:t>是发包人及承包人一致认为对工程建设起重要作用的承包人主要管理人员或技术人员。关键人员的具体范围由发包人及承包人在附件5[承包人主要管理人员表]中另行约定。</w:t>
      </w:r>
    </w:p>
    <w:bookmarkEnd w:id="1267"/>
    <w:p w14:paraId="40F9C09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68" w:name="_Ref531952211"/>
      <w:bookmarkStart w:id="1269" w:name="_Ref4426641"/>
      <w:r>
        <w:rPr>
          <w:rFonts w:hint="eastAsia" w:ascii="宋体" w:hAnsi="宋体" w:cs="宋体"/>
          <w:color w:val="auto"/>
          <w:kern w:val="0"/>
          <w:szCs w:val="20"/>
          <w:highlight w:val="none"/>
          <w:lang w:bidi="ar"/>
        </w:rPr>
        <w:t>4.4.2关键人员更换</w:t>
      </w:r>
      <w:bookmarkEnd w:id="1268"/>
      <w:bookmarkEnd w:id="1269"/>
    </w:p>
    <w:p w14:paraId="081A0B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0663DE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0AE6644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70" w:name="_Ref531952227"/>
      <w:r>
        <w:rPr>
          <w:rFonts w:hint="eastAsia" w:ascii="宋体" w:hAnsi="宋体" w:cs="宋体"/>
          <w:color w:val="auto"/>
          <w:kern w:val="0"/>
          <w:szCs w:val="20"/>
          <w:highlight w:val="none"/>
          <w:lang w:bidi="ar"/>
        </w:rPr>
        <w:t>4.4.3现场管理关键人员在岗要求</w:t>
      </w:r>
      <w:bookmarkEnd w:id="1270"/>
    </w:p>
    <w:p w14:paraId="6F74C61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4EEA9E32">
      <w:pPr>
        <w:adjustRightInd w:val="0"/>
        <w:snapToGrid w:val="0"/>
        <w:spacing w:line="360" w:lineRule="auto"/>
        <w:rPr>
          <w:rFonts w:ascii="宋体" w:hAnsi="宋体"/>
          <w:b/>
          <w:color w:val="auto"/>
          <w:sz w:val="24"/>
          <w:highlight w:val="none"/>
        </w:rPr>
      </w:pPr>
      <w:bookmarkStart w:id="1271" w:name="_Toc161228661"/>
      <w:bookmarkStart w:id="1272" w:name="_Toc145081576"/>
      <w:bookmarkStart w:id="1273" w:name="_Ref531952259"/>
      <w:bookmarkStart w:id="1274" w:name="_Toc54862216"/>
      <w:bookmarkStart w:id="1275" w:name="_Ref531952262"/>
      <w:r>
        <w:rPr>
          <w:rFonts w:hint="eastAsia" w:ascii="宋体" w:hAnsi="宋体" w:eastAsia="宋体"/>
          <w:b/>
          <w:color w:val="auto"/>
          <w:sz w:val="24"/>
          <w:highlight w:val="none"/>
        </w:rPr>
        <w:t>4.5分包</w:t>
      </w:r>
      <w:bookmarkEnd w:id="1271"/>
      <w:bookmarkEnd w:id="1272"/>
      <w:bookmarkEnd w:id="1273"/>
      <w:bookmarkEnd w:id="1274"/>
      <w:bookmarkEnd w:id="1275"/>
    </w:p>
    <w:p w14:paraId="5C29C97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76" w:name="_Ref531952273"/>
      <w:r>
        <w:rPr>
          <w:rFonts w:hint="eastAsia" w:ascii="宋体" w:hAnsi="宋体" w:cs="宋体"/>
          <w:color w:val="auto"/>
          <w:kern w:val="0"/>
          <w:szCs w:val="20"/>
          <w:highlight w:val="none"/>
          <w:lang w:bidi="ar"/>
        </w:rPr>
        <w:t>4.5.1一般约定</w:t>
      </w:r>
      <w:bookmarkEnd w:id="1276"/>
    </w:p>
    <w:p w14:paraId="2E0A9D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4A47D1A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77" w:name="_Ref531952286"/>
      <w:r>
        <w:rPr>
          <w:rFonts w:hint="eastAsia" w:ascii="宋体" w:hAnsi="宋体" w:cs="宋体"/>
          <w:color w:val="auto"/>
          <w:kern w:val="0"/>
          <w:szCs w:val="20"/>
          <w:highlight w:val="none"/>
          <w:lang w:bidi="ar"/>
        </w:rPr>
        <w:t>4.5.2分包的确定</w:t>
      </w:r>
      <w:bookmarkEnd w:id="1277"/>
    </w:p>
    <w:p w14:paraId="309B6A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承包人应按照专用合同条件约定对工作事项进行分包，确定分包人。</w:t>
      </w:r>
    </w:p>
    <w:p w14:paraId="54A8C0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6067958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4.5.3分包人资质</w:t>
      </w:r>
    </w:p>
    <w:p w14:paraId="6804134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分包人应符合国家法律规定的资质等级，否则不能作为分包人。承包人有义务对分包人的资质进行审查。</w:t>
      </w:r>
    </w:p>
    <w:p w14:paraId="366BACF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4.5.4分包管理</w:t>
      </w:r>
    </w:p>
    <w:p w14:paraId="11C9D2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1EF4FA6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78" w:name="_Ref531952298"/>
      <w:r>
        <w:rPr>
          <w:rFonts w:hint="eastAsia" w:ascii="宋体" w:hAnsi="宋体" w:cs="宋体"/>
          <w:color w:val="auto"/>
          <w:kern w:val="0"/>
          <w:szCs w:val="20"/>
          <w:highlight w:val="none"/>
          <w:lang w:bidi="ar"/>
        </w:rPr>
        <w:t>4.5.5分包合同价款支付</w:t>
      </w:r>
      <w:bookmarkEnd w:id="1278"/>
    </w:p>
    <w:p w14:paraId="2C1EE0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（1）除本项第（2）目约定的情况或专用合同条件另有约定外，分包合同价款由承包人与分包人结算，未经承包人同意，发包人不得向分包人支付分包合同价款；</w:t>
      </w:r>
    </w:p>
    <w:p w14:paraId="37B9A145">
      <w:pPr>
        <w:adjustRightInd w:val="0"/>
        <w:snapToGrid w:val="0"/>
        <w:spacing w:line="360" w:lineRule="auto"/>
        <w:ind w:firstLine="420" w:firstLineChars="200"/>
        <w:rPr>
          <w:rFonts w:ascii="宋体" w:hAnsi="宋体" w:cs="宋体"/>
          <w:color w:val="auto"/>
          <w:szCs w:val="21"/>
          <w:highlight w:val="none"/>
        </w:rPr>
      </w:pPr>
      <w:bookmarkStart w:id="1279" w:name="_Ref4613798"/>
      <w:r>
        <w:rPr>
          <w:rFonts w:hint="eastAsia" w:ascii="宋体" w:hAnsi="宋体" w:cs="宋体"/>
          <w:color w:val="auto"/>
          <w:szCs w:val="21"/>
          <w:highlight w:val="none"/>
        </w:rPr>
        <w:t>（2）生效法律文书要求发包人向分包人支付分包合同价款的，发包人有权从应付承包人工程款中扣除该部分款项</w:t>
      </w:r>
      <w:bookmarkEnd w:id="1279"/>
      <w:r>
        <w:rPr>
          <w:rFonts w:hint="eastAsia" w:ascii="宋体" w:hAnsi="宋体" w:cs="宋体"/>
          <w:color w:val="auto"/>
          <w:szCs w:val="21"/>
          <w:highlight w:val="none"/>
        </w:rPr>
        <w:t>，将扣款直接支付给分包人，并书面通知承包人。</w:t>
      </w:r>
    </w:p>
    <w:p w14:paraId="1149FC7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4.5.6责任承担</w:t>
      </w:r>
    </w:p>
    <w:p w14:paraId="5BEB3F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承包人对分包人的行为向发包人负责，承包人和分包人就分包工作向发包人承担连带责任。</w:t>
      </w:r>
    </w:p>
    <w:p w14:paraId="11BFA9A9">
      <w:pPr>
        <w:adjustRightInd w:val="0"/>
        <w:snapToGrid w:val="0"/>
        <w:spacing w:line="360" w:lineRule="auto"/>
        <w:rPr>
          <w:rFonts w:ascii="宋体" w:hAnsi="宋体"/>
          <w:b/>
          <w:color w:val="auto"/>
          <w:sz w:val="24"/>
          <w:highlight w:val="none"/>
        </w:rPr>
      </w:pPr>
      <w:bookmarkStart w:id="1280" w:name="_Ref4426916"/>
      <w:bookmarkStart w:id="1281" w:name="_Toc161228662"/>
      <w:bookmarkStart w:id="1282" w:name="_Toc145081577"/>
      <w:bookmarkStart w:id="1283" w:name="_Toc54862217"/>
      <w:bookmarkStart w:id="1284" w:name="_Ref531952317"/>
      <w:bookmarkStart w:id="1285" w:name="_Ref4768805"/>
      <w:bookmarkStart w:id="1286" w:name="_Ref531952321"/>
      <w:r>
        <w:rPr>
          <w:rFonts w:hint="eastAsia" w:ascii="宋体" w:hAnsi="宋体" w:eastAsia="宋体"/>
          <w:b/>
          <w:color w:val="auto"/>
          <w:sz w:val="24"/>
          <w:highlight w:val="none"/>
        </w:rPr>
        <w:t>4.6联合体</w:t>
      </w:r>
      <w:bookmarkEnd w:id="1280"/>
      <w:bookmarkEnd w:id="1281"/>
      <w:bookmarkEnd w:id="1282"/>
      <w:bookmarkEnd w:id="1283"/>
    </w:p>
    <w:p w14:paraId="47FFF250">
      <w:pPr>
        <w:tabs>
          <w:tab w:val="left" w:pos="851"/>
        </w:tabs>
        <w:adjustRightInd w:val="0"/>
        <w:snapToGrid w:val="0"/>
        <w:spacing w:line="360" w:lineRule="auto"/>
        <w:ind w:firstLine="420" w:firstLineChars="200"/>
        <w:rPr>
          <w:rFonts w:ascii="宋体" w:hAnsi="宋体" w:cs="宋体"/>
          <w:color w:val="auto"/>
          <w:highlight w:val="none"/>
        </w:rPr>
      </w:pPr>
      <w:bookmarkStart w:id="1287" w:name="_Hlk16235129"/>
      <w:r>
        <w:rPr>
          <w:rFonts w:hint="eastAsia" w:ascii="宋体" w:hAnsi="宋体" w:cs="宋体"/>
          <w:color w:val="auto"/>
          <w:highlight w:val="none"/>
        </w:rPr>
        <w:t>4.6.1经发包人同意，</w:t>
      </w:r>
      <w:bookmarkEnd w:id="1287"/>
      <w:r>
        <w:rPr>
          <w:rFonts w:hint="eastAsia" w:ascii="宋体" w:hAnsi="宋体" w:cs="宋体"/>
          <w:color w:val="auto"/>
          <w:highlight w:val="none"/>
        </w:rPr>
        <w:t>以联合体方式承包工程的，联合体各方应共同与发包人订立合同协议书。联合体各方应为履行合同向发包人承担连带责任。</w:t>
      </w:r>
    </w:p>
    <w:p w14:paraId="4D5DB59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4.6.2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1FAB14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4.6.3联合体协议经发包人确认后作为合同附件。在履行合同过程中，未经发包人同意，不得变更联合体成员和其负责的工作范围，或者修改联合体协议中与本合同履行相关的内容。</w:t>
      </w:r>
    </w:p>
    <w:p w14:paraId="2881E8A9">
      <w:pPr>
        <w:adjustRightInd w:val="0"/>
        <w:snapToGrid w:val="0"/>
        <w:spacing w:line="360" w:lineRule="auto"/>
        <w:rPr>
          <w:rFonts w:ascii="宋体" w:hAnsi="宋体"/>
          <w:b/>
          <w:color w:val="auto"/>
          <w:sz w:val="24"/>
          <w:highlight w:val="none"/>
        </w:rPr>
      </w:pPr>
      <w:bookmarkStart w:id="1288" w:name="_Ref11926629"/>
      <w:bookmarkStart w:id="1289" w:name="_Toc145081578"/>
      <w:bookmarkStart w:id="1290" w:name="_Ref11926631"/>
      <w:bookmarkStart w:id="1291" w:name="_Toc161228663"/>
      <w:bookmarkStart w:id="1292" w:name="_Toc54862218"/>
      <w:r>
        <w:rPr>
          <w:rFonts w:hint="eastAsia" w:ascii="宋体" w:hAnsi="宋体" w:eastAsia="宋体"/>
          <w:b/>
          <w:color w:val="auto"/>
          <w:sz w:val="24"/>
          <w:highlight w:val="none"/>
        </w:rPr>
        <w:t>4.7承包人现场查勘</w:t>
      </w:r>
      <w:bookmarkEnd w:id="1288"/>
      <w:bookmarkEnd w:id="1289"/>
      <w:bookmarkEnd w:id="1290"/>
      <w:bookmarkEnd w:id="1291"/>
      <w:bookmarkEnd w:id="1292"/>
    </w:p>
    <w:p w14:paraId="2562C81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4.7.1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66FE039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4.7.2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219F0AA1">
      <w:pPr>
        <w:adjustRightInd w:val="0"/>
        <w:snapToGrid w:val="0"/>
        <w:spacing w:line="360" w:lineRule="auto"/>
        <w:rPr>
          <w:rFonts w:ascii="宋体" w:hAnsi="宋体"/>
          <w:b/>
          <w:color w:val="auto"/>
          <w:sz w:val="24"/>
          <w:highlight w:val="none"/>
        </w:rPr>
      </w:pPr>
      <w:bookmarkStart w:id="1293" w:name="_Toc54862219"/>
      <w:bookmarkStart w:id="1294" w:name="_Ref11918789"/>
      <w:bookmarkStart w:id="1295" w:name="_Toc145081579"/>
      <w:bookmarkStart w:id="1296" w:name="_Toc161228664"/>
      <w:bookmarkStart w:id="1297" w:name="_Ref11918626"/>
      <w:bookmarkStart w:id="1298" w:name="_Ref11918693"/>
      <w:bookmarkStart w:id="1299" w:name="不可预见的困难"/>
      <w:r>
        <w:rPr>
          <w:rFonts w:hint="eastAsia" w:ascii="宋体" w:hAnsi="宋体" w:eastAsia="宋体"/>
          <w:b/>
          <w:color w:val="auto"/>
          <w:sz w:val="24"/>
          <w:highlight w:val="none"/>
        </w:rPr>
        <w:t>4.8不可预见的困难</w:t>
      </w:r>
      <w:bookmarkEnd w:id="1284"/>
      <w:bookmarkEnd w:id="1285"/>
      <w:bookmarkEnd w:id="1286"/>
      <w:bookmarkEnd w:id="1293"/>
      <w:bookmarkEnd w:id="1294"/>
      <w:bookmarkEnd w:id="1295"/>
      <w:bookmarkEnd w:id="1296"/>
      <w:bookmarkEnd w:id="1297"/>
      <w:bookmarkEnd w:id="1298"/>
      <w:bookmarkEnd w:id="1299"/>
    </w:p>
    <w:p w14:paraId="50C97F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021099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1AC9525E">
      <w:pPr>
        <w:adjustRightInd w:val="0"/>
        <w:snapToGrid w:val="0"/>
        <w:spacing w:line="360" w:lineRule="auto"/>
        <w:rPr>
          <w:rFonts w:ascii="宋体" w:hAnsi="宋体"/>
          <w:b/>
          <w:color w:val="auto"/>
          <w:sz w:val="24"/>
          <w:highlight w:val="none"/>
        </w:rPr>
      </w:pPr>
      <w:bookmarkStart w:id="1300" w:name="_Toc161228665"/>
      <w:bookmarkStart w:id="1301" w:name="_Ref11926566"/>
      <w:bookmarkStart w:id="1302" w:name="_Ref11926570"/>
      <w:bookmarkStart w:id="1303" w:name="_Toc145081580"/>
      <w:bookmarkStart w:id="1304" w:name="_Toc54862220"/>
      <w:r>
        <w:rPr>
          <w:rFonts w:hint="eastAsia" w:ascii="宋体" w:hAnsi="宋体" w:eastAsia="宋体"/>
          <w:b/>
          <w:color w:val="auto"/>
          <w:sz w:val="24"/>
          <w:highlight w:val="none"/>
        </w:rPr>
        <w:t>4.9工程质量管理</w:t>
      </w:r>
      <w:bookmarkEnd w:id="1300"/>
      <w:bookmarkEnd w:id="1301"/>
      <w:bookmarkEnd w:id="1302"/>
      <w:bookmarkEnd w:id="1303"/>
      <w:bookmarkEnd w:id="1304"/>
    </w:p>
    <w:p w14:paraId="3357FC4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4.9.1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5BEF0D6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4.9.2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12A1278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4.9.3承包人应对其人员进行质量教育和技术培训，定期考核人员的劳动技能，严格执行相关规范和操作规程。</w:t>
      </w:r>
    </w:p>
    <w:p w14:paraId="39AA483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4.9.4承包人应按照法律规定和合同约定，对设计、材料、工程设备以及全部工程内容及其施工工艺进行全过程的质量检查和检验，并</w:t>
      </w:r>
      <w:r>
        <w:rPr>
          <w:rFonts w:hint="eastAsia" w:ascii="宋体" w:hAnsi="宋体" w:cs="宋体"/>
          <w:color w:val="auto"/>
          <w:highlight w:val="none"/>
          <w:lang w:val="en-US" w:eastAsia="zh-CN"/>
        </w:rPr>
        <w:t>做</w:t>
      </w:r>
      <w:r>
        <w:rPr>
          <w:rFonts w:hint="eastAsia" w:ascii="宋体" w:hAnsi="宋体" w:cs="宋体"/>
          <w:color w:val="auto"/>
          <w:highlight w:val="none"/>
        </w:rPr>
        <w:t>详细记录，编制工程质量报表，报送工程师审查。此外，承包人还应按照法律规定和合同约定，进行施工现场取样试验、工程复核测量和设备性能检测，提供试验样品、提交试验报告和测量成果以及其他工作。</w:t>
      </w:r>
    </w:p>
    <w:p w14:paraId="57790B12">
      <w:pPr>
        <w:adjustRightInd w:val="0"/>
        <w:snapToGrid w:val="0"/>
        <w:spacing w:line="360" w:lineRule="auto"/>
        <w:rPr>
          <w:rFonts w:ascii="黑体" w:hAnsi="黑体" w:eastAsia="黑体"/>
          <w:color w:val="auto"/>
          <w:sz w:val="24"/>
          <w:highlight w:val="none"/>
        </w:rPr>
      </w:pPr>
      <w:bookmarkStart w:id="1305" w:name="_Toc54862221"/>
      <w:bookmarkStart w:id="1306" w:name="_Toc161228666"/>
      <w:bookmarkStart w:id="1307" w:name="_Ref531952837"/>
      <w:r>
        <w:rPr>
          <w:rFonts w:hint="eastAsia" w:ascii="黑体" w:hAnsi="黑体" w:eastAsia="黑体"/>
          <w:color w:val="auto"/>
          <w:sz w:val="24"/>
          <w:highlight w:val="none"/>
        </w:rPr>
        <w:t>第5条 设计</w:t>
      </w:r>
      <w:bookmarkEnd w:id="1305"/>
      <w:bookmarkEnd w:id="1306"/>
      <w:bookmarkEnd w:id="1307"/>
    </w:p>
    <w:p w14:paraId="7D56F018">
      <w:pPr>
        <w:adjustRightInd w:val="0"/>
        <w:snapToGrid w:val="0"/>
        <w:spacing w:line="360" w:lineRule="auto"/>
        <w:rPr>
          <w:rFonts w:ascii="宋体" w:hAnsi="宋体"/>
          <w:b/>
          <w:color w:val="auto"/>
          <w:sz w:val="24"/>
          <w:highlight w:val="none"/>
        </w:rPr>
      </w:pPr>
      <w:bookmarkStart w:id="1308" w:name="_Toc54862222"/>
      <w:bookmarkStart w:id="1309" w:name="_Toc161228667"/>
      <w:bookmarkStart w:id="1310" w:name="_Toc145081582"/>
      <w:bookmarkStart w:id="1311" w:name="_Ref531952863"/>
      <w:bookmarkStart w:id="1312" w:name="_Ref531952860"/>
      <w:r>
        <w:rPr>
          <w:rFonts w:hint="eastAsia" w:ascii="宋体" w:hAnsi="宋体" w:eastAsia="宋体"/>
          <w:b/>
          <w:color w:val="auto"/>
          <w:sz w:val="24"/>
          <w:highlight w:val="none"/>
        </w:rPr>
        <w:t>5.1承包人的设计义务</w:t>
      </w:r>
      <w:bookmarkEnd w:id="1308"/>
      <w:bookmarkEnd w:id="1309"/>
      <w:bookmarkEnd w:id="1310"/>
      <w:bookmarkEnd w:id="1311"/>
      <w:bookmarkEnd w:id="1312"/>
    </w:p>
    <w:p w14:paraId="4047062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13" w:name="_Ref531952881"/>
      <w:r>
        <w:rPr>
          <w:rFonts w:hint="eastAsia" w:ascii="宋体" w:hAnsi="宋体" w:cs="宋体"/>
          <w:color w:val="auto"/>
          <w:kern w:val="0"/>
          <w:szCs w:val="20"/>
          <w:highlight w:val="none"/>
          <w:lang w:bidi="ar"/>
        </w:rPr>
        <w:t>5.1.1设计义务的一般要求</w:t>
      </w:r>
      <w:bookmarkEnd w:id="1313"/>
    </w:p>
    <w:p w14:paraId="5B171E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B39E67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14" w:name="_Ref531952952"/>
      <w:bookmarkStart w:id="1315" w:name="_Ref531952899"/>
      <w:r>
        <w:rPr>
          <w:rFonts w:hint="eastAsia" w:ascii="宋体" w:hAnsi="宋体" w:cs="宋体"/>
          <w:color w:val="auto"/>
          <w:kern w:val="0"/>
          <w:szCs w:val="20"/>
          <w:highlight w:val="none"/>
          <w:lang w:bidi="ar"/>
        </w:rPr>
        <w:t>5.1.2对设计人员的要求</w:t>
      </w:r>
      <w:bookmarkEnd w:id="1314"/>
    </w:p>
    <w:p w14:paraId="49160C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1315"/>
    <w:p w14:paraId="23E7C16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5.1.3法律和标准的变化</w:t>
      </w:r>
    </w:p>
    <w:p w14:paraId="1D6D69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58FA79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在基准日期之后，因国家颁布新的强制性规范、标准导致承包人的费用变化的，发包人应合理调整合同价格；导致工期延误的，发包人应合理延长工期。</w:t>
      </w:r>
    </w:p>
    <w:p w14:paraId="185A0261">
      <w:pPr>
        <w:adjustRightInd w:val="0"/>
        <w:snapToGrid w:val="0"/>
        <w:spacing w:line="360" w:lineRule="auto"/>
        <w:rPr>
          <w:rFonts w:ascii="宋体" w:hAnsi="宋体"/>
          <w:b/>
          <w:color w:val="auto"/>
          <w:sz w:val="24"/>
          <w:highlight w:val="none"/>
        </w:rPr>
      </w:pPr>
      <w:bookmarkStart w:id="1316" w:name="_Ref531953054"/>
      <w:bookmarkStart w:id="1317" w:name="_Toc145081583"/>
      <w:bookmarkStart w:id="1318" w:name="_Ref531953051"/>
      <w:bookmarkStart w:id="1319" w:name="_Toc54862223"/>
      <w:bookmarkStart w:id="1320" w:name="_Toc161228668"/>
      <w:r>
        <w:rPr>
          <w:rFonts w:hint="eastAsia" w:ascii="宋体" w:hAnsi="宋体" w:eastAsia="宋体"/>
          <w:b/>
          <w:color w:val="auto"/>
          <w:sz w:val="24"/>
          <w:highlight w:val="none"/>
        </w:rPr>
        <w:t>5.2承包人文件审查</w:t>
      </w:r>
      <w:bookmarkEnd w:id="1316"/>
      <w:bookmarkEnd w:id="1317"/>
      <w:bookmarkEnd w:id="1318"/>
      <w:bookmarkEnd w:id="1319"/>
      <w:bookmarkEnd w:id="1320"/>
    </w:p>
    <w:p w14:paraId="3104AD83">
      <w:pPr>
        <w:tabs>
          <w:tab w:val="left" w:pos="851"/>
        </w:tabs>
        <w:adjustRightInd w:val="0"/>
        <w:snapToGrid w:val="0"/>
        <w:spacing w:line="360" w:lineRule="auto"/>
        <w:ind w:firstLine="420" w:firstLineChars="200"/>
        <w:rPr>
          <w:rFonts w:ascii="宋体" w:hAnsi="宋体" w:cs="宋体"/>
          <w:color w:val="auto"/>
          <w:highlight w:val="none"/>
        </w:rPr>
      </w:pPr>
      <w:bookmarkStart w:id="1321" w:name="_Ref531953064"/>
      <w:r>
        <w:rPr>
          <w:rFonts w:hint="eastAsia" w:ascii="宋体" w:hAnsi="宋体" w:cs="宋体"/>
          <w:color w:val="auto"/>
          <w:highlight w:val="none"/>
        </w:rPr>
        <w:t>5.2.1根据《发包人要求》应当通过工程师报发包人审查同意的承包人文件，承包人应当按照《发包人要求》约定的范围和内容及时报送审查。</w:t>
      </w:r>
      <w:bookmarkEnd w:id="1321"/>
    </w:p>
    <w:p w14:paraId="441FD0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3B99D4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发包人同意承包人文件的，应及时通知承包人，发包人不同意承包人文件的，应在审查期限内通过工程师以书面形式通知承包人，并说明不同意的具体内容和理由。</w:t>
      </w:r>
    </w:p>
    <w:p w14:paraId="141A2D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承包人对发包人的意见按以下方式处理：</w:t>
      </w:r>
    </w:p>
    <w:p w14:paraId="463561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（1）发包人的意见构成变更的，承包人应在7天内通知发包人按照第13条[变更与调整]中关于发包人指示变更的约定执行，双方对是否构成变更无法达成一致的，按照第20条[争议解决]的约定执行；</w:t>
      </w:r>
    </w:p>
    <w:p w14:paraId="4B7F29A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（2）因承包人原因导致无法通过审查的，承包人应根据发包人的书面说明，对承包人文件进行修改后重新报送发包人审查，审查期重新起算。因此引起的工期延长和必要的工程费用增加，由承包人负责。</w:t>
      </w:r>
    </w:p>
    <w:p w14:paraId="6848E2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合同约定的审查期满，发包人没有做出审查结论也没有提出异议的，视为承包人文件已获发包人同意。</w:t>
      </w:r>
    </w:p>
    <w:p w14:paraId="72EB7A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发包人对承包人文件的审查和同意不得被理解为对合同的修改或改变，也并不减轻或免除承包人任何的责任和义务。</w:t>
      </w:r>
    </w:p>
    <w:p w14:paraId="3F8AC74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5.2.2承包人文件不需要政府有关部门或专用合同条件约定的第三方审查单位审查或批准的，承包人应当严格按照经发包人审查同意的承包人文件设计和实施工程。</w:t>
      </w:r>
    </w:p>
    <w:p w14:paraId="00DA25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32F7A1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发包人有义务向承包人提供审查会议的批准文件和纪要。承包人有义务按照相关审查会议批准的文件和纪要，并依据合同约定及相关技术标准，对承包人文件进行修改、补充和完善。</w:t>
      </w:r>
    </w:p>
    <w:p w14:paraId="240AB8D5">
      <w:pPr>
        <w:tabs>
          <w:tab w:val="left" w:pos="851"/>
        </w:tabs>
        <w:adjustRightInd w:val="0"/>
        <w:snapToGrid w:val="0"/>
        <w:spacing w:line="360" w:lineRule="auto"/>
        <w:ind w:firstLine="420" w:firstLineChars="200"/>
        <w:rPr>
          <w:rFonts w:ascii="宋体" w:hAnsi="宋体" w:cs="宋体"/>
          <w:color w:val="auto"/>
          <w:highlight w:val="none"/>
        </w:rPr>
      </w:pPr>
      <w:bookmarkStart w:id="1322" w:name="_Ref531953074"/>
      <w:r>
        <w:rPr>
          <w:rFonts w:hint="eastAsia" w:ascii="宋体" w:hAnsi="宋体" w:cs="宋体"/>
          <w:color w:val="auto"/>
          <w:highlight w:val="none"/>
        </w:rPr>
        <w:t>5.2.3承包人文件需政府有关部门或专用合同条件约定的第三方审查单位审查或批准的，发包人应在发包人审查同意承包人文件后7天内，向政府有关部门或第三方报送承包人文件，承包人应予以协助。</w:t>
      </w:r>
      <w:bookmarkEnd w:id="1322"/>
    </w:p>
    <w:p w14:paraId="2C714F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4B8787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4C60B6EE">
      <w:pPr>
        <w:adjustRightInd w:val="0"/>
        <w:snapToGrid w:val="0"/>
        <w:spacing w:line="360" w:lineRule="auto"/>
        <w:rPr>
          <w:rFonts w:ascii="宋体" w:hAnsi="宋体"/>
          <w:b/>
          <w:color w:val="auto"/>
          <w:sz w:val="24"/>
          <w:highlight w:val="none"/>
        </w:rPr>
      </w:pPr>
      <w:bookmarkStart w:id="1323" w:name="_Toc54862224"/>
      <w:bookmarkStart w:id="1324" w:name="_Toc145081584"/>
      <w:bookmarkStart w:id="1325" w:name="_Ref531953097"/>
      <w:bookmarkStart w:id="1326" w:name="_Ref531953095"/>
      <w:bookmarkStart w:id="1327" w:name="_Toc161228669"/>
      <w:r>
        <w:rPr>
          <w:rFonts w:hint="eastAsia" w:ascii="宋体" w:hAnsi="宋体" w:eastAsia="宋体"/>
          <w:b/>
          <w:color w:val="auto"/>
          <w:sz w:val="24"/>
          <w:highlight w:val="none"/>
        </w:rPr>
        <w:t>5.3培训</w:t>
      </w:r>
      <w:bookmarkEnd w:id="1323"/>
      <w:bookmarkEnd w:id="1324"/>
      <w:bookmarkEnd w:id="1325"/>
      <w:bookmarkEnd w:id="1326"/>
      <w:bookmarkEnd w:id="1327"/>
    </w:p>
    <w:p w14:paraId="5783E2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承包人应按照《发包人要求》，对发包人的雇员或其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发包人指定的人员进行工程操作、维修或</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中约定的培训。合同约定接收之前进行培训的，应在第10.1款[竣工验收]约定的竣工验收前或试运行结束前完成培训。</w:t>
      </w:r>
    </w:p>
    <w:p w14:paraId="5F4B33D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培训的时长应由双方在专用合同条件中约定，承包人应为培训提供有经验的人员、设施和其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必要条件。</w:t>
      </w:r>
    </w:p>
    <w:p w14:paraId="1E5295F0">
      <w:pPr>
        <w:adjustRightInd w:val="0"/>
        <w:snapToGrid w:val="0"/>
        <w:spacing w:line="360" w:lineRule="auto"/>
        <w:rPr>
          <w:rFonts w:ascii="宋体" w:hAnsi="宋体"/>
          <w:b/>
          <w:color w:val="auto"/>
          <w:sz w:val="24"/>
          <w:highlight w:val="none"/>
        </w:rPr>
      </w:pPr>
      <w:bookmarkStart w:id="1328" w:name="_Toc54862225"/>
      <w:bookmarkStart w:id="1329" w:name="_Toc145081585"/>
      <w:bookmarkStart w:id="1330" w:name="_Ref531953108"/>
      <w:bookmarkStart w:id="1331" w:name="_Toc161228670"/>
      <w:bookmarkStart w:id="1332" w:name="_Ref531953105"/>
      <w:r>
        <w:rPr>
          <w:rFonts w:hint="eastAsia" w:ascii="宋体" w:hAnsi="宋体" w:eastAsia="宋体"/>
          <w:b/>
          <w:color w:val="auto"/>
          <w:sz w:val="24"/>
          <w:highlight w:val="none"/>
        </w:rPr>
        <w:t>5.4竣工文件</w:t>
      </w:r>
      <w:bookmarkEnd w:id="1328"/>
      <w:bookmarkEnd w:id="1329"/>
      <w:bookmarkEnd w:id="1330"/>
      <w:bookmarkEnd w:id="1331"/>
      <w:bookmarkEnd w:id="1332"/>
    </w:p>
    <w:p w14:paraId="76AD0A30">
      <w:pPr>
        <w:tabs>
          <w:tab w:val="left" w:pos="851"/>
        </w:tabs>
        <w:adjustRightInd w:val="0"/>
        <w:snapToGrid w:val="0"/>
        <w:spacing w:line="360" w:lineRule="auto"/>
        <w:ind w:firstLine="420" w:firstLineChars="200"/>
        <w:rPr>
          <w:rFonts w:ascii="宋体" w:hAnsi="宋体" w:cs="宋体"/>
          <w:color w:val="auto"/>
          <w:highlight w:val="none"/>
        </w:rPr>
      </w:pPr>
      <w:bookmarkStart w:id="1333" w:name="_Ref531953134"/>
      <w:r>
        <w:rPr>
          <w:rFonts w:hint="eastAsia" w:ascii="宋体" w:hAnsi="宋体" w:cs="宋体"/>
          <w:color w:val="auto"/>
          <w:highlight w:val="none"/>
        </w:rPr>
        <w:t>5.4.1承包人应编制并及时更新反映工程实施结果的竣工记录，如实记载竣工工程的确切位置、尺寸和已实施工作的详细说明。竣工文件的形式、技术标准以及其</w:t>
      </w:r>
      <w:r>
        <w:rPr>
          <w:rFonts w:hint="eastAsia" w:ascii="宋体" w:hAnsi="宋体" w:cs="宋体"/>
          <w:color w:val="auto"/>
          <w:highlight w:val="none"/>
          <w:lang w:val="en-US" w:eastAsia="zh-CN"/>
        </w:rPr>
        <w:t>他</w:t>
      </w:r>
      <w:r>
        <w:rPr>
          <w:rFonts w:hint="eastAsia" w:ascii="宋体" w:hAnsi="宋体" w:cs="宋体"/>
          <w:color w:val="auto"/>
          <w:highlight w:val="none"/>
        </w:rPr>
        <w:t>相关内容应按照相关法律法规、行业标准与《发包人要求》执行。竣工记录应保存在施工现场，并在竣工试验开始前，按照专用合同条件约定的份数提交给工程师。</w:t>
      </w:r>
      <w:bookmarkEnd w:id="1333"/>
    </w:p>
    <w:p w14:paraId="15B68AC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5.4.2在颁发工程接收证书之前，承包人应按照《发包人要求》的份数和形式向工程师提交相应竣工图纸，并取得工程师对尺寸、参照系统及其他有关细节的认可。工程师应按照第5.2款[承包人文件审查]的约定进行审查。</w:t>
      </w:r>
    </w:p>
    <w:p w14:paraId="2070088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5.4.3除专用合同条件另有约定外，在工程师收到本款下的文件前，不应认为工程已根据第10.1款[竣工验收]和第10.2款[单位/区段工程的验收]的约定完成验收。</w:t>
      </w:r>
    </w:p>
    <w:p w14:paraId="1A2A414E">
      <w:pPr>
        <w:adjustRightInd w:val="0"/>
        <w:snapToGrid w:val="0"/>
        <w:spacing w:line="360" w:lineRule="auto"/>
        <w:rPr>
          <w:rFonts w:ascii="宋体" w:hAnsi="宋体"/>
          <w:b/>
          <w:color w:val="auto"/>
          <w:sz w:val="24"/>
          <w:highlight w:val="none"/>
        </w:rPr>
      </w:pPr>
      <w:bookmarkStart w:id="1334" w:name="_Toc54862226"/>
      <w:bookmarkStart w:id="1335" w:name="_Ref531953117"/>
      <w:bookmarkStart w:id="1336" w:name="_Toc161228671"/>
      <w:bookmarkStart w:id="1337" w:name="_Ref531953119"/>
      <w:bookmarkStart w:id="1338" w:name="_Toc145081586"/>
      <w:r>
        <w:rPr>
          <w:rFonts w:hint="eastAsia" w:ascii="宋体" w:hAnsi="宋体" w:eastAsia="宋体"/>
          <w:b/>
          <w:color w:val="auto"/>
          <w:sz w:val="24"/>
          <w:highlight w:val="none"/>
        </w:rPr>
        <w:t>5.5操作和维修手册</w:t>
      </w:r>
      <w:bookmarkEnd w:id="1334"/>
      <w:bookmarkEnd w:id="1335"/>
      <w:bookmarkEnd w:id="1336"/>
      <w:bookmarkEnd w:id="1337"/>
      <w:bookmarkEnd w:id="1338"/>
    </w:p>
    <w:p w14:paraId="303F7CFB">
      <w:pPr>
        <w:tabs>
          <w:tab w:val="left" w:pos="851"/>
        </w:tabs>
        <w:adjustRightInd w:val="0"/>
        <w:snapToGrid w:val="0"/>
        <w:spacing w:line="360" w:lineRule="auto"/>
        <w:ind w:firstLine="420" w:firstLineChars="200"/>
        <w:rPr>
          <w:rFonts w:ascii="宋体" w:hAnsi="宋体" w:cs="宋体"/>
          <w:color w:val="auto"/>
          <w:highlight w:val="none"/>
        </w:rPr>
      </w:pPr>
      <w:bookmarkStart w:id="1339" w:name="_Ref531953145"/>
      <w:r>
        <w:rPr>
          <w:rFonts w:hint="eastAsia" w:ascii="宋体" w:hAnsi="宋体" w:cs="宋体"/>
          <w:color w:val="auto"/>
          <w:highlight w:val="none"/>
        </w:rPr>
        <w:t>5.5.1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1339"/>
    </w:p>
    <w:p w14:paraId="3440E6D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5.5.2工程师收到承包人提交的文件后，应依据第5.2款[承包人文件审查]的约定对操作和维修手册进行审查，竣工试验工程中，承包人应为任何因操作和维修手册错误或遗漏引起的风险或损失承担责任。</w:t>
      </w:r>
    </w:p>
    <w:p w14:paraId="6C45AB8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5.5.3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54323683">
      <w:pPr>
        <w:adjustRightInd w:val="0"/>
        <w:snapToGrid w:val="0"/>
        <w:spacing w:line="360" w:lineRule="auto"/>
        <w:rPr>
          <w:rFonts w:ascii="宋体" w:hAnsi="宋体"/>
          <w:b/>
          <w:color w:val="auto"/>
          <w:sz w:val="24"/>
          <w:highlight w:val="none"/>
        </w:rPr>
      </w:pPr>
      <w:bookmarkStart w:id="1340" w:name="_Toc54862227"/>
      <w:bookmarkStart w:id="1341" w:name="_Toc145081587"/>
      <w:bookmarkStart w:id="1342" w:name="_Toc161228672"/>
      <w:r>
        <w:rPr>
          <w:rFonts w:hint="eastAsia" w:ascii="宋体" w:hAnsi="宋体" w:eastAsia="宋体"/>
          <w:b/>
          <w:color w:val="auto"/>
          <w:sz w:val="24"/>
          <w:highlight w:val="none"/>
        </w:rPr>
        <w:t>5.6承包人文件错误</w:t>
      </w:r>
      <w:bookmarkEnd w:id="1340"/>
      <w:bookmarkEnd w:id="1341"/>
      <w:bookmarkEnd w:id="1342"/>
    </w:p>
    <w:p w14:paraId="081FF3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2380671F">
      <w:pPr>
        <w:adjustRightInd w:val="0"/>
        <w:snapToGrid w:val="0"/>
        <w:spacing w:line="360" w:lineRule="auto"/>
        <w:rPr>
          <w:rFonts w:ascii="黑体" w:hAnsi="黑体" w:eastAsia="黑体"/>
          <w:color w:val="auto"/>
          <w:sz w:val="24"/>
          <w:highlight w:val="none"/>
        </w:rPr>
      </w:pPr>
      <w:bookmarkStart w:id="1343" w:name="_Ref531953765"/>
      <w:bookmarkStart w:id="1344" w:name="_Toc54862228"/>
      <w:bookmarkStart w:id="1345" w:name="_Toc161228673"/>
      <w:bookmarkStart w:id="1346" w:name="_Ref531953761"/>
      <w:r>
        <w:rPr>
          <w:rFonts w:hint="eastAsia" w:ascii="黑体" w:hAnsi="黑体" w:eastAsia="黑体"/>
          <w:color w:val="auto"/>
          <w:sz w:val="24"/>
          <w:highlight w:val="none"/>
        </w:rPr>
        <w:t>第6条 材料、工程设备</w:t>
      </w:r>
      <w:bookmarkEnd w:id="1343"/>
      <w:bookmarkEnd w:id="1344"/>
      <w:bookmarkEnd w:id="1345"/>
      <w:bookmarkEnd w:id="1346"/>
    </w:p>
    <w:p w14:paraId="19F94F1A">
      <w:pPr>
        <w:adjustRightInd w:val="0"/>
        <w:snapToGrid w:val="0"/>
        <w:spacing w:line="360" w:lineRule="auto"/>
        <w:rPr>
          <w:rFonts w:ascii="宋体" w:hAnsi="宋体"/>
          <w:b/>
          <w:color w:val="auto"/>
          <w:sz w:val="24"/>
          <w:highlight w:val="none"/>
        </w:rPr>
      </w:pPr>
      <w:bookmarkStart w:id="1347" w:name="_Ref531953828"/>
      <w:bookmarkStart w:id="1348" w:name="_Toc54862229"/>
      <w:bookmarkStart w:id="1349" w:name="_Toc161228674"/>
      <w:bookmarkStart w:id="1350" w:name="_Ref531953832"/>
      <w:bookmarkStart w:id="1351" w:name="_Toc145081589"/>
      <w:r>
        <w:rPr>
          <w:rFonts w:hint="eastAsia" w:ascii="宋体" w:hAnsi="宋体" w:eastAsia="宋体"/>
          <w:b/>
          <w:color w:val="auto"/>
          <w:sz w:val="24"/>
          <w:highlight w:val="none"/>
        </w:rPr>
        <w:t>6.1实施方法</w:t>
      </w:r>
      <w:bookmarkEnd w:id="1347"/>
      <w:bookmarkEnd w:id="1348"/>
      <w:bookmarkEnd w:id="1349"/>
      <w:bookmarkEnd w:id="1350"/>
      <w:bookmarkEnd w:id="1351"/>
    </w:p>
    <w:p w14:paraId="4E946CA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承包人应按以下方法进行材料的加工、工程设备的采购、制造和安装、以及工程的所有其他实施作业：</w:t>
      </w:r>
    </w:p>
    <w:p w14:paraId="730FD294">
      <w:pPr>
        <w:adjustRightInd w:val="0"/>
        <w:snapToGrid w:val="0"/>
        <w:spacing w:line="360" w:lineRule="auto"/>
        <w:ind w:firstLine="420" w:firstLineChars="200"/>
        <w:rPr>
          <w:rFonts w:ascii="宋体" w:hAnsi="宋体" w:cs="宋体"/>
          <w:color w:val="auto"/>
          <w:szCs w:val="21"/>
          <w:highlight w:val="none"/>
        </w:rPr>
      </w:pPr>
      <w:bookmarkStart w:id="1352" w:name="_Ref531953847"/>
      <w:r>
        <w:rPr>
          <w:rFonts w:hint="eastAsia" w:ascii="宋体" w:hAnsi="宋体" w:cs="宋体"/>
          <w:color w:val="auto"/>
          <w:szCs w:val="21"/>
          <w:highlight w:val="none"/>
        </w:rPr>
        <w:t>（1）按照法律规定和合同约定的方法；</w:t>
      </w:r>
      <w:bookmarkEnd w:id="1352"/>
    </w:p>
    <w:p w14:paraId="615F34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（2）按照公认的良好行业习惯，使用恰当、审慎、先进的方法；</w:t>
      </w:r>
    </w:p>
    <w:p w14:paraId="0D6B60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（3）除专用合同条件另有规定外，应使用适当配备的实施方法、设备、设施和无危险的材料。</w:t>
      </w:r>
    </w:p>
    <w:p w14:paraId="290DAC23">
      <w:pPr>
        <w:adjustRightInd w:val="0"/>
        <w:snapToGrid w:val="0"/>
        <w:spacing w:line="360" w:lineRule="auto"/>
        <w:rPr>
          <w:rFonts w:ascii="宋体" w:hAnsi="宋体"/>
          <w:b/>
          <w:color w:val="auto"/>
          <w:sz w:val="24"/>
          <w:highlight w:val="none"/>
        </w:rPr>
      </w:pPr>
      <w:bookmarkStart w:id="1353" w:name="_Ref11926422"/>
      <w:bookmarkStart w:id="1354" w:name="_Toc161228675"/>
      <w:bookmarkStart w:id="1355" w:name="_Toc54862230"/>
      <w:bookmarkStart w:id="1356" w:name="_Toc145081590"/>
      <w:bookmarkStart w:id="1357" w:name="_Ref4427594"/>
      <w:r>
        <w:rPr>
          <w:rFonts w:hint="eastAsia" w:ascii="宋体" w:hAnsi="宋体" w:eastAsia="宋体"/>
          <w:b/>
          <w:color w:val="auto"/>
          <w:sz w:val="24"/>
          <w:highlight w:val="none"/>
        </w:rPr>
        <w:t>6.2材料和工程设备</w:t>
      </w:r>
      <w:bookmarkEnd w:id="1353"/>
      <w:bookmarkEnd w:id="1354"/>
      <w:bookmarkEnd w:id="1355"/>
      <w:bookmarkEnd w:id="1356"/>
    </w:p>
    <w:p w14:paraId="2D4A8B5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58" w:name="_Ref11960295"/>
      <w:r>
        <w:rPr>
          <w:rFonts w:hint="eastAsia" w:ascii="宋体" w:hAnsi="宋体" w:cs="宋体"/>
          <w:color w:val="auto"/>
          <w:kern w:val="0"/>
          <w:szCs w:val="20"/>
          <w:highlight w:val="none"/>
          <w:lang w:bidi="ar"/>
        </w:rPr>
        <w:t>6.2.1发包人提供的材料和工程设备</w:t>
      </w:r>
      <w:bookmarkEnd w:id="1357"/>
      <w:bookmarkEnd w:id="1358"/>
    </w:p>
    <w:p w14:paraId="5902080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发包人自行供应材料、工程设备的，应在订立合同时在专用合同条件的附件《发包人供应材料设备一览表》中明确材料、工程设备的品种、规格、型号、主要参数、数量、单价、质量等级和交接地点等。</w:t>
      </w:r>
    </w:p>
    <w:p w14:paraId="0A9348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15A551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36D421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576648B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F46F4D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59" w:name="_Ref531953918"/>
      <w:r>
        <w:rPr>
          <w:rFonts w:hint="eastAsia" w:ascii="宋体" w:hAnsi="宋体" w:cs="宋体"/>
          <w:color w:val="auto"/>
          <w:kern w:val="0"/>
          <w:szCs w:val="20"/>
          <w:highlight w:val="none"/>
          <w:lang w:bidi="ar"/>
        </w:rPr>
        <w:t>6.2.2承包人提供的材料和工程设备</w:t>
      </w:r>
      <w:bookmarkEnd w:id="1359"/>
    </w:p>
    <w:p w14:paraId="74E7201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1D258D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1DB591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412614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05A80B4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60" w:name="_Ref531953991"/>
      <w:bookmarkStart w:id="1361" w:name="_Ref531953999"/>
      <w:r>
        <w:rPr>
          <w:rFonts w:hint="eastAsia" w:ascii="宋体" w:hAnsi="宋体" w:cs="宋体"/>
          <w:color w:val="auto"/>
          <w:kern w:val="0"/>
          <w:szCs w:val="20"/>
          <w:highlight w:val="none"/>
          <w:lang w:bidi="ar"/>
        </w:rPr>
        <w:t>6.2.3材料和工程设备的保管</w:t>
      </w:r>
      <w:bookmarkEnd w:id="1360"/>
      <w:bookmarkEnd w:id="1361"/>
    </w:p>
    <w:p w14:paraId="015C1F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（1）发包人供应材料与工程设备的保管与使用</w:t>
      </w:r>
    </w:p>
    <w:p w14:paraId="736062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发包人供应的材料和工程设备，承包人清点并接收后由承包人妥善保管，保管费用由承包人承担，但专用合同条件另有约定除外。因承包人原因发生丢失毁损的，由承包人负责赔偿。</w:t>
      </w:r>
    </w:p>
    <w:p w14:paraId="62EFAFE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发包人供应的材料和工程设备使用前，由承包人负责必要的检验，检验费用由发包人承担，不合格的不得使用。</w:t>
      </w:r>
    </w:p>
    <w:p w14:paraId="76183A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（2）承包人采购材料与工程设备的保管与使用</w:t>
      </w:r>
    </w:p>
    <w:p w14:paraId="58EA68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02B13D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工程师发现承包人使用不符合设计或有关标准要求的材料和工程设备时，有权要求承包人进行修复、拆除或重新采购，由此增加的费用和（或）延误的工期，由承包人承担。</w:t>
      </w:r>
    </w:p>
    <w:p w14:paraId="4961D0C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6.2.4材料和工程设备的所有权</w:t>
      </w:r>
    </w:p>
    <w:p w14:paraId="6B5007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15675E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承包人按第6.2.2项提供的材料和工程设备，承包人应确保发包人取得无权利负担的材料及工程设备所有权，因承包人与第三人的物权争议导致的增加的费用和（或）延误的工期，由承包人承担。</w:t>
      </w:r>
    </w:p>
    <w:p w14:paraId="5BB67A19">
      <w:pPr>
        <w:adjustRightInd w:val="0"/>
        <w:snapToGrid w:val="0"/>
        <w:spacing w:line="360" w:lineRule="auto"/>
        <w:rPr>
          <w:rFonts w:ascii="宋体" w:hAnsi="宋体"/>
          <w:b/>
          <w:color w:val="auto"/>
          <w:sz w:val="24"/>
          <w:highlight w:val="none"/>
        </w:rPr>
      </w:pPr>
      <w:bookmarkStart w:id="1362" w:name="_Toc145081591"/>
      <w:bookmarkStart w:id="1363" w:name="_Ref4428239"/>
      <w:bookmarkStart w:id="1364" w:name="_Toc54862231"/>
      <w:bookmarkStart w:id="1365" w:name="_Toc161228676"/>
      <w:bookmarkStart w:id="1366" w:name="_Toc351203565"/>
      <w:bookmarkStart w:id="1367" w:name="_Toc337558785"/>
      <w:r>
        <w:rPr>
          <w:rFonts w:hint="eastAsia" w:ascii="宋体" w:hAnsi="宋体" w:eastAsia="宋体"/>
          <w:b/>
          <w:color w:val="auto"/>
          <w:sz w:val="24"/>
          <w:highlight w:val="none"/>
        </w:rPr>
        <w:t>6.3样品</w:t>
      </w:r>
      <w:bookmarkEnd w:id="1362"/>
      <w:bookmarkEnd w:id="1363"/>
      <w:bookmarkEnd w:id="1364"/>
      <w:bookmarkEnd w:id="1365"/>
    </w:p>
    <w:p w14:paraId="19A78D8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6.3.1样品的报送与封存</w:t>
      </w:r>
    </w:p>
    <w:p w14:paraId="017463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需要承包人报送样品的材料或工程设备，样品的种类、名称、规格、数量等要求均应在专用合同条件中约定。样品的报送程序如下：</w:t>
      </w:r>
    </w:p>
    <w:p w14:paraId="777CAB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13721C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6F874C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（3）经工程师审批确认的样品应按约定的方法封样，封存的样品作为检验工程相关部分的标准之一。承包人在施工过程中不得使用与样品不符的材料或工程设备。</w:t>
      </w:r>
    </w:p>
    <w:p w14:paraId="09F00F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736688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6.3.2样品的保管</w:t>
      </w:r>
    </w:p>
    <w:p w14:paraId="3E835B0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经批准的样品应由工程师负责封存于现场，承包人应在现场为保存样品提供适当和固定的场所并保持适当和良好的存储环境条件。</w:t>
      </w:r>
    </w:p>
    <w:p w14:paraId="1CDFDE2A">
      <w:pPr>
        <w:adjustRightInd w:val="0"/>
        <w:snapToGrid w:val="0"/>
        <w:spacing w:line="360" w:lineRule="auto"/>
        <w:rPr>
          <w:rFonts w:ascii="宋体" w:hAnsi="宋体"/>
          <w:b/>
          <w:color w:val="auto"/>
          <w:sz w:val="24"/>
          <w:highlight w:val="none"/>
        </w:rPr>
      </w:pPr>
      <w:bookmarkStart w:id="1368" w:name="_Toc145081592"/>
      <w:bookmarkStart w:id="1369" w:name="_Ref11959210"/>
      <w:bookmarkStart w:id="1370" w:name="_Ref11959204"/>
      <w:bookmarkStart w:id="1371" w:name="_Toc161228677"/>
      <w:bookmarkStart w:id="1372" w:name="_Toc54862232"/>
      <w:r>
        <w:rPr>
          <w:rFonts w:hint="eastAsia" w:ascii="宋体" w:hAnsi="宋体" w:eastAsia="宋体"/>
          <w:b/>
          <w:color w:val="auto"/>
          <w:sz w:val="24"/>
          <w:highlight w:val="none"/>
        </w:rPr>
        <w:t>6.4质量检查</w:t>
      </w:r>
      <w:bookmarkEnd w:id="1368"/>
      <w:bookmarkEnd w:id="1369"/>
      <w:bookmarkEnd w:id="1370"/>
      <w:bookmarkEnd w:id="1371"/>
      <w:bookmarkEnd w:id="1372"/>
    </w:p>
    <w:p w14:paraId="73F1720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73" w:name="_Ref18990699"/>
      <w:r>
        <w:rPr>
          <w:rFonts w:hint="eastAsia" w:ascii="宋体" w:hAnsi="宋体" w:cs="宋体"/>
          <w:color w:val="auto"/>
          <w:kern w:val="0"/>
          <w:szCs w:val="20"/>
          <w:highlight w:val="none"/>
          <w:lang w:bidi="ar"/>
        </w:rPr>
        <w:t>6.4.1工程质量要求</w:t>
      </w:r>
      <w:bookmarkEnd w:id="1373"/>
    </w:p>
    <w:p w14:paraId="436F11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工程质量标准必须符合现行国家有关工程施工质量验收规范和标准的要求。有关工程质量的特殊标准或要求由合同当事人在专用合同条件中约定。</w:t>
      </w:r>
    </w:p>
    <w:p w14:paraId="30DDC9F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6D06DB6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74" w:name="_Ref18990717"/>
      <w:r>
        <w:rPr>
          <w:rFonts w:hint="eastAsia" w:ascii="宋体" w:hAnsi="宋体" w:cs="宋体"/>
          <w:color w:val="auto"/>
          <w:kern w:val="0"/>
          <w:szCs w:val="20"/>
          <w:highlight w:val="none"/>
          <w:lang w:bidi="ar"/>
        </w:rPr>
        <w:t>6.4.2质量检查</w:t>
      </w:r>
      <w:bookmarkEnd w:id="1374"/>
    </w:p>
    <w:p w14:paraId="1CBD615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w:t>
      </w:r>
      <w:r>
        <w:rPr>
          <w:rFonts w:hint="eastAsia" w:ascii="宋体" w:hAnsi="宋体" w:cs="宋体"/>
          <w:color w:val="auto"/>
          <w:szCs w:val="21"/>
          <w:highlight w:val="none"/>
          <w:lang w:val="en-US" w:eastAsia="zh-CN"/>
        </w:rPr>
        <w:t>查</w:t>
      </w:r>
      <w:r>
        <w:rPr>
          <w:rFonts w:hint="eastAsia" w:ascii="宋体" w:hAnsi="宋体" w:cs="宋体"/>
          <w:color w:val="auto"/>
          <w:szCs w:val="21"/>
          <w:highlight w:val="none"/>
        </w:rPr>
        <w:t>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1D62FA3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75" w:name="_Ref11959222"/>
      <w:r>
        <w:rPr>
          <w:rFonts w:hint="eastAsia" w:ascii="宋体" w:hAnsi="宋体" w:cs="宋体"/>
          <w:color w:val="auto"/>
          <w:kern w:val="0"/>
          <w:szCs w:val="20"/>
          <w:highlight w:val="none"/>
          <w:lang w:bidi="ar"/>
        </w:rPr>
        <w:t>6.4.3隐蔽工程检查</w:t>
      </w:r>
      <w:bookmarkEnd w:id="1375"/>
    </w:p>
    <w:p w14:paraId="1278FEB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142278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110B7C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65E8970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CD423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1366"/>
    <w:p w14:paraId="3C3D31F0">
      <w:pPr>
        <w:adjustRightInd w:val="0"/>
        <w:snapToGrid w:val="0"/>
        <w:spacing w:line="360" w:lineRule="auto"/>
        <w:rPr>
          <w:rFonts w:ascii="宋体" w:hAnsi="宋体"/>
          <w:b/>
          <w:color w:val="auto"/>
          <w:sz w:val="24"/>
          <w:highlight w:val="none"/>
        </w:rPr>
      </w:pPr>
      <w:bookmarkStart w:id="1376" w:name="_Ref11927389"/>
      <w:bookmarkStart w:id="1377" w:name="_Ref11927398"/>
      <w:bookmarkStart w:id="1378" w:name="_Ref11927403"/>
      <w:bookmarkStart w:id="1379" w:name="_Toc161228678"/>
      <w:bookmarkStart w:id="1380" w:name="_Ref11959158"/>
      <w:bookmarkStart w:id="1381" w:name="_Toc145081593"/>
      <w:bookmarkStart w:id="1382" w:name="_Toc54862233"/>
      <w:bookmarkStart w:id="1383" w:name="_Ref11959175"/>
      <w:r>
        <w:rPr>
          <w:rFonts w:hint="eastAsia" w:ascii="宋体" w:hAnsi="宋体" w:eastAsia="宋体"/>
          <w:b/>
          <w:color w:val="auto"/>
          <w:sz w:val="24"/>
          <w:highlight w:val="none"/>
        </w:rPr>
        <w:t>6.5由承包人试验</w:t>
      </w:r>
      <w:bookmarkEnd w:id="1376"/>
      <w:bookmarkEnd w:id="1377"/>
      <w:bookmarkEnd w:id="1378"/>
      <w:r>
        <w:rPr>
          <w:rFonts w:hint="eastAsia" w:ascii="宋体" w:hAnsi="宋体" w:eastAsia="宋体"/>
          <w:b/>
          <w:color w:val="auto"/>
          <w:sz w:val="24"/>
          <w:highlight w:val="none"/>
        </w:rPr>
        <w:t>和检验</w:t>
      </w:r>
      <w:bookmarkEnd w:id="1379"/>
      <w:bookmarkEnd w:id="1380"/>
      <w:bookmarkEnd w:id="1381"/>
      <w:bookmarkEnd w:id="1382"/>
      <w:bookmarkEnd w:id="1383"/>
    </w:p>
    <w:bookmarkEnd w:id="1367"/>
    <w:p w14:paraId="7A0AB7D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6.5.1试验设备与试验人员</w:t>
      </w:r>
    </w:p>
    <w:p w14:paraId="40D7E29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09020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（2）承包人应按专用合同条件约定的试验内容、时间和地点提供试验设备、取样装置、试验场所和试验条件，并向工程师提交相应进场计划表。</w:t>
      </w:r>
    </w:p>
    <w:p w14:paraId="2DFA8B5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承包人配置的试验设备要符合相应试验规程的要求并经过具有资质的检测单位检测，且在正式使用该试验设备前，需要经过工程师与承包人共同校定。</w:t>
      </w:r>
    </w:p>
    <w:p w14:paraId="710CAA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（3）承包人应向工程师提交试验人员的名单及其岗位、资格等证明资料，试验人员必须能够熟练进行相应的检测试验，承包人对试验人员的试验程序和试验结果的正确性负责。</w:t>
      </w:r>
    </w:p>
    <w:p w14:paraId="4A42788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6.5.2取样</w:t>
      </w:r>
    </w:p>
    <w:p w14:paraId="49F3B3A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试验属于自检性质的，承包人可以单独取样。试验属于工程师抽检性质的，可由工程师取样，也可由承包人的试验人员在工程师的监督下取样。</w:t>
      </w:r>
    </w:p>
    <w:p w14:paraId="0F4C54A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6.5.3材料、工程设备和工程的试验和检验</w:t>
      </w:r>
    </w:p>
    <w:p w14:paraId="11B256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2D0D4F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69BB90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385BF0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84" w:name="_Toc351203566"/>
      <w:bookmarkStart w:id="1385" w:name="_Toc337558786"/>
      <w:r>
        <w:rPr>
          <w:rFonts w:hint="eastAsia" w:ascii="宋体" w:hAnsi="宋体" w:cs="宋体"/>
          <w:color w:val="auto"/>
          <w:kern w:val="0"/>
          <w:szCs w:val="20"/>
          <w:highlight w:val="none"/>
          <w:lang w:bidi="ar"/>
        </w:rPr>
        <w:t>6.5.4现场工艺试验</w:t>
      </w:r>
      <w:bookmarkEnd w:id="1384"/>
    </w:p>
    <w:bookmarkEnd w:id="1385"/>
    <w:p w14:paraId="725380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承包人应按合同约定进行现场工艺试验。对大型的现场工艺试验，发包人认为必要时，承包人应根据发包人提出的工艺试验要求，编制工艺试验措施计划，报送发包人审查。</w:t>
      </w:r>
    </w:p>
    <w:p w14:paraId="295951D0">
      <w:pPr>
        <w:adjustRightInd w:val="0"/>
        <w:snapToGrid w:val="0"/>
        <w:spacing w:line="360" w:lineRule="auto"/>
        <w:rPr>
          <w:rFonts w:ascii="宋体" w:hAnsi="宋体"/>
          <w:b/>
          <w:color w:val="auto"/>
          <w:sz w:val="24"/>
          <w:highlight w:val="none"/>
        </w:rPr>
      </w:pPr>
      <w:bookmarkStart w:id="1386" w:name="_Ref532592787"/>
      <w:bookmarkStart w:id="1387" w:name="_Toc145081594"/>
      <w:bookmarkStart w:id="1388" w:name="_Toc54862234"/>
      <w:bookmarkStart w:id="1389" w:name="_Ref532592784"/>
      <w:bookmarkStart w:id="1390" w:name="_Toc161228679"/>
      <w:r>
        <w:rPr>
          <w:rFonts w:hint="eastAsia" w:ascii="宋体" w:hAnsi="宋体" w:eastAsia="宋体"/>
          <w:b/>
          <w:color w:val="auto"/>
          <w:sz w:val="24"/>
          <w:highlight w:val="none"/>
        </w:rPr>
        <w:t>6.6缺陷和修补</w:t>
      </w:r>
      <w:bookmarkEnd w:id="1386"/>
      <w:bookmarkEnd w:id="1387"/>
      <w:bookmarkEnd w:id="1388"/>
      <w:bookmarkEnd w:id="1389"/>
      <w:bookmarkEnd w:id="1390"/>
    </w:p>
    <w:p w14:paraId="403D6E9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91" w:name="_Ref16875551"/>
      <w:r>
        <w:rPr>
          <w:rFonts w:hint="eastAsia" w:ascii="宋体" w:hAnsi="宋体" w:cs="宋体"/>
          <w:color w:val="auto"/>
          <w:kern w:val="0"/>
          <w:szCs w:val="20"/>
          <w:highlight w:val="none"/>
          <w:lang w:bidi="ar"/>
        </w:rPr>
        <w:t>6.6.1发包人可在颁发接收证书前随时指示承包人：</w:t>
      </w:r>
      <w:bookmarkEnd w:id="1391"/>
    </w:p>
    <w:p w14:paraId="7745DA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（1）对不符合合同要求的任何工程设备或材料进行修补，或者将其移出现场并进行更换；</w:t>
      </w:r>
    </w:p>
    <w:p w14:paraId="2ACF0F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（2）对不符合合同的其他工作进行修补，或者将其去除并重新实施；</w:t>
      </w:r>
    </w:p>
    <w:p w14:paraId="1CECF6A6">
      <w:pPr>
        <w:adjustRightInd w:val="0"/>
        <w:snapToGrid w:val="0"/>
        <w:spacing w:line="360" w:lineRule="auto"/>
        <w:ind w:firstLine="420" w:firstLineChars="200"/>
        <w:rPr>
          <w:rFonts w:ascii="宋体" w:hAnsi="宋体" w:cs="宋体"/>
          <w:color w:val="auto"/>
          <w:szCs w:val="21"/>
          <w:highlight w:val="none"/>
        </w:rPr>
      </w:pPr>
      <w:bookmarkStart w:id="1392" w:name="_Ref4708991"/>
      <w:r>
        <w:rPr>
          <w:rFonts w:hint="eastAsia" w:ascii="宋体" w:hAnsi="宋体" w:cs="宋体"/>
          <w:color w:val="auto"/>
          <w:szCs w:val="21"/>
          <w:highlight w:val="none"/>
        </w:rPr>
        <w:t>（3）实施因意外、不可预见的事件或其他原因引起的、为工程的安全迫切需要的任何修补工作。</w:t>
      </w:r>
      <w:bookmarkEnd w:id="1392"/>
    </w:p>
    <w:p w14:paraId="78E54CC3">
      <w:pPr>
        <w:tabs>
          <w:tab w:val="left" w:pos="851"/>
        </w:tabs>
        <w:adjustRightInd w:val="0"/>
        <w:snapToGrid w:val="0"/>
        <w:spacing w:line="360" w:lineRule="auto"/>
        <w:ind w:firstLine="420" w:firstLineChars="200"/>
        <w:rPr>
          <w:rFonts w:ascii="宋体" w:hAnsi="宋体" w:cs="宋体"/>
          <w:color w:val="auto"/>
          <w:highlight w:val="none"/>
        </w:rPr>
      </w:pPr>
      <w:bookmarkStart w:id="1393" w:name="_Ref11956964"/>
      <w:r>
        <w:rPr>
          <w:rFonts w:hint="eastAsia" w:ascii="宋体" w:hAnsi="宋体" w:cs="宋体"/>
          <w:color w:val="auto"/>
          <w:highlight w:val="none"/>
        </w:rPr>
        <w:t>6.6.2承包人应遵守第6.6.1项下指示，并在合理可行的情况下，根据上述指示中规定的时间完成修补工作。除因下列原因引起的第6.6.1项第（3）目下的情形外，承包人应承担所有修补工作的费用：</w:t>
      </w:r>
      <w:bookmarkEnd w:id="1393"/>
    </w:p>
    <w:p w14:paraId="043A72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（1）因发包人或其人员的任何行为导致的情形，且在此情况下发包人应承担因此引起的工期延误和承包人费用损失，并向承包人支付合理的利润。</w:t>
      </w:r>
    </w:p>
    <w:p w14:paraId="46EC7D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（2）第17.4款[不可抗力后果的承担]中适用的不可抗力事件的情形。</w:t>
      </w:r>
    </w:p>
    <w:p w14:paraId="2E244E9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6.6.3如果承包人未能遵守发包人的指示，发包人可以自行决定请第三方完成上述修补工作，并有权要求承包人支付因未履行指示而产生的所有费用，但承包人根据第6.6.2项有权就修补工作获得支付的情况除外。</w:t>
      </w:r>
    </w:p>
    <w:p w14:paraId="7F5FA13A">
      <w:pPr>
        <w:adjustRightInd w:val="0"/>
        <w:snapToGrid w:val="0"/>
        <w:spacing w:line="360" w:lineRule="auto"/>
        <w:rPr>
          <w:rFonts w:ascii="黑体" w:hAnsi="黑体" w:eastAsia="黑体"/>
          <w:color w:val="auto"/>
          <w:sz w:val="24"/>
          <w:highlight w:val="none"/>
        </w:rPr>
      </w:pPr>
      <w:bookmarkStart w:id="1394" w:name="_Ref531954214"/>
      <w:bookmarkStart w:id="1395" w:name="_Toc54862235"/>
      <w:bookmarkStart w:id="1396" w:name="_Toc161228680"/>
      <w:r>
        <w:rPr>
          <w:rFonts w:hint="eastAsia" w:ascii="黑体" w:hAnsi="黑体" w:eastAsia="黑体"/>
          <w:color w:val="auto"/>
          <w:sz w:val="24"/>
          <w:highlight w:val="none"/>
        </w:rPr>
        <w:t>第7条 施工</w:t>
      </w:r>
      <w:bookmarkEnd w:id="1394"/>
      <w:bookmarkEnd w:id="1395"/>
      <w:bookmarkEnd w:id="1396"/>
    </w:p>
    <w:p w14:paraId="002233FA">
      <w:pPr>
        <w:adjustRightInd w:val="0"/>
        <w:snapToGrid w:val="0"/>
        <w:spacing w:line="360" w:lineRule="auto"/>
        <w:rPr>
          <w:rFonts w:ascii="宋体" w:hAnsi="宋体"/>
          <w:b/>
          <w:color w:val="auto"/>
          <w:sz w:val="24"/>
          <w:highlight w:val="none"/>
        </w:rPr>
      </w:pPr>
      <w:bookmarkStart w:id="1397" w:name="_Toc54862236"/>
      <w:bookmarkStart w:id="1398" w:name="_Ref531954276"/>
      <w:bookmarkStart w:id="1399" w:name="_Toc161228681"/>
      <w:bookmarkStart w:id="1400" w:name="_Ref531954272"/>
      <w:bookmarkStart w:id="1401" w:name="_Toc145081596"/>
      <w:bookmarkStart w:id="1402" w:name="_Ref531954260"/>
      <w:bookmarkStart w:id="1403" w:name="_Ref531954246"/>
      <w:r>
        <w:rPr>
          <w:rFonts w:hint="eastAsia" w:ascii="宋体" w:hAnsi="宋体" w:eastAsia="宋体"/>
          <w:b/>
          <w:color w:val="auto"/>
          <w:sz w:val="24"/>
          <w:highlight w:val="none"/>
        </w:rPr>
        <w:t>7.1交通运输</w:t>
      </w:r>
      <w:bookmarkEnd w:id="1397"/>
      <w:bookmarkEnd w:id="1398"/>
      <w:bookmarkEnd w:id="1399"/>
      <w:bookmarkEnd w:id="1400"/>
      <w:bookmarkEnd w:id="1401"/>
    </w:p>
    <w:p w14:paraId="074D256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04" w:name="_Ref4422645"/>
      <w:r>
        <w:rPr>
          <w:rFonts w:hint="eastAsia" w:ascii="宋体" w:hAnsi="宋体" w:cs="宋体"/>
          <w:color w:val="auto"/>
          <w:kern w:val="0"/>
          <w:szCs w:val="20"/>
          <w:highlight w:val="none"/>
          <w:lang w:bidi="ar"/>
        </w:rPr>
        <w:t>7.1.1出入现场的权利</w:t>
      </w:r>
      <w:bookmarkEnd w:id="1404"/>
    </w:p>
    <w:p w14:paraId="04E954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475522E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05" w:name="_Ref18957045"/>
      <w:r>
        <w:rPr>
          <w:rFonts w:hint="eastAsia" w:ascii="宋体" w:hAnsi="宋体" w:cs="宋体"/>
          <w:color w:val="auto"/>
          <w:kern w:val="0"/>
          <w:szCs w:val="20"/>
          <w:highlight w:val="none"/>
          <w:lang w:bidi="ar"/>
        </w:rPr>
        <w:t>7.1.2场外交通</w:t>
      </w:r>
      <w:bookmarkEnd w:id="1405"/>
    </w:p>
    <w:p w14:paraId="2E19BB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6196CDA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06" w:name="_Ref4622358"/>
      <w:r>
        <w:rPr>
          <w:rFonts w:hint="eastAsia" w:ascii="宋体" w:hAnsi="宋体" w:cs="宋体"/>
          <w:color w:val="auto"/>
          <w:kern w:val="0"/>
          <w:szCs w:val="20"/>
          <w:highlight w:val="none"/>
          <w:lang w:bidi="ar"/>
        </w:rPr>
        <w:t>7.1.3场内交通</w:t>
      </w:r>
      <w:bookmarkEnd w:id="1406"/>
    </w:p>
    <w:p w14:paraId="48B5C3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437A130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07" w:name="_Ref4622376"/>
      <w:r>
        <w:rPr>
          <w:rFonts w:hint="eastAsia" w:ascii="宋体" w:hAnsi="宋体" w:cs="宋体"/>
          <w:color w:val="auto"/>
          <w:kern w:val="0"/>
          <w:szCs w:val="20"/>
          <w:highlight w:val="none"/>
          <w:lang w:bidi="ar"/>
        </w:rPr>
        <w:t>7.1.4超大件和超重件的运输</w:t>
      </w:r>
      <w:bookmarkEnd w:id="1407"/>
    </w:p>
    <w:p w14:paraId="069769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A976BF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7.1.5道路和桥梁的损坏责任</w:t>
      </w:r>
    </w:p>
    <w:p w14:paraId="3F0CDA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因承包人运输造成施工现场内外公共道路和桥梁损坏的，由承包人承担修复损坏的全部费用和可能引起的赔偿。</w:t>
      </w:r>
    </w:p>
    <w:p w14:paraId="73143FE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7.1.6水路和航空运输</w:t>
      </w:r>
    </w:p>
    <w:p w14:paraId="72DA5B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24D4955C">
      <w:pPr>
        <w:adjustRightInd w:val="0"/>
        <w:snapToGrid w:val="0"/>
        <w:spacing w:line="360" w:lineRule="auto"/>
        <w:rPr>
          <w:rFonts w:ascii="宋体" w:hAnsi="宋体"/>
          <w:b/>
          <w:color w:val="auto"/>
          <w:sz w:val="24"/>
          <w:highlight w:val="none"/>
        </w:rPr>
      </w:pPr>
      <w:bookmarkStart w:id="1408" w:name="_Toc54862237"/>
      <w:bookmarkStart w:id="1409" w:name="_Toc145081597"/>
      <w:bookmarkStart w:id="1410" w:name="_Ref11919459"/>
      <w:bookmarkStart w:id="1411" w:name="_Toc161228682"/>
      <w:bookmarkStart w:id="1412" w:name="_Ref11919294"/>
      <w:r>
        <w:rPr>
          <w:rFonts w:hint="eastAsia" w:ascii="宋体" w:hAnsi="宋体" w:eastAsia="宋体"/>
          <w:b/>
          <w:color w:val="auto"/>
          <w:sz w:val="24"/>
          <w:highlight w:val="none"/>
        </w:rPr>
        <w:t>7.2施工设备和临时设施</w:t>
      </w:r>
      <w:bookmarkEnd w:id="1402"/>
      <w:bookmarkEnd w:id="1403"/>
      <w:bookmarkEnd w:id="1408"/>
      <w:bookmarkEnd w:id="1409"/>
      <w:bookmarkEnd w:id="1410"/>
      <w:bookmarkEnd w:id="1411"/>
      <w:bookmarkEnd w:id="1412"/>
    </w:p>
    <w:p w14:paraId="51455A0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13" w:name="_Ref18990767"/>
      <w:bookmarkStart w:id="1414" w:name="_Ref509043186"/>
      <w:r>
        <w:rPr>
          <w:rFonts w:hint="eastAsia" w:ascii="宋体" w:hAnsi="宋体" w:cs="宋体"/>
          <w:color w:val="auto"/>
          <w:kern w:val="0"/>
          <w:szCs w:val="20"/>
          <w:highlight w:val="none"/>
          <w:lang w:bidi="ar"/>
        </w:rPr>
        <w:t>7.2.1承包人提供的施工设备和临时设施</w:t>
      </w:r>
      <w:bookmarkEnd w:id="1413"/>
    </w:p>
    <w:p w14:paraId="69B34A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5A45CC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1414"/>
    <w:p w14:paraId="045E491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15" w:name="_Ref18990784"/>
      <w:r>
        <w:rPr>
          <w:rFonts w:hint="eastAsia" w:ascii="宋体" w:hAnsi="宋体" w:cs="宋体"/>
          <w:color w:val="auto"/>
          <w:kern w:val="0"/>
          <w:szCs w:val="20"/>
          <w:highlight w:val="none"/>
          <w:lang w:bidi="ar"/>
        </w:rPr>
        <w:t>7.2.2发包人提供的施工设备和临时设施</w:t>
      </w:r>
      <w:bookmarkEnd w:id="1415"/>
    </w:p>
    <w:p w14:paraId="0BF172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发包人提供的施工设备或临时设施在专用合同条件中约定。</w:t>
      </w:r>
    </w:p>
    <w:p w14:paraId="044A150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7.2.3要求承包人增加或更换施工设备</w:t>
      </w:r>
    </w:p>
    <w:p w14:paraId="5B3CAA1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承包人使用的施工设备不能满足项目进度计划和（或）质量要求时，工程师有权要求承包人增加或更换施工设备，承包人应及时增加或更换，由此增加的费用和（或）延误的工期由承包人承担。</w:t>
      </w:r>
    </w:p>
    <w:p w14:paraId="007D75A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7.2.4施工设备和临时设施专用于合同工程</w:t>
      </w:r>
    </w:p>
    <w:p w14:paraId="2E42BB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1E62E28A">
      <w:pPr>
        <w:adjustRightInd w:val="0"/>
        <w:snapToGrid w:val="0"/>
        <w:spacing w:line="360" w:lineRule="auto"/>
        <w:rPr>
          <w:rFonts w:ascii="宋体" w:hAnsi="宋体"/>
          <w:b/>
          <w:color w:val="auto"/>
          <w:sz w:val="24"/>
          <w:highlight w:val="none"/>
        </w:rPr>
      </w:pPr>
      <w:bookmarkStart w:id="1416" w:name="_Toc54862238"/>
      <w:bookmarkStart w:id="1417" w:name="_Toc145081598"/>
      <w:bookmarkStart w:id="1418" w:name="_Toc161228683"/>
      <w:bookmarkStart w:id="1419" w:name="_Ref11874352"/>
      <w:r>
        <w:rPr>
          <w:rFonts w:hint="eastAsia" w:ascii="宋体" w:hAnsi="宋体" w:eastAsia="宋体"/>
          <w:b/>
          <w:color w:val="auto"/>
          <w:sz w:val="24"/>
          <w:highlight w:val="none"/>
        </w:rPr>
        <w:t>7.3现场合作</w:t>
      </w:r>
      <w:bookmarkEnd w:id="1416"/>
      <w:bookmarkEnd w:id="1417"/>
      <w:bookmarkEnd w:id="1418"/>
      <w:bookmarkEnd w:id="1419"/>
    </w:p>
    <w:p w14:paraId="61ABE1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14:paraId="63B12D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承包人应对其在现场的施工活动负责，并应尽合理努力按合同约定或发包人的指示，协调自身与发包人人员、发包人的其他承包人等人员的活动。</w:t>
      </w:r>
    </w:p>
    <w:p w14:paraId="2C5FDE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2996929F">
      <w:pPr>
        <w:adjustRightInd w:val="0"/>
        <w:snapToGrid w:val="0"/>
        <w:spacing w:line="360" w:lineRule="auto"/>
        <w:rPr>
          <w:rFonts w:ascii="宋体" w:hAnsi="宋体"/>
          <w:b/>
          <w:color w:val="auto"/>
          <w:sz w:val="24"/>
          <w:highlight w:val="none"/>
        </w:rPr>
      </w:pPr>
      <w:bookmarkStart w:id="1420" w:name="_Toc145081599"/>
      <w:bookmarkStart w:id="1421" w:name="_Ref531954285"/>
      <w:bookmarkStart w:id="1422" w:name="_Toc161228684"/>
      <w:bookmarkStart w:id="1423" w:name="_Ref531954287"/>
      <w:bookmarkStart w:id="1424" w:name="_Toc54862239"/>
      <w:r>
        <w:rPr>
          <w:rFonts w:hint="eastAsia" w:ascii="宋体" w:hAnsi="宋体" w:eastAsia="宋体"/>
          <w:b/>
          <w:color w:val="auto"/>
          <w:sz w:val="24"/>
          <w:highlight w:val="none"/>
        </w:rPr>
        <w:t>7.4测量放线</w:t>
      </w:r>
      <w:bookmarkEnd w:id="1420"/>
      <w:bookmarkEnd w:id="1421"/>
      <w:bookmarkEnd w:id="1422"/>
      <w:bookmarkEnd w:id="1423"/>
      <w:bookmarkEnd w:id="1424"/>
    </w:p>
    <w:p w14:paraId="3A4678D9">
      <w:pPr>
        <w:tabs>
          <w:tab w:val="left" w:pos="851"/>
        </w:tabs>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7.4.1除专用合同条件另有约定外，承包人应根据国家测绘基准、测绘系统和工程测量技术规范，按基准点（线）以及合同工程精度要求，测设施工控制网，并在专用合同条件约定的期限内，将施工控制网资料报送工程师。</w:t>
      </w:r>
    </w:p>
    <w:p w14:paraId="4F8BD35E">
      <w:pPr>
        <w:tabs>
          <w:tab w:val="left" w:pos="851"/>
        </w:tabs>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7.4.2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5CBDB05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7.4.3承包人负责施工过程中的全部施工测量放线工作，并配置具有相应资质的人员、合格的仪器、设备和其他物品。承包人应</w:t>
      </w:r>
      <w:r>
        <w:rPr>
          <w:rFonts w:hint="eastAsia" w:ascii="宋体" w:hAnsi="宋体" w:cs="宋体"/>
          <w:color w:val="auto"/>
          <w:highlight w:val="none"/>
          <w:lang w:val="en-US" w:eastAsia="zh-CN"/>
        </w:rPr>
        <w:t>校</w:t>
      </w:r>
      <w:r>
        <w:rPr>
          <w:rFonts w:hint="eastAsia" w:ascii="宋体" w:hAnsi="宋体" w:cs="宋体"/>
          <w:color w:val="auto"/>
          <w:highlight w:val="none"/>
        </w:rPr>
        <w:t>正工程的位置、标高、尺寸或基准线中出现的任何差错，并对工程各部分的定位负责。施工过程中对施工现场内水准点等测量标志物的保护工作由承包人负责。</w:t>
      </w:r>
    </w:p>
    <w:p w14:paraId="64565BFE">
      <w:pPr>
        <w:adjustRightInd w:val="0"/>
        <w:snapToGrid w:val="0"/>
        <w:spacing w:line="360" w:lineRule="auto"/>
        <w:rPr>
          <w:rFonts w:ascii="宋体" w:hAnsi="宋体"/>
          <w:b/>
          <w:color w:val="auto"/>
          <w:sz w:val="24"/>
          <w:highlight w:val="none"/>
        </w:rPr>
      </w:pPr>
      <w:bookmarkStart w:id="1425" w:name="_Toc145081600"/>
      <w:bookmarkStart w:id="1426" w:name="_Toc161228685"/>
      <w:bookmarkStart w:id="1427" w:name="_Toc54862240"/>
      <w:bookmarkStart w:id="1428" w:name="_Ref531954329"/>
      <w:bookmarkStart w:id="1429" w:name="_Ref531954323"/>
      <w:bookmarkStart w:id="1430" w:name="_Ref4770992"/>
      <w:r>
        <w:rPr>
          <w:rFonts w:hint="eastAsia" w:ascii="宋体" w:hAnsi="宋体" w:eastAsia="宋体"/>
          <w:b/>
          <w:color w:val="auto"/>
          <w:sz w:val="24"/>
          <w:highlight w:val="none"/>
        </w:rPr>
        <w:t>7.5现场劳动用工</w:t>
      </w:r>
      <w:bookmarkEnd w:id="1425"/>
      <w:bookmarkEnd w:id="1426"/>
      <w:bookmarkEnd w:id="1427"/>
    </w:p>
    <w:p w14:paraId="1BCA8EC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61AE786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7.5.2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3D2DEF9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7.5.3承包人应当按照相关法律法规的要求，进行劳动用工管理和建筑工人工资支付。</w:t>
      </w:r>
    </w:p>
    <w:p w14:paraId="58D3BB13">
      <w:pPr>
        <w:adjustRightInd w:val="0"/>
        <w:snapToGrid w:val="0"/>
        <w:spacing w:line="360" w:lineRule="auto"/>
        <w:rPr>
          <w:rFonts w:ascii="宋体" w:hAnsi="宋体"/>
          <w:b/>
          <w:color w:val="auto"/>
          <w:sz w:val="24"/>
          <w:highlight w:val="none"/>
        </w:rPr>
      </w:pPr>
      <w:bookmarkStart w:id="1431" w:name="_Ref41554059"/>
      <w:bookmarkStart w:id="1432" w:name="_Toc145081601"/>
      <w:bookmarkStart w:id="1433" w:name="_Toc54862241"/>
      <w:bookmarkStart w:id="1434" w:name="_Toc161228686"/>
      <w:r>
        <w:rPr>
          <w:rFonts w:hint="eastAsia" w:ascii="宋体" w:hAnsi="宋体" w:eastAsia="宋体"/>
          <w:b/>
          <w:color w:val="auto"/>
          <w:sz w:val="24"/>
          <w:highlight w:val="none"/>
        </w:rPr>
        <w:t>7.6安全文明施工</w:t>
      </w:r>
      <w:bookmarkEnd w:id="1428"/>
      <w:bookmarkEnd w:id="1429"/>
      <w:bookmarkEnd w:id="1430"/>
      <w:bookmarkEnd w:id="1431"/>
      <w:bookmarkEnd w:id="1432"/>
      <w:bookmarkEnd w:id="1433"/>
      <w:bookmarkEnd w:id="1434"/>
    </w:p>
    <w:p w14:paraId="1BAEC37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35" w:name="_Ref18990822"/>
      <w:r>
        <w:rPr>
          <w:rFonts w:hint="eastAsia" w:ascii="宋体" w:hAnsi="宋体" w:cs="宋体"/>
          <w:color w:val="auto"/>
          <w:kern w:val="0"/>
          <w:szCs w:val="20"/>
          <w:highlight w:val="none"/>
          <w:lang w:bidi="ar"/>
        </w:rPr>
        <w:t>7.6.1安全生产要求</w:t>
      </w:r>
      <w:bookmarkEnd w:id="1435"/>
    </w:p>
    <w:p w14:paraId="116179A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1BA865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747FDFB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因安全生产需要暂停施工的，按照第8.9款[暂停工作]的约定执行。</w:t>
      </w:r>
    </w:p>
    <w:p w14:paraId="2855488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7.6.2安全生产保证措施</w:t>
      </w:r>
    </w:p>
    <w:p w14:paraId="07A78E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5A7E9B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45D707F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29F3F55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36" w:name="_Ref18990840"/>
      <w:r>
        <w:rPr>
          <w:rFonts w:hint="eastAsia" w:ascii="宋体" w:hAnsi="宋体" w:cs="宋体"/>
          <w:color w:val="auto"/>
          <w:kern w:val="0"/>
          <w:szCs w:val="20"/>
          <w:highlight w:val="none"/>
          <w:lang w:bidi="ar"/>
        </w:rPr>
        <w:t>7.6.3文明施工</w:t>
      </w:r>
      <w:bookmarkEnd w:id="1436"/>
    </w:p>
    <w:p w14:paraId="3476F7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16645A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C7D5D9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7.6.4事故处理</w:t>
      </w:r>
    </w:p>
    <w:p w14:paraId="1E7575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BFED8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1907E8B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7.6.5安全生产责任</w:t>
      </w:r>
    </w:p>
    <w:p w14:paraId="479846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发包人应负责赔偿以下各种情况造成的损失：</w:t>
      </w:r>
    </w:p>
    <w:p w14:paraId="522128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14:paraId="25FAB8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（2）由于发包人原因在施工现场及其毗邻地带、履行合同工作中造成的第三者人身伤亡和财产损失；</w:t>
      </w:r>
    </w:p>
    <w:p w14:paraId="113B8E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（3）由于发包人原因对发包人自身、承包人、工程师造成的人身伤害和财产损失。</w:t>
      </w:r>
    </w:p>
    <w:p w14:paraId="23B0A3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承包人应负责赔偿由于承包人原因在施工现场及其毗邻地带、履行合同工作中造成的第三者人身伤亡和财产损失。</w:t>
      </w:r>
    </w:p>
    <w:p w14:paraId="1C803F3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如果上述损失是由于发包人和承包人共同原因导致的，则双方应根据过错情况按比例承担。</w:t>
      </w:r>
    </w:p>
    <w:p w14:paraId="5240191F">
      <w:pPr>
        <w:adjustRightInd w:val="0"/>
        <w:snapToGrid w:val="0"/>
        <w:spacing w:line="360" w:lineRule="auto"/>
        <w:rPr>
          <w:rFonts w:ascii="宋体" w:hAnsi="宋体"/>
          <w:b/>
          <w:color w:val="auto"/>
          <w:sz w:val="24"/>
          <w:highlight w:val="none"/>
        </w:rPr>
      </w:pPr>
      <w:bookmarkStart w:id="1437" w:name="_Ref11874562"/>
      <w:bookmarkStart w:id="1438" w:name="_Toc161228687"/>
      <w:bookmarkStart w:id="1439" w:name="_Ref41554069"/>
      <w:bookmarkStart w:id="1440" w:name="_Toc54862242"/>
      <w:bookmarkStart w:id="1441" w:name="_Toc145081602"/>
      <w:r>
        <w:rPr>
          <w:rFonts w:hint="eastAsia" w:ascii="宋体" w:hAnsi="宋体" w:eastAsia="宋体"/>
          <w:b/>
          <w:color w:val="auto"/>
          <w:sz w:val="24"/>
          <w:highlight w:val="none"/>
        </w:rPr>
        <w:t>7.7职业健康</w:t>
      </w:r>
      <w:bookmarkEnd w:id="1437"/>
      <w:bookmarkEnd w:id="1438"/>
      <w:bookmarkEnd w:id="1439"/>
      <w:bookmarkEnd w:id="1440"/>
      <w:bookmarkEnd w:id="1441"/>
    </w:p>
    <w:p w14:paraId="77447D4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承包人应遵守适用的职业健康的法律和合同约定（包括对雇用、职业健康、安全、福利等方面的规定），负责现场实施过程中其人员的职业健康和保护，包括：</w:t>
      </w:r>
    </w:p>
    <w:p w14:paraId="697CC4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696EDC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（2）承包人应依法为承包人</w:t>
      </w:r>
      <w:bookmarkStart w:id="1442" w:name="_Hlk46339538"/>
      <w:r>
        <w:rPr>
          <w:rFonts w:hint="eastAsia" w:ascii="宋体" w:hAnsi="宋体" w:cs="宋体"/>
          <w:color w:val="auto"/>
          <w:szCs w:val="21"/>
          <w:highlight w:val="none"/>
        </w:rPr>
        <w:t>员工及承包人聘用的第三方人员</w:t>
      </w:r>
      <w:bookmarkEnd w:id="1442"/>
      <w:r>
        <w:rPr>
          <w:rFonts w:hint="eastAsia" w:ascii="宋体" w:hAnsi="宋体" w:cs="宋体"/>
          <w:color w:val="auto"/>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04B877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24551E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0735BB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14:paraId="6176BF17">
      <w:pPr>
        <w:adjustRightInd w:val="0"/>
        <w:snapToGrid w:val="0"/>
        <w:spacing w:line="360" w:lineRule="auto"/>
        <w:rPr>
          <w:rFonts w:ascii="宋体" w:hAnsi="宋体"/>
          <w:b/>
          <w:color w:val="auto"/>
          <w:sz w:val="24"/>
          <w:highlight w:val="none"/>
        </w:rPr>
      </w:pPr>
      <w:bookmarkStart w:id="1443" w:name="_Ref11874570"/>
      <w:bookmarkStart w:id="1444" w:name="_Toc145081603"/>
      <w:bookmarkStart w:id="1445" w:name="_Toc161228688"/>
      <w:bookmarkStart w:id="1446" w:name="_Toc54862243"/>
      <w:r>
        <w:rPr>
          <w:rFonts w:hint="eastAsia" w:ascii="宋体" w:hAnsi="宋体" w:eastAsia="宋体"/>
          <w:b/>
          <w:color w:val="auto"/>
          <w:sz w:val="24"/>
          <w:highlight w:val="none"/>
        </w:rPr>
        <w:t>7.8环境保护</w:t>
      </w:r>
      <w:bookmarkEnd w:id="1443"/>
      <w:bookmarkEnd w:id="1444"/>
      <w:bookmarkEnd w:id="1445"/>
      <w:bookmarkEnd w:id="1446"/>
    </w:p>
    <w:p w14:paraId="4356A6A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05D89A6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7.8.2承包人应采取措施，并负责控制和（或）处理现场的粉尘、废气、废水、固体废物和噪声对环境的污染和危害。因此发生的伤害、赔偿、罚款等费用增加，和（或）竣工日期延误，由承包人负责。</w:t>
      </w:r>
    </w:p>
    <w:p w14:paraId="4D528F5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603C8F3C">
      <w:pPr>
        <w:adjustRightInd w:val="0"/>
        <w:snapToGrid w:val="0"/>
        <w:spacing w:line="360" w:lineRule="auto"/>
        <w:rPr>
          <w:rFonts w:ascii="宋体" w:hAnsi="宋体"/>
          <w:b/>
          <w:color w:val="auto"/>
          <w:sz w:val="24"/>
          <w:highlight w:val="none"/>
        </w:rPr>
      </w:pPr>
      <w:bookmarkStart w:id="1447" w:name="_Toc145081604"/>
      <w:bookmarkStart w:id="1448" w:name="_Toc161228689"/>
      <w:bookmarkStart w:id="1449" w:name="_Ref531954344"/>
      <w:bookmarkStart w:id="1450" w:name="_Toc54862244"/>
      <w:bookmarkStart w:id="1451" w:name="_Ref531954340"/>
      <w:bookmarkStart w:id="1452" w:name="_Ref4771116"/>
      <w:r>
        <w:rPr>
          <w:rFonts w:hint="eastAsia" w:ascii="宋体" w:hAnsi="宋体" w:eastAsia="宋体"/>
          <w:b/>
          <w:color w:val="auto"/>
          <w:sz w:val="24"/>
          <w:highlight w:val="none"/>
        </w:rPr>
        <w:t>7.9临时性公用设施</w:t>
      </w:r>
      <w:bookmarkEnd w:id="1447"/>
      <w:bookmarkEnd w:id="1448"/>
      <w:bookmarkEnd w:id="1449"/>
      <w:bookmarkEnd w:id="1450"/>
      <w:bookmarkEnd w:id="1451"/>
      <w:bookmarkEnd w:id="1452"/>
    </w:p>
    <w:p w14:paraId="6AC20E0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7.9.1提供临时用水、用电等和节点铺设</w:t>
      </w:r>
    </w:p>
    <w:p w14:paraId="7C9CA1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0BCD5B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3F21F2F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7.9.2临时用水、用电等</w:t>
      </w:r>
    </w:p>
    <w:p w14:paraId="4715FA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承包人应在计划开始现场施工日期28天前或双方约定的其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5A9CAE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因承包人未能按合同约定提交上述资料，造成发包人费用增加和竣工日期延误时，由承包人负责。</w:t>
      </w:r>
      <w:bookmarkStart w:id="1453" w:name="_Ref508893743"/>
    </w:p>
    <w:p w14:paraId="6C077B50">
      <w:pPr>
        <w:adjustRightInd w:val="0"/>
        <w:snapToGrid w:val="0"/>
        <w:spacing w:line="360" w:lineRule="auto"/>
        <w:rPr>
          <w:rFonts w:ascii="宋体" w:hAnsi="宋体"/>
          <w:b/>
          <w:color w:val="auto"/>
          <w:sz w:val="24"/>
          <w:highlight w:val="none"/>
        </w:rPr>
      </w:pPr>
      <w:bookmarkStart w:id="1454" w:name="_Toc145081605"/>
      <w:bookmarkStart w:id="1455" w:name="_Ref531952239"/>
      <w:bookmarkStart w:id="1456" w:name="_Toc161228690"/>
      <w:bookmarkStart w:id="1457" w:name="_Ref531952248"/>
      <w:bookmarkStart w:id="1458" w:name="_Toc54862245"/>
      <w:r>
        <w:rPr>
          <w:rFonts w:hint="eastAsia" w:ascii="宋体" w:hAnsi="宋体" w:eastAsia="宋体"/>
          <w:b/>
          <w:color w:val="auto"/>
          <w:sz w:val="24"/>
          <w:highlight w:val="none"/>
        </w:rPr>
        <w:t>7.10现场安保</w:t>
      </w:r>
      <w:bookmarkEnd w:id="1454"/>
      <w:bookmarkEnd w:id="1455"/>
      <w:bookmarkEnd w:id="1456"/>
      <w:bookmarkEnd w:id="1457"/>
      <w:bookmarkEnd w:id="1458"/>
    </w:p>
    <w:p w14:paraId="5BAEE1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3BF66B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承包人应将其作业限制在现场区域、合同约定的区域或为履行合同所需的区域内。承包人应采取一切必要的预防措施，以保持承包人的设备和人员处于现场区域内，避免其进入邻近地区。</w:t>
      </w:r>
    </w:p>
    <w:p w14:paraId="722051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承包人为履行合同义务而占用的其他场所（如预制加工场所、办公及生活营区）的安保适用本款前述关于现场安保的规定。</w:t>
      </w:r>
    </w:p>
    <w:p w14:paraId="450B7F2F">
      <w:pPr>
        <w:adjustRightInd w:val="0"/>
        <w:snapToGrid w:val="0"/>
        <w:spacing w:line="360" w:lineRule="auto"/>
        <w:rPr>
          <w:rFonts w:ascii="宋体" w:hAnsi="宋体"/>
          <w:b/>
          <w:color w:val="auto"/>
          <w:sz w:val="24"/>
          <w:highlight w:val="none"/>
        </w:rPr>
      </w:pPr>
      <w:bookmarkStart w:id="1459" w:name="_Toc161228691"/>
      <w:bookmarkStart w:id="1460" w:name="_Toc54862246"/>
      <w:bookmarkStart w:id="1461" w:name="_Toc145081606"/>
      <w:r>
        <w:rPr>
          <w:rFonts w:hint="eastAsia" w:ascii="宋体" w:hAnsi="宋体" w:eastAsia="宋体"/>
          <w:b/>
          <w:color w:val="auto"/>
          <w:sz w:val="24"/>
          <w:highlight w:val="none"/>
        </w:rPr>
        <w:t>7.11工程照管</w:t>
      </w:r>
      <w:bookmarkEnd w:id="1459"/>
      <w:bookmarkEnd w:id="1460"/>
      <w:bookmarkEnd w:id="1461"/>
    </w:p>
    <w:p w14:paraId="35D7624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自开始现场施工日期起至发包人应当接收工程之日止，承包人应承担工程现场、材料、设备及承包人文件的照管和维护工作。</w:t>
      </w:r>
    </w:p>
    <w:p w14:paraId="59CD0F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如部分工程于竣工验收前提前交付发包人的，则自交付之日起，该部分工程照管及维护职责由发包人承担。</w:t>
      </w:r>
    </w:p>
    <w:p w14:paraId="29783C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如发包人及承包人进行竣工验收时尚有部分未竣工工程的，承包人应负责该未竣工工程的照管和维护工作，直至竣工后移交给发包人。</w:t>
      </w:r>
    </w:p>
    <w:p w14:paraId="4333BB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如合同解除或终止的，承包人自合同解除或终止之日起不再对工程承担照管和维护义务。</w:t>
      </w:r>
    </w:p>
    <w:p w14:paraId="0FEEC826">
      <w:pPr>
        <w:adjustRightInd w:val="0"/>
        <w:snapToGrid w:val="0"/>
        <w:spacing w:line="360" w:lineRule="auto"/>
        <w:rPr>
          <w:rFonts w:ascii="黑体" w:hAnsi="黑体" w:eastAsia="黑体"/>
          <w:color w:val="auto"/>
          <w:sz w:val="24"/>
          <w:highlight w:val="none"/>
        </w:rPr>
      </w:pPr>
      <w:bookmarkStart w:id="1462" w:name="_Toc54862247"/>
      <w:bookmarkStart w:id="1463" w:name="_Ref508998009"/>
      <w:bookmarkStart w:id="1464" w:name="_Toc161228692"/>
      <w:bookmarkStart w:id="1465" w:name="_Ref531954505"/>
      <w:bookmarkStart w:id="1466" w:name="_Ref531954518"/>
      <w:r>
        <w:rPr>
          <w:rFonts w:hint="eastAsia" w:ascii="黑体" w:hAnsi="黑体" w:eastAsia="黑体"/>
          <w:color w:val="auto"/>
          <w:sz w:val="24"/>
          <w:highlight w:val="none"/>
        </w:rPr>
        <w:t>第8条 工期和进度</w:t>
      </w:r>
      <w:bookmarkEnd w:id="1462"/>
      <w:bookmarkEnd w:id="1463"/>
      <w:bookmarkEnd w:id="1464"/>
    </w:p>
    <w:p w14:paraId="4A8FA6E0">
      <w:pPr>
        <w:adjustRightInd w:val="0"/>
        <w:snapToGrid w:val="0"/>
        <w:spacing w:line="360" w:lineRule="auto"/>
        <w:rPr>
          <w:rFonts w:ascii="宋体" w:hAnsi="宋体"/>
          <w:b/>
          <w:color w:val="auto"/>
          <w:sz w:val="24"/>
          <w:highlight w:val="none"/>
        </w:rPr>
      </w:pPr>
      <w:bookmarkStart w:id="1467" w:name="_Toc54862248"/>
      <w:bookmarkStart w:id="1468" w:name="_Toc161228693"/>
      <w:bookmarkStart w:id="1469" w:name="_Ref532362777"/>
      <w:bookmarkStart w:id="1470" w:name="_Ref532362774"/>
      <w:bookmarkStart w:id="1471" w:name="_Toc145081608"/>
      <w:bookmarkStart w:id="1472" w:name="_Ref532362072"/>
      <w:bookmarkStart w:id="1473" w:name="_Ref532362075"/>
      <w:r>
        <w:rPr>
          <w:rFonts w:hint="eastAsia" w:ascii="宋体" w:hAnsi="宋体" w:eastAsia="宋体"/>
          <w:b/>
          <w:color w:val="auto"/>
          <w:sz w:val="24"/>
          <w:highlight w:val="none"/>
        </w:rPr>
        <w:t>8.1开始工作</w:t>
      </w:r>
      <w:bookmarkEnd w:id="1467"/>
      <w:bookmarkEnd w:id="1468"/>
      <w:bookmarkEnd w:id="1469"/>
      <w:bookmarkEnd w:id="1470"/>
      <w:bookmarkEnd w:id="1471"/>
      <w:bookmarkEnd w:id="1472"/>
      <w:bookmarkEnd w:id="1473"/>
    </w:p>
    <w:p w14:paraId="3107026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74" w:name="_Ref4428890"/>
      <w:r>
        <w:rPr>
          <w:rFonts w:hint="eastAsia" w:ascii="宋体" w:hAnsi="宋体" w:cs="宋体"/>
          <w:color w:val="auto"/>
          <w:kern w:val="0"/>
          <w:szCs w:val="20"/>
          <w:highlight w:val="none"/>
          <w:lang w:bidi="ar"/>
        </w:rPr>
        <w:t>8.1.1开始工作准备</w:t>
      </w:r>
      <w:bookmarkEnd w:id="1474"/>
    </w:p>
    <w:p w14:paraId="76441C6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合同当事人应按专用合同条件约定完成开始工作准备工作。</w:t>
      </w:r>
    </w:p>
    <w:p w14:paraId="6EB304C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75" w:name="_Ref536790534"/>
      <w:bookmarkStart w:id="1476" w:name="_Hlk51506490"/>
      <w:r>
        <w:rPr>
          <w:rFonts w:hint="eastAsia" w:ascii="宋体" w:hAnsi="宋体" w:cs="宋体"/>
          <w:color w:val="auto"/>
          <w:kern w:val="0"/>
          <w:szCs w:val="20"/>
          <w:highlight w:val="none"/>
          <w:lang w:bidi="ar"/>
        </w:rPr>
        <w:t>8.1.2开始工作通知</w:t>
      </w:r>
      <w:bookmarkEnd w:id="1475"/>
    </w:p>
    <w:bookmarkEnd w:id="1476"/>
    <w:p w14:paraId="5AE263C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经发包人同意后，工程师应提前7天向承包人发出经发包人签认的开始工作通知，工期自开始工作通知中载明的开始工作日期起算。</w:t>
      </w:r>
    </w:p>
    <w:p w14:paraId="411E3C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除专用合同条件另有约定外，因发包人原因造成实际开始现场施工日期迟于</w:t>
      </w:r>
      <w:bookmarkStart w:id="1477" w:name="_Hlk51506566"/>
      <w:r>
        <w:rPr>
          <w:rFonts w:hint="eastAsia" w:ascii="宋体" w:hAnsi="宋体" w:cs="宋体"/>
          <w:color w:val="auto"/>
          <w:szCs w:val="21"/>
          <w:highlight w:val="none"/>
        </w:rPr>
        <w:t>计划开始现场施工日期</w:t>
      </w:r>
      <w:bookmarkEnd w:id="1477"/>
      <w:r>
        <w:rPr>
          <w:rFonts w:hint="eastAsia" w:ascii="宋体" w:hAnsi="宋体" w:cs="宋体"/>
          <w:color w:val="auto"/>
          <w:szCs w:val="21"/>
          <w:highlight w:val="none"/>
        </w:rPr>
        <w:t>后第84天的，承包人有权提出价格调整要求，或者解除合同。发包人应当承担由此增加的费用和（或）延误的工期，并向承包人支付合理利润。</w:t>
      </w:r>
    </w:p>
    <w:p w14:paraId="7AFAC062">
      <w:pPr>
        <w:adjustRightInd w:val="0"/>
        <w:snapToGrid w:val="0"/>
        <w:spacing w:line="360" w:lineRule="auto"/>
        <w:rPr>
          <w:rFonts w:ascii="宋体" w:hAnsi="宋体"/>
          <w:b/>
          <w:color w:val="auto"/>
          <w:sz w:val="24"/>
          <w:highlight w:val="none"/>
        </w:rPr>
      </w:pPr>
      <w:bookmarkStart w:id="1478" w:name="_Toc54862249"/>
      <w:bookmarkStart w:id="1479" w:name="_Ref532362124"/>
      <w:bookmarkStart w:id="1480" w:name="_Toc145081609"/>
      <w:bookmarkStart w:id="1481" w:name="_Toc161228694"/>
      <w:r>
        <w:rPr>
          <w:rFonts w:hint="eastAsia" w:ascii="宋体" w:hAnsi="宋体" w:eastAsia="宋体"/>
          <w:b/>
          <w:color w:val="auto"/>
          <w:sz w:val="24"/>
          <w:highlight w:val="none"/>
        </w:rPr>
        <w:t>8.2竣工日期</w:t>
      </w:r>
      <w:bookmarkEnd w:id="1478"/>
      <w:bookmarkEnd w:id="1479"/>
      <w:bookmarkEnd w:id="1480"/>
      <w:bookmarkEnd w:id="1481"/>
    </w:p>
    <w:p w14:paraId="331190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承包人应在合同协议书约定的工期内完成合同工作。除专用合同条件另有约定外，工程的竣工日期以第10.1条[竣工验收]的约定为准，并在工程接收证书中写明。</w:t>
      </w:r>
    </w:p>
    <w:p w14:paraId="5DF978C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因发包人原因，在工程师收到承包人竣工验收申请报告42天后未进行验收的，视为验收合格，实际竣工日期以提交竣工验收申请报告的日期为准，但发包人由于不可抗力不能进行验收的除外。</w:t>
      </w:r>
    </w:p>
    <w:p w14:paraId="7530252E">
      <w:pPr>
        <w:adjustRightInd w:val="0"/>
        <w:snapToGrid w:val="0"/>
        <w:spacing w:line="360" w:lineRule="auto"/>
        <w:rPr>
          <w:rFonts w:ascii="宋体" w:hAnsi="宋体"/>
          <w:b/>
          <w:color w:val="auto"/>
          <w:sz w:val="24"/>
          <w:highlight w:val="none"/>
        </w:rPr>
      </w:pPr>
      <w:bookmarkStart w:id="1482" w:name="_Toc161228695"/>
      <w:bookmarkStart w:id="1483" w:name="_Toc54862250"/>
      <w:bookmarkStart w:id="1484" w:name="_Toc145081610"/>
      <w:bookmarkStart w:id="1485" w:name="_Ref11863334"/>
      <w:bookmarkStart w:id="1486" w:name="_Ref532362204"/>
      <w:bookmarkStart w:id="1487" w:name="_Ref532362207"/>
      <w:bookmarkStart w:id="1488" w:name="_Ref532352856"/>
      <w:bookmarkStart w:id="1489" w:name="_Ref532352853"/>
      <w:r>
        <w:rPr>
          <w:rFonts w:hint="eastAsia" w:ascii="宋体" w:hAnsi="宋体" w:eastAsia="宋体"/>
          <w:b/>
          <w:color w:val="auto"/>
          <w:sz w:val="24"/>
          <w:highlight w:val="none"/>
        </w:rPr>
        <w:t>8.3项目实施计划</w:t>
      </w:r>
      <w:bookmarkEnd w:id="1482"/>
      <w:bookmarkEnd w:id="1483"/>
      <w:bookmarkEnd w:id="1484"/>
      <w:bookmarkEnd w:id="1485"/>
    </w:p>
    <w:p w14:paraId="54AF2BE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0" w:name="_Ref18990904"/>
      <w:r>
        <w:rPr>
          <w:rFonts w:hint="eastAsia" w:ascii="宋体" w:hAnsi="宋体" w:cs="宋体"/>
          <w:color w:val="auto"/>
          <w:kern w:val="0"/>
          <w:szCs w:val="20"/>
          <w:highlight w:val="none"/>
          <w:lang w:bidi="ar"/>
        </w:rPr>
        <w:t>8.3.1项目实施计划的内容</w:t>
      </w:r>
      <w:bookmarkEnd w:id="1490"/>
    </w:p>
    <w:p w14:paraId="54C9CA2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3677083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1" w:name="_Ref18990921"/>
      <w:r>
        <w:rPr>
          <w:rFonts w:hint="eastAsia" w:ascii="宋体" w:hAnsi="宋体" w:cs="宋体"/>
          <w:color w:val="auto"/>
          <w:kern w:val="0"/>
          <w:szCs w:val="20"/>
          <w:highlight w:val="none"/>
          <w:lang w:bidi="ar"/>
        </w:rPr>
        <w:t>8.3.2项目实施计划的提交和修改</w:t>
      </w:r>
      <w:bookmarkEnd w:id="1491"/>
    </w:p>
    <w:p w14:paraId="381E08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3B5C50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项目进度计划的编制和修改按照第8.4款[项目进度计划]执行。</w:t>
      </w:r>
    </w:p>
    <w:p w14:paraId="009CE3A6">
      <w:pPr>
        <w:adjustRightInd w:val="0"/>
        <w:snapToGrid w:val="0"/>
        <w:spacing w:line="360" w:lineRule="auto"/>
        <w:rPr>
          <w:rFonts w:ascii="宋体" w:hAnsi="宋体"/>
          <w:b/>
          <w:color w:val="auto"/>
          <w:sz w:val="24"/>
          <w:highlight w:val="none"/>
        </w:rPr>
      </w:pPr>
      <w:bookmarkStart w:id="1492" w:name="_Ref11865507"/>
      <w:bookmarkStart w:id="1493" w:name="_Toc54862251"/>
      <w:bookmarkStart w:id="1494" w:name="_Toc161228696"/>
      <w:bookmarkStart w:id="1495" w:name="_Toc145081611"/>
      <w:r>
        <w:rPr>
          <w:rFonts w:hint="eastAsia" w:ascii="宋体" w:hAnsi="宋体" w:eastAsia="宋体"/>
          <w:b/>
          <w:color w:val="auto"/>
          <w:sz w:val="24"/>
          <w:highlight w:val="none"/>
        </w:rPr>
        <w:t>8.4项目进度计划</w:t>
      </w:r>
      <w:bookmarkEnd w:id="1486"/>
      <w:bookmarkEnd w:id="1487"/>
      <w:bookmarkEnd w:id="1488"/>
      <w:bookmarkEnd w:id="1489"/>
      <w:bookmarkEnd w:id="1492"/>
      <w:bookmarkEnd w:id="1493"/>
      <w:bookmarkEnd w:id="1494"/>
      <w:bookmarkEnd w:id="1495"/>
    </w:p>
    <w:p w14:paraId="699D16B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6" w:name="_Ref4681217"/>
      <w:r>
        <w:rPr>
          <w:rFonts w:hint="eastAsia" w:ascii="宋体" w:hAnsi="宋体" w:cs="宋体"/>
          <w:color w:val="auto"/>
          <w:kern w:val="0"/>
          <w:szCs w:val="20"/>
          <w:highlight w:val="none"/>
          <w:lang w:bidi="ar"/>
        </w:rPr>
        <w:t>8.4.1项目进度计划的提交和修改</w:t>
      </w:r>
      <w:bookmarkEnd w:id="1496"/>
    </w:p>
    <w:p w14:paraId="4903BF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22F9092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7F097CF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7" w:name="_Ref4429079"/>
      <w:r>
        <w:rPr>
          <w:rFonts w:hint="eastAsia" w:ascii="宋体" w:hAnsi="宋体" w:cs="宋体"/>
          <w:color w:val="auto"/>
          <w:kern w:val="0"/>
          <w:szCs w:val="20"/>
          <w:highlight w:val="none"/>
          <w:lang w:bidi="ar"/>
        </w:rPr>
        <w:t>8.4.2项目进度计划的内容</w:t>
      </w:r>
      <w:bookmarkEnd w:id="1497"/>
    </w:p>
    <w:p w14:paraId="77DB452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2A88A0B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8" w:name="_Ref3848203"/>
      <w:r>
        <w:rPr>
          <w:rFonts w:hint="eastAsia" w:ascii="宋体" w:hAnsi="宋体" w:cs="宋体"/>
          <w:color w:val="auto"/>
          <w:kern w:val="0"/>
          <w:szCs w:val="20"/>
          <w:highlight w:val="none"/>
          <w:lang w:bidi="ar"/>
        </w:rPr>
        <w:t>8.4.3项目进度计划的修订</w:t>
      </w:r>
      <w:bookmarkEnd w:id="1498"/>
    </w:p>
    <w:p w14:paraId="162E15D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61101B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67420C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除合同当事人另有约定外，项目进度计划的修订并不能减轻或者免除双方按第8.7款[工期延误]、第8.8款[工期提前]、第8.9款[暂停工作]应承担的合同责任。</w:t>
      </w:r>
    </w:p>
    <w:p w14:paraId="4FAF27C1">
      <w:pPr>
        <w:adjustRightInd w:val="0"/>
        <w:snapToGrid w:val="0"/>
        <w:spacing w:line="360" w:lineRule="auto"/>
        <w:rPr>
          <w:rFonts w:ascii="宋体" w:hAnsi="宋体"/>
          <w:b/>
          <w:color w:val="auto"/>
          <w:sz w:val="24"/>
          <w:highlight w:val="none"/>
        </w:rPr>
      </w:pPr>
      <w:bookmarkStart w:id="1499" w:name="_Toc145081612"/>
      <w:bookmarkStart w:id="1500" w:name="_Ref532362278"/>
      <w:bookmarkStart w:id="1501" w:name="_Ref532362276"/>
      <w:bookmarkStart w:id="1502" w:name="_Toc161228697"/>
      <w:bookmarkStart w:id="1503" w:name="_Toc54862252"/>
      <w:r>
        <w:rPr>
          <w:rFonts w:hint="eastAsia" w:ascii="宋体" w:hAnsi="宋体" w:eastAsia="宋体"/>
          <w:b/>
          <w:color w:val="auto"/>
          <w:sz w:val="24"/>
          <w:highlight w:val="none"/>
        </w:rPr>
        <w:t>8.5进度报告</w:t>
      </w:r>
      <w:bookmarkEnd w:id="1499"/>
      <w:bookmarkEnd w:id="1500"/>
      <w:bookmarkEnd w:id="1501"/>
      <w:bookmarkEnd w:id="1502"/>
      <w:bookmarkEnd w:id="1503"/>
    </w:p>
    <w:p w14:paraId="5B26E2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项目实施过程中，承包人应进行实际进度记录，并根据工程师的要求编制月进度报告，并提交给工程师。进度报告应包含以下主要内容：</w:t>
      </w:r>
    </w:p>
    <w:p w14:paraId="36FAAF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（1）工程设计、采购、施工等各个工作内容的进展报告；</w:t>
      </w:r>
    </w:p>
    <w:p w14:paraId="784CBF6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（2）工程施工方法的一般说明；</w:t>
      </w:r>
    </w:p>
    <w:p w14:paraId="079947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（3）当月工程实施介入的项目人员、设备和材料的预估明细报告；</w:t>
      </w:r>
    </w:p>
    <w:p w14:paraId="721BF0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（4）当月实际进度与进度计划对比分析，以及提出未来可能引起工期延误的情形，同时提出应对措施；需要修订项目进度计划的，应对项目进度计划的修订部分进行说明；</w:t>
      </w:r>
    </w:p>
    <w:p w14:paraId="34304B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（5）承包人对于解决工期延误所提出的建议；</w:t>
      </w:r>
    </w:p>
    <w:p w14:paraId="6FE27B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（6）其他与工程有关的重大事项。</w:t>
      </w:r>
    </w:p>
    <w:p w14:paraId="1F99E7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进度报告的具体要求等，在专用合同条件约定。</w:t>
      </w:r>
    </w:p>
    <w:p w14:paraId="206A6FA3">
      <w:pPr>
        <w:adjustRightInd w:val="0"/>
        <w:snapToGrid w:val="0"/>
        <w:spacing w:line="360" w:lineRule="auto"/>
        <w:rPr>
          <w:rFonts w:ascii="宋体" w:hAnsi="宋体"/>
          <w:b/>
          <w:color w:val="auto"/>
          <w:sz w:val="24"/>
          <w:highlight w:val="none"/>
        </w:rPr>
      </w:pPr>
      <w:bookmarkStart w:id="1504" w:name="_Toc145081613"/>
      <w:bookmarkStart w:id="1505" w:name="_Toc54862253"/>
      <w:bookmarkStart w:id="1506" w:name="_Toc161228698"/>
      <w:r>
        <w:rPr>
          <w:rFonts w:hint="eastAsia" w:ascii="宋体" w:hAnsi="宋体" w:eastAsia="宋体"/>
          <w:b/>
          <w:color w:val="auto"/>
          <w:sz w:val="24"/>
          <w:highlight w:val="none"/>
        </w:rPr>
        <w:t>8.6提前预警</w:t>
      </w:r>
      <w:bookmarkEnd w:id="1504"/>
      <w:bookmarkEnd w:id="1505"/>
      <w:bookmarkEnd w:id="1506"/>
    </w:p>
    <w:p w14:paraId="090378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任何一方应当在下列情形发生时尽快书面通知另一方：</w:t>
      </w:r>
    </w:p>
    <w:p w14:paraId="07AB42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（1）该情形可能对合同的履行或实现合同目的产生不利影响；</w:t>
      </w:r>
    </w:p>
    <w:p w14:paraId="3DC0E6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（2）该情形可能对工程完成后的使用产生不利影响；</w:t>
      </w:r>
    </w:p>
    <w:p w14:paraId="715A57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（3）该情形可能导致合同价款增加；</w:t>
      </w:r>
    </w:p>
    <w:p w14:paraId="55244D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（4）该情形可能导致整个工程或单位/区段工程的工期延长。</w:t>
      </w:r>
    </w:p>
    <w:p w14:paraId="26DF9E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发包人有权要求承包人根据第13.2款[承包人的合理化建议]的约定提交变更建议，采取措施尽量避免或最小化上述情形的发生或影响。</w:t>
      </w:r>
    </w:p>
    <w:p w14:paraId="293FAE2E">
      <w:pPr>
        <w:adjustRightInd w:val="0"/>
        <w:snapToGrid w:val="0"/>
        <w:spacing w:line="360" w:lineRule="auto"/>
        <w:rPr>
          <w:rFonts w:ascii="宋体" w:hAnsi="宋体"/>
          <w:b/>
          <w:color w:val="auto"/>
          <w:sz w:val="24"/>
          <w:highlight w:val="none"/>
        </w:rPr>
      </w:pPr>
      <w:bookmarkStart w:id="1507" w:name="_Toc4784158"/>
      <w:bookmarkEnd w:id="1507"/>
      <w:bookmarkStart w:id="1508" w:name="_Toc4784168"/>
      <w:bookmarkEnd w:id="1508"/>
      <w:bookmarkStart w:id="1509" w:name="_Toc4784156"/>
      <w:bookmarkEnd w:id="1509"/>
      <w:bookmarkStart w:id="1510" w:name="_Toc4784160"/>
      <w:bookmarkEnd w:id="1510"/>
      <w:bookmarkStart w:id="1511" w:name="_Toc4784174"/>
      <w:bookmarkEnd w:id="1511"/>
      <w:bookmarkStart w:id="1512" w:name="_Toc4784166"/>
      <w:bookmarkEnd w:id="1512"/>
      <w:bookmarkStart w:id="1513" w:name="_Toc4784159"/>
      <w:bookmarkEnd w:id="1513"/>
      <w:bookmarkStart w:id="1514" w:name="_Toc4784162"/>
      <w:bookmarkEnd w:id="1514"/>
      <w:bookmarkStart w:id="1515" w:name="_Toc4784167"/>
      <w:bookmarkEnd w:id="1515"/>
      <w:bookmarkStart w:id="1516" w:name="_Toc4784173"/>
      <w:bookmarkEnd w:id="1516"/>
      <w:bookmarkStart w:id="1517" w:name="_Toc4784165"/>
      <w:bookmarkEnd w:id="1517"/>
      <w:bookmarkStart w:id="1518" w:name="_Toc4784171"/>
      <w:bookmarkEnd w:id="1518"/>
      <w:bookmarkStart w:id="1519" w:name="_Toc4784157"/>
      <w:bookmarkEnd w:id="1519"/>
      <w:bookmarkStart w:id="1520" w:name="_Toc4784163"/>
      <w:bookmarkEnd w:id="1520"/>
      <w:bookmarkStart w:id="1521" w:name="_Toc4784155"/>
      <w:bookmarkEnd w:id="1521"/>
      <w:bookmarkStart w:id="1522" w:name="_Toc4784175"/>
      <w:bookmarkEnd w:id="1522"/>
      <w:bookmarkStart w:id="1523" w:name="_Toc4784170"/>
      <w:bookmarkEnd w:id="1523"/>
      <w:bookmarkStart w:id="1524" w:name="_Toc4784154"/>
      <w:bookmarkEnd w:id="1524"/>
      <w:bookmarkStart w:id="1525" w:name="_Toc4784172"/>
      <w:bookmarkEnd w:id="1525"/>
      <w:bookmarkStart w:id="1526" w:name="_Toc4784161"/>
      <w:bookmarkEnd w:id="1526"/>
      <w:bookmarkStart w:id="1527" w:name="_Toc4784164"/>
      <w:bookmarkEnd w:id="1527"/>
      <w:bookmarkStart w:id="1528" w:name="_Toc4784169"/>
      <w:bookmarkEnd w:id="1528"/>
      <w:bookmarkStart w:id="1529" w:name="_Toc145081614"/>
      <w:bookmarkStart w:id="1530" w:name="_Ref4770106"/>
      <w:bookmarkStart w:id="1531" w:name="_Toc161228699"/>
      <w:bookmarkStart w:id="1532" w:name="_Toc54862254"/>
      <w:bookmarkStart w:id="1533" w:name="_Ref532362356"/>
      <w:bookmarkStart w:id="1534" w:name="_Ref532362359"/>
      <w:r>
        <w:rPr>
          <w:rFonts w:hint="eastAsia" w:ascii="宋体" w:hAnsi="宋体" w:eastAsia="宋体"/>
          <w:b/>
          <w:color w:val="auto"/>
          <w:sz w:val="24"/>
          <w:highlight w:val="none"/>
        </w:rPr>
        <w:t>8.7工期延误</w:t>
      </w:r>
      <w:bookmarkEnd w:id="1529"/>
      <w:bookmarkEnd w:id="1530"/>
      <w:bookmarkEnd w:id="1531"/>
      <w:bookmarkEnd w:id="1532"/>
    </w:p>
    <w:p w14:paraId="3452CD6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5" w:name="_Ref4796050"/>
      <w:r>
        <w:rPr>
          <w:rFonts w:hint="eastAsia" w:ascii="宋体" w:hAnsi="宋体" w:cs="宋体"/>
          <w:color w:val="auto"/>
          <w:kern w:val="0"/>
          <w:szCs w:val="20"/>
          <w:highlight w:val="none"/>
          <w:lang w:bidi="ar"/>
        </w:rPr>
        <w:t>8.7.1因发包人原因导致工期延误</w:t>
      </w:r>
      <w:bookmarkEnd w:id="1535"/>
    </w:p>
    <w:p w14:paraId="64F96B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在合同履行过程中，因下列情况导致工期延误和（或）费用增加的，由发包人承担由此延误的工期和（或）增加的费用，且发包人应支付承包人合理的利润：</w:t>
      </w:r>
    </w:p>
    <w:p w14:paraId="52B4D6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（1）根据第13条[变更与调整]的约定构成一项变更的；</w:t>
      </w:r>
    </w:p>
    <w:p w14:paraId="2544B6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（2）发包人违反本合同约定，导致工期延误和（或）费用增加的；</w:t>
      </w:r>
    </w:p>
    <w:p w14:paraId="2E3DDBB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（3）发包人、发包人代表、工程师或发包人聘请的任意第三方造成或引起的任何延误、妨碍和阻碍；</w:t>
      </w:r>
    </w:p>
    <w:p w14:paraId="37E535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（4）发包人未能依据第6.2.1项[发包人提供的材料和工程设备]的约定提供材料和工程设备导致工期延误和（或）费用增加的；</w:t>
      </w:r>
    </w:p>
    <w:p w14:paraId="26D100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（5）因发包人原因导致的暂停施工；</w:t>
      </w:r>
    </w:p>
    <w:p w14:paraId="30EC70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（6）发包人未及时履行相关合同义务，造成工期延误的其他原因。</w:t>
      </w:r>
    </w:p>
    <w:p w14:paraId="0064FA4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6" w:name="_Ref4770209"/>
      <w:r>
        <w:rPr>
          <w:rFonts w:hint="eastAsia" w:ascii="宋体" w:hAnsi="宋体" w:cs="宋体"/>
          <w:color w:val="auto"/>
          <w:kern w:val="0"/>
          <w:szCs w:val="20"/>
          <w:highlight w:val="none"/>
          <w:lang w:bidi="ar"/>
        </w:rPr>
        <w:t>8.7.2因承包人原因导致工期延误</w:t>
      </w:r>
      <w:bookmarkEnd w:id="1536"/>
    </w:p>
    <w:p w14:paraId="27FA25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由于承包人的原因，未能按项目进度计划完成工作，承包人应采取措施加快进度，并承担加快进度所增加的费用。</w:t>
      </w:r>
    </w:p>
    <w:p w14:paraId="45C638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0D6A128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7" w:name="_Ref4770872"/>
      <w:r>
        <w:rPr>
          <w:rFonts w:hint="eastAsia" w:ascii="宋体" w:hAnsi="宋体" w:cs="宋体"/>
          <w:color w:val="auto"/>
          <w:kern w:val="0"/>
          <w:szCs w:val="20"/>
          <w:highlight w:val="none"/>
          <w:lang w:bidi="ar"/>
        </w:rPr>
        <w:t>8.7.3行政审批迟延</w:t>
      </w:r>
      <w:bookmarkEnd w:id="1537"/>
    </w:p>
    <w:p w14:paraId="09C8EA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33A5E0F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8" w:name="_Ref4770933"/>
      <w:r>
        <w:rPr>
          <w:rFonts w:hint="eastAsia" w:ascii="宋体" w:hAnsi="宋体" w:cs="宋体"/>
          <w:color w:val="auto"/>
          <w:kern w:val="0"/>
          <w:szCs w:val="20"/>
          <w:highlight w:val="none"/>
          <w:lang w:bidi="ar"/>
        </w:rPr>
        <w:t>8.7.4异常恶劣的气候条件</w:t>
      </w:r>
      <w:bookmarkEnd w:id="1538"/>
    </w:p>
    <w:p w14:paraId="5FF064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1C3FB1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0CE279ED">
      <w:pPr>
        <w:adjustRightInd w:val="0"/>
        <w:snapToGrid w:val="0"/>
        <w:spacing w:line="360" w:lineRule="auto"/>
        <w:rPr>
          <w:rFonts w:ascii="宋体" w:hAnsi="宋体"/>
          <w:b/>
          <w:color w:val="auto"/>
          <w:sz w:val="24"/>
          <w:highlight w:val="none"/>
        </w:rPr>
      </w:pPr>
      <w:bookmarkStart w:id="1539" w:name="_Toc54862255"/>
      <w:bookmarkStart w:id="1540" w:name="_Toc161228700"/>
      <w:bookmarkStart w:id="1541" w:name="_Toc145081615"/>
      <w:bookmarkStart w:id="1542" w:name="_Ref4781828"/>
      <w:r>
        <w:rPr>
          <w:rFonts w:hint="eastAsia" w:ascii="宋体" w:hAnsi="宋体" w:eastAsia="宋体"/>
          <w:b/>
          <w:color w:val="auto"/>
          <w:sz w:val="24"/>
          <w:highlight w:val="none"/>
        </w:rPr>
        <w:t>8.8工期提前</w:t>
      </w:r>
      <w:bookmarkEnd w:id="1533"/>
      <w:bookmarkEnd w:id="1534"/>
      <w:bookmarkEnd w:id="1539"/>
      <w:bookmarkEnd w:id="1540"/>
      <w:bookmarkEnd w:id="1541"/>
      <w:bookmarkEnd w:id="1542"/>
    </w:p>
    <w:p w14:paraId="07E62E9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8.8.1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3992064B">
      <w:pPr>
        <w:tabs>
          <w:tab w:val="left" w:pos="851"/>
        </w:tabs>
        <w:adjustRightInd w:val="0"/>
        <w:snapToGrid w:val="0"/>
        <w:spacing w:line="360" w:lineRule="auto"/>
        <w:ind w:firstLine="420" w:firstLineChars="200"/>
        <w:rPr>
          <w:rFonts w:ascii="宋体" w:hAnsi="宋体" w:cs="宋体"/>
          <w:color w:val="auto"/>
          <w:highlight w:val="none"/>
        </w:rPr>
      </w:pPr>
      <w:bookmarkStart w:id="1543" w:name="_Ref4429347"/>
      <w:r>
        <w:rPr>
          <w:rFonts w:hint="eastAsia" w:ascii="宋体" w:hAnsi="宋体" w:cs="宋体"/>
          <w:color w:val="auto"/>
          <w:highlight w:val="none"/>
        </w:rPr>
        <w:t>8.8.2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543"/>
    </w:p>
    <w:p w14:paraId="3547AA55">
      <w:pPr>
        <w:adjustRightInd w:val="0"/>
        <w:snapToGrid w:val="0"/>
        <w:spacing w:line="360" w:lineRule="auto"/>
        <w:rPr>
          <w:rFonts w:ascii="宋体" w:hAnsi="宋体"/>
          <w:b/>
          <w:color w:val="auto"/>
          <w:sz w:val="24"/>
          <w:highlight w:val="none"/>
        </w:rPr>
      </w:pPr>
      <w:bookmarkStart w:id="1544" w:name="_Toc161228701"/>
      <w:bookmarkStart w:id="1545" w:name="_Toc145081616"/>
      <w:bookmarkStart w:id="1546" w:name="_Ref4615031"/>
      <w:bookmarkStart w:id="1547" w:name="_Toc54862256"/>
      <w:bookmarkStart w:id="1548" w:name="_Ref4615040"/>
      <w:r>
        <w:rPr>
          <w:rFonts w:hint="eastAsia" w:ascii="宋体" w:hAnsi="宋体" w:eastAsia="宋体"/>
          <w:b/>
          <w:color w:val="auto"/>
          <w:sz w:val="24"/>
          <w:highlight w:val="none"/>
        </w:rPr>
        <w:t>8.9暂停工作</w:t>
      </w:r>
      <w:bookmarkEnd w:id="1544"/>
      <w:bookmarkEnd w:id="1545"/>
      <w:bookmarkEnd w:id="1546"/>
      <w:bookmarkEnd w:id="1547"/>
      <w:bookmarkEnd w:id="1548"/>
    </w:p>
    <w:p w14:paraId="7ED39B1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49" w:name="_Ref4709151"/>
      <w:r>
        <w:rPr>
          <w:rFonts w:hint="eastAsia" w:ascii="宋体" w:hAnsi="宋体" w:cs="宋体"/>
          <w:color w:val="auto"/>
          <w:kern w:val="0"/>
          <w:szCs w:val="20"/>
          <w:highlight w:val="none"/>
          <w:lang w:bidi="ar"/>
        </w:rPr>
        <w:t>8.9.1由发包人暂停工作</w:t>
      </w:r>
      <w:bookmarkEnd w:id="1549"/>
    </w:p>
    <w:p w14:paraId="003C032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发包人认为必要时，可通过工程师向承包人发出经发包人签认的暂停工作通知，应列明暂停原因、暂停的日期及预计暂停的期限。承包人应按该通知暂停工作。</w:t>
      </w:r>
      <w:bookmarkStart w:id="1550" w:name="_Ref4709233"/>
    </w:p>
    <w:p w14:paraId="797680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承包人因执行暂停工作通知而造成费用的增加和（或）工期延误由发包人承担，并有权要求发包人支付合理利润，但</w:t>
      </w:r>
      <w:bookmarkEnd w:id="1550"/>
      <w:r>
        <w:rPr>
          <w:rFonts w:hint="eastAsia" w:ascii="宋体" w:hAnsi="宋体" w:cs="宋体"/>
          <w:color w:val="auto"/>
          <w:szCs w:val="21"/>
          <w:highlight w:val="none"/>
        </w:rPr>
        <w:t>由于承包人原因造成发包人暂停工作的除外。</w:t>
      </w:r>
    </w:p>
    <w:p w14:paraId="7A2C0EC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51" w:name="_Ref18972173"/>
      <w:r>
        <w:rPr>
          <w:rFonts w:hint="eastAsia" w:ascii="宋体" w:hAnsi="宋体" w:cs="宋体"/>
          <w:color w:val="auto"/>
          <w:kern w:val="0"/>
          <w:szCs w:val="20"/>
          <w:highlight w:val="none"/>
          <w:lang w:bidi="ar"/>
        </w:rPr>
        <w:t>8.9.2由承包人暂停工作</w:t>
      </w:r>
      <w:bookmarkEnd w:id="1551"/>
    </w:p>
    <w:p w14:paraId="4848D0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724CC0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05817333">
      <w:pPr>
        <w:adjustRightInd w:val="0"/>
        <w:snapToGrid w:val="0"/>
        <w:spacing w:line="360" w:lineRule="auto"/>
        <w:ind w:firstLine="420" w:firstLineChars="200"/>
        <w:rPr>
          <w:rFonts w:ascii="宋体" w:hAnsi="宋体" w:cs="宋体"/>
          <w:color w:val="auto"/>
          <w:szCs w:val="21"/>
          <w:highlight w:val="none"/>
        </w:rPr>
      </w:pPr>
      <w:bookmarkStart w:id="1552" w:name="_Ref4709224"/>
      <w:r>
        <w:rPr>
          <w:rFonts w:hint="eastAsia" w:ascii="宋体" w:hAnsi="宋体" w:cs="宋体"/>
          <w:color w:val="auto"/>
          <w:szCs w:val="21"/>
          <w:highlight w:val="none"/>
        </w:rPr>
        <w:t>（1）发包人拖延、拒绝批准付款申请和支付证书，或未能按合同约定支付价款，导致付款延误的；</w:t>
      </w:r>
      <w:bookmarkEnd w:id="1552"/>
    </w:p>
    <w:p w14:paraId="14BC8EB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（2）发包人未按约定履行合同其他义务导致承包人无法继续履行合同的，或者发包人明确表示暂停或实质上已暂停履行合同的。</w:t>
      </w:r>
    </w:p>
    <w:p w14:paraId="4451848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8.9.3除上述原因以外的暂停工作，双方应遵守第17条[不可抗力]的相关约定。</w:t>
      </w:r>
    </w:p>
    <w:p w14:paraId="235F06C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53" w:name="_Ref4709158"/>
      <w:r>
        <w:rPr>
          <w:rFonts w:hint="eastAsia" w:ascii="宋体" w:hAnsi="宋体" w:cs="宋体"/>
          <w:color w:val="auto"/>
          <w:kern w:val="0"/>
          <w:szCs w:val="20"/>
          <w:highlight w:val="none"/>
          <w:lang w:bidi="ar"/>
        </w:rPr>
        <w:t>8.9.4暂停工作期间的工程照管</w:t>
      </w:r>
      <w:bookmarkEnd w:id="1553"/>
    </w:p>
    <w:p w14:paraId="1670AC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4C19B7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因承包人未能尽到照管、保护的责任造成损失的，使发包人的费用增加，（或）竣工日期延误的，由承包人按本合同约定承担责任。</w:t>
      </w:r>
    </w:p>
    <w:p w14:paraId="7310AD2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8.9.5拖长的暂停</w:t>
      </w:r>
    </w:p>
    <w:p w14:paraId="4563CE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2C00E178">
      <w:pPr>
        <w:adjustRightInd w:val="0"/>
        <w:snapToGrid w:val="0"/>
        <w:spacing w:line="360" w:lineRule="auto"/>
        <w:rPr>
          <w:rFonts w:ascii="宋体" w:hAnsi="宋体"/>
          <w:b/>
          <w:color w:val="auto"/>
          <w:sz w:val="24"/>
          <w:highlight w:val="none"/>
        </w:rPr>
      </w:pPr>
      <w:bookmarkStart w:id="1554" w:name="_Toc161228702"/>
      <w:bookmarkStart w:id="1555" w:name="_Toc145081617"/>
      <w:bookmarkStart w:id="1556" w:name="_Toc54862257"/>
      <w:r>
        <w:rPr>
          <w:rFonts w:hint="eastAsia" w:ascii="宋体" w:hAnsi="宋体" w:eastAsia="宋体"/>
          <w:b/>
          <w:color w:val="auto"/>
          <w:sz w:val="24"/>
          <w:highlight w:val="none"/>
        </w:rPr>
        <w:t>8.10复工</w:t>
      </w:r>
      <w:bookmarkEnd w:id="1554"/>
      <w:bookmarkEnd w:id="1555"/>
      <w:bookmarkEnd w:id="1556"/>
    </w:p>
    <w:p w14:paraId="3671AB2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8.10.1收到发包人的复工通知后，承包人应按通知时间复工；发包人通知的复工时间应当给予承包人必要的准备复工时间。</w:t>
      </w:r>
    </w:p>
    <w:p w14:paraId="63C15AA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8.10.2不论由于何种原因引起暂停工作，双方均可要求对方一同对受暂停影响的工程、工程设备和工程物资进行检查，承包人应将检查结果及需要恢复、修复的内容和估算通知发包人。</w:t>
      </w:r>
    </w:p>
    <w:p w14:paraId="5C8B115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8.10.3除第17条[不可抗力]另有约定外，发生的恢复、修复价款及工期延误的后果由责任方承担。</w:t>
      </w:r>
    </w:p>
    <w:p w14:paraId="5CC00DE8">
      <w:pPr>
        <w:adjustRightInd w:val="0"/>
        <w:snapToGrid w:val="0"/>
        <w:spacing w:line="360" w:lineRule="auto"/>
        <w:rPr>
          <w:rFonts w:ascii="黑体" w:hAnsi="黑体" w:eastAsia="黑体"/>
          <w:color w:val="auto"/>
          <w:sz w:val="24"/>
          <w:highlight w:val="none"/>
        </w:rPr>
      </w:pPr>
      <w:bookmarkStart w:id="1557" w:name="_Toc54862258"/>
      <w:bookmarkStart w:id="1558" w:name="_Ref4621041"/>
      <w:bookmarkStart w:id="1559" w:name="_Toc161228703"/>
      <w:bookmarkStart w:id="1560" w:name="_Ref4621029"/>
      <w:r>
        <w:rPr>
          <w:rFonts w:hint="eastAsia" w:ascii="黑体" w:hAnsi="黑体" w:eastAsia="黑体"/>
          <w:color w:val="auto"/>
          <w:sz w:val="24"/>
          <w:highlight w:val="none"/>
        </w:rPr>
        <w:t>第9条 竣工试验</w:t>
      </w:r>
      <w:bookmarkEnd w:id="1465"/>
      <w:bookmarkEnd w:id="1557"/>
      <w:bookmarkEnd w:id="1558"/>
      <w:bookmarkEnd w:id="1559"/>
      <w:bookmarkEnd w:id="1560"/>
    </w:p>
    <w:p w14:paraId="4DD27C19">
      <w:pPr>
        <w:adjustRightInd w:val="0"/>
        <w:snapToGrid w:val="0"/>
        <w:spacing w:line="360" w:lineRule="auto"/>
        <w:rPr>
          <w:rFonts w:ascii="宋体" w:hAnsi="宋体"/>
          <w:b/>
          <w:color w:val="auto"/>
          <w:sz w:val="24"/>
          <w:highlight w:val="none"/>
        </w:rPr>
      </w:pPr>
      <w:bookmarkStart w:id="1561" w:name="_Toc161228704"/>
      <w:bookmarkStart w:id="1562" w:name="_Toc54862259"/>
      <w:bookmarkStart w:id="1563" w:name="_Toc145081619"/>
      <w:bookmarkStart w:id="1564" w:name="_Ref532586251"/>
      <w:bookmarkStart w:id="1565" w:name="_Ref532586248"/>
      <w:r>
        <w:rPr>
          <w:rFonts w:hint="eastAsia" w:ascii="宋体" w:hAnsi="宋体" w:eastAsia="宋体"/>
          <w:b/>
          <w:color w:val="auto"/>
          <w:sz w:val="24"/>
          <w:highlight w:val="none"/>
        </w:rPr>
        <w:t>9.1竣工试验的义务</w:t>
      </w:r>
      <w:bookmarkEnd w:id="1561"/>
      <w:bookmarkEnd w:id="1562"/>
      <w:bookmarkEnd w:id="1563"/>
      <w:bookmarkEnd w:id="1564"/>
      <w:bookmarkEnd w:id="1565"/>
    </w:p>
    <w:p w14:paraId="2F56203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9.1.1承包人完成工程或区段工程进行竣工试验所需的作业，并根据第5.4款[竣工文件]和第5.5款[操作和维修手册]提交文件后，进行竣工试验。</w:t>
      </w:r>
      <w:bookmarkStart w:id="1566" w:name="_Ref532586608"/>
    </w:p>
    <w:p w14:paraId="2983F306">
      <w:pPr>
        <w:tabs>
          <w:tab w:val="left" w:pos="851"/>
        </w:tabs>
        <w:adjustRightInd w:val="0"/>
        <w:snapToGrid w:val="0"/>
        <w:spacing w:line="360" w:lineRule="auto"/>
        <w:ind w:firstLine="420" w:firstLineChars="200"/>
        <w:rPr>
          <w:rFonts w:ascii="宋体" w:hAnsi="宋体" w:cs="宋体"/>
          <w:color w:val="auto"/>
          <w:highlight w:val="none"/>
        </w:rPr>
      </w:pPr>
      <w:bookmarkStart w:id="1567" w:name="_Ref11919920"/>
      <w:r>
        <w:rPr>
          <w:rFonts w:hint="eastAsia" w:ascii="宋体" w:hAnsi="宋体" w:cs="宋体"/>
          <w:color w:val="auto"/>
          <w:highlight w:val="none"/>
        </w:rPr>
        <w:t>9.1.2承包人应在进行竣工试验之前，至少提前42天向工程师提交详细的竣工试验计划，该计划应载明竣工试验的内容、地点、拟开展时间和需要发包人提供的资源条件。</w:t>
      </w:r>
      <w:bookmarkEnd w:id="1566"/>
      <w:r>
        <w:rPr>
          <w:rFonts w:hint="eastAsia" w:ascii="宋体" w:hAnsi="宋体" w:cs="宋体"/>
          <w:color w:val="auto"/>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567"/>
    </w:p>
    <w:p w14:paraId="65CBC338">
      <w:pPr>
        <w:tabs>
          <w:tab w:val="left" w:pos="851"/>
        </w:tabs>
        <w:adjustRightInd w:val="0"/>
        <w:snapToGrid w:val="0"/>
        <w:spacing w:line="360" w:lineRule="auto"/>
        <w:ind w:firstLine="420" w:firstLineChars="200"/>
        <w:rPr>
          <w:rFonts w:ascii="宋体" w:hAnsi="宋体" w:cs="宋体"/>
          <w:color w:val="auto"/>
          <w:highlight w:val="none"/>
        </w:rPr>
      </w:pPr>
      <w:bookmarkStart w:id="1568" w:name="_Ref532688147"/>
      <w:r>
        <w:rPr>
          <w:rFonts w:hint="eastAsia" w:ascii="宋体" w:hAnsi="宋体" w:cs="宋体"/>
          <w:color w:val="auto"/>
          <w:highlight w:val="none"/>
        </w:rPr>
        <w:t>9.1.3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568"/>
    </w:p>
    <w:p w14:paraId="34BC4D5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（1）承包人进行启动前试验，包括适当的检查和功能性试验，以证明工程或区段工程的每一部分均能够安全地承受下一阶段试验；</w:t>
      </w:r>
    </w:p>
    <w:p w14:paraId="1703EB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（2）承包人进行启动试验，以证明工程或区段工程能够在所有可利用的操作条件下安全运行，并按照专用合同条件和《发包人要求》中的规定操作；</w:t>
      </w:r>
    </w:p>
    <w:p w14:paraId="64816A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（3）承包人进行试运行试验。当工程或区段工程能稳定安全运行时，承包人应通知工程师，可以进行其他竣工试验，包括各种性能测试，以证明工程或区段工程符合《发包人要求》中列明的性能保证指标。</w:t>
      </w:r>
    </w:p>
    <w:p w14:paraId="3CB9AB0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进行上述试验不应构成第10条[验收和工程接收]规定的接收，但试验所产生的任何产品或其他收益均应归属于发包人。</w:t>
      </w:r>
    </w:p>
    <w:p w14:paraId="48B7C29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9.1.4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0F8F4CFF">
      <w:pPr>
        <w:adjustRightInd w:val="0"/>
        <w:snapToGrid w:val="0"/>
        <w:spacing w:line="360" w:lineRule="auto"/>
        <w:rPr>
          <w:rFonts w:ascii="宋体" w:hAnsi="宋体"/>
          <w:b/>
          <w:color w:val="auto"/>
          <w:sz w:val="24"/>
          <w:highlight w:val="none"/>
        </w:rPr>
      </w:pPr>
      <w:bookmarkStart w:id="1569" w:name="_Toc161228705"/>
      <w:bookmarkStart w:id="1570" w:name="_Toc54862260"/>
      <w:bookmarkStart w:id="1571" w:name="_Toc145081620"/>
      <w:r>
        <w:rPr>
          <w:rFonts w:hint="eastAsia" w:ascii="宋体" w:hAnsi="宋体" w:eastAsia="宋体"/>
          <w:b/>
          <w:color w:val="auto"/>
          <w:sz w:val="24"/>
          <w:highlight w:val="none"/>
        </w:rPr>
        <w:t>9.2延误的试验</w:t>
      </w:r>
      <w:bookmarkEnd w:id="1569"/>
      <w:bookmarkEnd w:id="1570"/>
      <w:bookmarkEnd w:id="1571"/>
    </w:p>
    <w:p w14:paraId="0CADA21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9.2.1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21EC98E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9.2.2承包人无正当理由延误进行竣工试验的，工程师可向其发出通知，要求其在收到通知后的21天内进行该项竣工试验。承包人应在该21天的期限内确定进行试验的日期，并至少提前7天通知工程师。</w:t>
      </w:r>
    </w:p>
    <w:p w14:paraId="263D7BE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9.2.3如果承包人未在该期限内进行竣工试验，则发包人有权自行组织该项竣工试验，由此产生的合理费用由承包人承担。发包人应在试验完成后28天内向承包人发送试验结果。</w:t>
      </w:r>
    </w:p>
    <w:p w14:paraId="0CFFB0AD">
      <w:pPr>
        <w:adjustRightInd w:val="0"/>
        <w:snapToGrid w:val="0"/>
        <w:spacing w:line="360" w:lineRule="auto"/>
        <w:rPr>
          <w:rFonts w:ascii="宋体" w:hAnsi="宋体"/>
          <w:b/>
          <w:color w:val="auto"/>
          <w:sz w:val="24"/>
          <w:highlight w:val="none"/>
        </w:rPr>
      </w:pPr>
      <w:bookmarkStart w:id="1572" w:name="_Toc145081621"/>
      <w:bookmarkStart w:id="1573" w:name="_Toc161228706"/>
      <w:bookmarkStart w:id="1574" w:name="_Ref532594592"/>
      <w:bookmarkStart w:id="1575" w:name="_Toc54862261"/>
      <w:bookmarkStart w:id="1576" w:name="_Ref532594588"/>
      <w:r>
        <w:rPr>
          <w:rFonts w:hint="eastAsia" w:ascii="宋体" w:hAnsi="宋体" w:eastAsia="宋体"/>
          <w:b/>
          <w:color w:val="auto"/>
          <w:sz w:val="24"/>
          <w:highlight w:val="none"/>
        </w:rPr>
        <w:t>9.3重新试验</w:t>
      </w:r>
      <w:bookmarkEnd w:id="1572"/>
      <w:bookmarkEnd w:id="1573"/>
      <w:bookmarkEnd w:id="1574"/>
      <w:bookmarkEnd w:id="1575"/>
      <w:bookmarkEnd w:id="1576"/>
    </w:p>
    <w:p w14:paraId="2D520E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1C894C66">
      <w:pPr>
        <w:adjustRightInd w:val="0"/>
        <w:snapToGrid w:val="0"/>
        <w:spacing w:line="360" w:lineRule="auto"/>
        <w:rPr>
          <w:rFonts w:ascii="宋体" w:hAnsi="宋体"/>
          <w:b/>
          <w:color w:val="auto"/>
          <w:sz w:val="24"/>
          <w:highlight w:val="none"/>
        </w:rPr>
      </w:pPr>
      <w:bookmarkStart w:id="1577" w:name="_Toc161228707"/>
      <w:bookmarkStart w:id="1578" w:name="_Ref532688221"/>
      <w:bookmarkStart w:id="1579" w:name="_Ref532688226"/>
      <w:bookmarkStart w:id="1580" w:name="_Toc145081622"/>
      <w:bookmarkStart w:id="1581" w:name="_Toc54862262"/>
      <w:r>
        <w:rPr>
          <w:rFonts w:hint="eastAsia" w:ascii="宋体" w:hAnsi="宋体" w:eastAsia="宋体"/>
          <w:b/>
          <w:color w:val="auto"/>
          <w:sz w:val="24"/>
          <w:highlight w:val="none"/>
        </w:rPr>
        <w:t>9.4未能通过竣工试验</w:t>
      </w:r>
      <w:bookmarkEnd w:id="1577"/>
      <w:bookmarkEnd w:id="1578"/>
      <w:bookmarkEnd w:id="1579"/>
      <w:bookmarkEnd w:id="1580"/>
      <w:bookmarkEnd w:id="1581"/>
    </w:p>
    <w:p w14:paraId="3FCF549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9.4.1因发包人原因导致竣工试验未能通过的，承包人进行竣工试验的费用由发包人承担，竣工日期相应顺延。</w:t>
      </w:r>
    </w:p>
    <w:p w14:paraId="20E6EC1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9.4.2如果工程或区段工程未能通过根据第9.3款[重新试验]重新进行的竣工试验的，则：</w:t>
      </w:r>
    </w:p>
    <w:p w14:paraId="2FB8EF3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（1）发包人有权要求承包人根据第6.6款[缺陷和修补]继续进行修补和改正，并根据第9.3款[重新试验]再次进行竣工试验；</w:t>
      </w:r>
    </w:p>
    <w:p w14:paraId="674A981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5CE0ED0F">
      <w:pPr>
        <w:adjustRightInd w:val="0"/>
        <w:snapToGrid w:val="0"/>
        <w:spacing w:line="360" w:lineRule="auto"/>
        <w:ind w:firstLine="420" w:firstLineChars="200"/>
        <w:rPr>
          <w:rFonts w:ascii="宋体" w:hAnsi="宋体" w:cs="宋体"/>
          <w:color w:val="auto"/>
          <w:szCs w:val="21"/>
          <w:highlight w:val="none"/>
        </w:rPr>
      </w:pPr>
      <w:bookmarkStart w:id="1582" w:name="_Ref4621461"/>
      <w:r>
        <w:rPr>
          <w:rFonts w:hint="eastAsia" w:ascii="宋体" w:hAnsi="宋体" w:cs="宋体"/>
          <w:color w:val="auto"/>
          <w:szCs w:val="21"/>
          <w:highlight w:val="none"/>
        </w:rPr>
        <w:t>（3）未能通过竣工试验，使工程或区段工程的任何主要部分丧失了生产、使用功能时，发包人有权指令承包人更换相关部分，承包人应承担因此增加的费用和误期损害赔偿责任，并赔偿发包人的相应损失</w:t>
      </w:r>
      <w:bookmarkEnd w:id="1582"/>
      <w:r>
        <w:rPr>
          <w:rFonts w:hint="eastAsia" w:ascii="宋体" w:hAnsi="宋体" w:cs="宋体"/>
          <w:color w:val="auto"/>
          <w:szCs w:val="21"/>
          <w:highlight w:val="none"/>
        </w:rPr>
        <w:t>；</w:t>
      </w:r>
    </w:p>
    <w:p w14:paraId="1EACAE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53B69601">
      <w:pPr>
        <w:adjustRightInd w:val="0"/>
        <w:snapToGrid w:val="0"/>
        <w:spacing w:line="360" w:lineRule="auto"/>
        <w:rPr>
          <w:rFonts w:ascii="黑体" w:hAnsi="黑体" w:eastAsia="黑体"/>
          <w:color w:val="auto"/>
          <w:sz w:val="24"/>
          <w:highlight w:val="none"/>
        </w:rPr>
      </w:pPr>
      <w:bookmarkStart w:id="1583" w:name="_Ref4618338"/>
      <w:bookmarkStart w:id="1584" w:name="_Ref4618348"/>
      <w:bookmarkStart w:id="1585" w:name="_Ref4624043"/>
      <w:bookmarkStart w:id="1586" w:name="_Toc161228708"/>
      <w:bookmarkStart w:id="1587" w:name="_Toc54862263"/>
      <w:r>
        <w:rPr>
          <w:rFonts w:hint="eastAsia" w:ascii="黑体" w:hAnsi="黑体" w:eastAsia="黑体"/>
          <w:color w:val="auto"/>
          <w:sz w:val="24"/>
          <w:highlight w:val="none"/>
        </w:rPr>
        <w:t>第10条 验收和工程接收</w:t>
      </w:r>
      <w:bookmarkEnd w:id="1583"/>
      <w:bookmarkEnd w:id="1584"/>
      <w:bookmarkEnd w:id="1585"/>
      <w:bookmarkEnd w:id="1586"/>
      <w:bookmarkEnd w:id="1587"/>
    </w:p>
    <w:p w14:paraId="0BE854A9">
      <w:pPr>
        <w:adjustRightInd w:val="0"/>
        <w:snapToGrid w:val="0"/>
        <w:spacing w:line="360" w:lineRule="auto"/>
        <w:rPr>
          <w:rFonts w:ascii="宋体" w:hAnsi="宋体"/>
          <w:b/>
          <w:color w:val="auto"/>
          <w:sz w:val="24"/>
          <w:highlight w:val="none"/>
        </w:rPr>
      </w:pPr>
      <w:bookmarkStart w:id="1588" w:name="_Ref532359152"/>
      <w:bookmarkStart w:id="1589" w:name="_Ref532359143"/>
      <w:bookmarkStart w:id="1590" w:name="_Toc161228709"/>
      <w:bookmarkStart w:id="1591" w:name="_Ref532301199"/>
      <w:bookmarkStart w:id="1592" w:name="_Ref532300801"/>
      <w:bookmarkStart w:id="1593" w:name="_Toc145081624"/>
      <w:bookmarkStart w:id="1594" w:name="_Ref532300804"/>
      <w:bookmarkStart w:id="1595" w:name="_Toc54862264"/>
      <w:bookmarkStart w:id="1596" w:name="_Ref532301202"/>
      <w:r>
        <w:rPr>
          <w:rFonts w:hint="eastAsia" w:ascii="宋体" w:hAnsi="宋体" w:eastAsia="宋体"/>
          <w:b/>
          <w:color w:val="auto"/>
          <w:sz w:val="24"/>
          <w:highlight w:val="none"/>
        </w:rPr>
        <w:t>10.1竣工验收</w:t>
      </w:r>
      <w:bookmarkEnd w:id="1588"/>
      <w:bookmarkEnd w:id="1589"/>
      <w:bookmarkEnd w:id="1590"/>
      <w:bookmarkEnd w:id="1591"/>
      <w:bookmarkEnd w:id="1592"/>
      <w:bookmarkEnd w:id="1593"/>
      <w:bookmarkEnd w:id="1594"/>
      <w:bookmarkEnd w:id="1595"/>
      <w:bookmarkEnd w:id="1596"/>
    </w:p>
    <w:p w14:paraId="2EC228C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7" w:name="_Ref532628356"/>
      <w:r>
        <w:rPr>
          <w:rFonts w:hint="eastAsia" w:ascii="宋体" w:hAnsi="宋体" w:cs="宋体"/>
          <w:color w:val="auto"/>
          <w:kern w:val="0"/>
          <w:szCs w:val="20"/>
          <w:highlight w:val="none"/>
          <w:lang w:bidi="ar"/>
        </w:rPr>
        <w:t>10.1.1竣工验收条件</w:t>
      </w:r>
    </w:p>
    <w:p w14:paraId="5B62F0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工程具备以下条件的，承包人可以申请竣工验收：</w:t>
      </w:r>
    </w:p>
    <w:p w14:paraId="08D5C78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7DFC11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（2）已按合同约定编制了扫尾工作和缺陷修补工作清单以及相应实施计划；</w:t>
      </w:r>
    </w:p>
    <w:p w14:paraId="6C42DD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（3）已按合同约定的内容和份数备齐竣工资料；</w:t>
      </w:r>
    </w:p>
    <w:p w14:paraId="523F95B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（4）合同约定要求在竣工验收前应完成的其他工作。</w:t>
      </w:r>
    </w:p>
    <w:bookmarkEnd w:id="1597"/>
    <w:p w14:paraId="08FB722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8" w:name="_Ref4429424"/>
      <w:bookmarkStart w:id="1599" w:name="_Hlk51506601"/>
      <w:r>
        <w:rPr>
          <w:rFonts w:hint="eastAsia" w:ascii="宋体" w:hAnsi="宋体" w:cs="宋体"/>
          <w:color w:val="auto"/>
          <w:kern w:val="0"/>
          <w:szCs w:val="20"/>
          <w:highlight w:val="none"/>
          <w:lang w:bidi="ar"/>
        </w:rPr>
        <w:t>10.1.2竣工验收程序</w:t>
      </w:r>
      <w:bookmarkEnd w:id="1598"/>
    </w:p>
    <w:bookmarkEnd w:id="1599"/>
    <w:p w14:paraId="06056E1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除专用合同条件另有约定外，承包人申请竣工验收的，应当按照以下程序进行：</w:t>
      </w:r>
    </w:p>
    <w:p w14:paraId="61C7C7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13A8F4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4A688D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074314A">
      <w:pPr>
        <w:adjustRightInd w:val="0"/>
        <w:snapToGrid w:val="0"/>
        <w:spacing w:line="360" w:lineRule="auto"/>
        <w:ind w:firstLine="420" w:firstLineChars="200"/>
        <w:rPr>
          <w:rFonts w:ascii="宋体" w:hAnsi="宋体" w:cs="宋体"/>
          <w:color w:val="auto"/>
          <w:szCs w:val="21"/>
          <w:highlight w:val="none"/>
        </w:rPr>
      </w:pPr>
      <w:bookmarkStart w:id="1600" w:name="_Hlk51506640"/>
      <w:r>
        <w:rPr>
          <w:rFonts w:hint="eastAsia" w:ascii="宋体" w:hAnsi="宋体" w:cs="宋体"/>
          <w:color w:val="auto"/>
          <w:szCs w:val="21"/>
          <w:highlight w:val="none"/>
        </w:rPr>
        <w:t>（4）因发包人原因，未在工程师收到承包人竣工验收申请报告之日起42天内完成竣工验收的，以承包人提交竣工验收申请报告之日作为工程实际竣工日期。</w:t>
      </w:r>
    </w:p>
    <w:bookmarkEnd w:id="1600"/>
    <w:p w14:paraId="6C70EB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（5）工程未经竣工验收，发包人擅自使用的，以转移占有工程之日为实际竣工日期。</w:t>
      </w:r>
    </w:p>
    <w:p w14:paraId="457527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除专用合同条件另有约定外，发包人不按照本项和第10.4款[接收证书]约定组织竣工验收、颁发工程接收证书的，每逾期一天，应以签约合同价为基数，按照贷款市场报价利率（LPR）支付违约金。</w:t>
      </w:r>
    </w:p>
    <w:p w14:paraId="45E2A307">
      <w:pPr>
        <w:adjustRightInd w:val="0"/>
        <w:snapToGrid w:val="0"/>
        <w:spacing w:line="360" w:lineRule="auto"/>
        <w:rPr>
          <w:rFonts w:ascii="宋体" w:hAnsi="宋体"/>
          <w:b/>
          <w:color w:val="auto"/>
          <w:sz w:val="24"/>
          <w:highlight w:val="none"/>
        </w:rPr>
      </w:pPr>
      <w:bookmarkStart w:id="1601" w:name="_Toc54862265"/>
      <w:bookmarkStart w:id="1602" w:name="_Ref532301210"/>
      <w:bookmarkStart w:id="1603" w:name="_Toc145081625"/>
      <w:bookmarkStart w:id="1604" w:name="_Ref532301213"/>
      <w:bookmarkStart w:id="1605" w:name="_Toc161228710"/>
      <w:r>
        <w:rPr>
          <w:rFonts w:hint="eastAsia" w:ascii="宋体" w:hAnsi="宋体" w:eastAsia="宋体"/>
          <w:b/>
          <w:color w:val="auto"/>
          <w:sz w:val="24"/>
          <w:highlight w:val="none"/>
        </w:rPr>
        <w:t>10.2单位/区段工程的验收</w:t>
      </w:r>
      <w:bookmarkEnd w:id="1601"/>
      <w:bookmarkEnd w:id="1602"/>
      <w:bookmarkEnd w:id="1603"/>
      <w:bookmarkEnd w:id="1604"/>
      <w:bookmarkEnd w:id="1605"/>
    </w:p>
    <w:p w14:paraId="0AF35C1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10.2.1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40A894B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10.2.2发包人在全部工程竣工前，使用已接收的单位/区段工程导致承包人费用增加的，发包人应承担由此增加的费用和（或）工期延误，并支付承包人合理利润。</w:t>
      </w:r>
    </w:p>
    <w:p w14:paraId="5BD64934">
      <w:pPr>
        <w:adjustRightInd w:val="0"/>
        <w:snapToGrid w:val="0"/>
        <w:spacing w:line="360" w:lineRule="auto"/>
        <w:rPr>
          <w:rFonts w:ascii="宋体" w:hAnsi="宋体"/>
          <w:b/>
          <w:color w:val="auto"/>
          <w:sz w:val="24"/>
          <w:highlight w:val="none"/>
        </w:rPr>
      </w:pPr>
      <w:bookmarkStart w:id="1606" w:name="_Toc145081626"/>
      <w:bookmarkStart w:id="1607" w:name="_Toc161228711"/>
      <w:bookmarkStart w:id="1608" w:name="_Toc54862266"/>
      <w:bookmarkStart w:id="1609" w:name="_Ref4429473"/>
      <w:bookmarkStart w:id="1610" w:name="_Ref532688351"/>
      <w:bookmarkStart w:id="1611" w:name="_Ref532688354"/>
      <w:r>
        <w:rPr>
          <w:rFonts w:hint="eastAsia" w:ascii="宋体" w:hAnsi="宋体" w:eastAsia="宋体"/>
          <w:b/>
          <w:color w:val="auto"/>
          <w:sz w:val="24"/>
          <w:highlight w:val="none"/>
        </w:rPr>
        <w:t>10.3工程的接收</w:t>
      </w:r>
      <w:bookmarkEnd w:id="1606"/>
      <w:bookmarkEnd w:id="1607"/>
      <w:bookmarkEnd w:id="1608"/>
    </w:p>
    <w:p w14:paraId="2F28856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10.3.1根据工程项目的具体情况和特点，可按工程或单位/区段工程进行接收，并在专用合同条件约定接收的先后顺序、时间安排和其他要求。</w:t>
      </w:r>
    </w:p>
    <w:p w14:paraId="4DEAB94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10.3.2除按本条约定已经提交的资料外，接收工程时承包人需提交竣工验收资料的类别、内容、份数和提交时间，在专用合同条件中约定。</w:t>
      </w:r>
    </w:p>
    <w:p w14:paraId="68E2E7C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10.3.3发包人无正当理由不接收工程的，发包人自应当接收工程之日起，承担工程照管、成品保护、保管等与工程有关的各项费用，合同当事人可以在专用合同条件中另行约定发包人逾期接收工程的违约责任。</w:t>
      </w:r>
    </w:p>
    <w:p w14:paraId="3C7B36B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10.3.4承包人无正当理由不移交工程的，承包人应承担工程照管、成品保护、保管等与工程有关的各项费用，合同当事人可以在专用合同条件中另行约定承包人无正当理由不移交工程的违约责任。</w:t>
      </w:r>
    </w:p>
    <w:p w14:paraId="095273E2">
      <w:pPr>
        <w:adjustRightInd w:val="0"/>
        <w:snapToGrid w:val="0"/>
        <w:spacing w:line="360" w:lineRule="auto"/>
        <w:rPr>
          <w:rFonts w:ascii="宋体" w:hAnsi="宋体"/>
          <w:b/>
          <w:color w:val="auto"/>
          <w:sz w:val="24"/>
          <w:highlight w:val="none"/>
        </w:rPr>
      </w:pPr>
      <w:bookmarkStart w:id="1612" w:name="_Toc145081627"/>
      <w:bookmarkStart w:id="1613" w:name="_Toc161228712"/>
      <w:bookmarkStart w:id="1614" w:name="_Toc54862267"/>
      <w:r>
        <w:rPr>
          <w:rFonts w:hint="eastAsia" w:ascii="宋体" w:hAnsi="宋体" w:eastAsia="宋体"/>
          <w:b/>
          <w:color w:val="auto"/>
          <w:sz w:val="24"/>
          <w:highlight w:val="none"/>
        </w:rPr>
        <w:t>10.4接收证书</w:t>
      </w:r>
      <w:bookmarkEnd w:id="1609"/>
      <w:bookmarkEnd w:id="1612"/>
      <w:bookmarkEnd w:id="1613"/>
      <w:bookmarkEnd w:id="1614"/>
    </w:p>
    <w:p w14:paraId="7422857D">
      <w:pPr>
        <w:tabs>
          <w:tab w:val="left" w:pos="851"/>
        </w:tabs>
        <w:adjustRightInd w:val="0"/>
        <w:snapToGrid w:val="0"/>
        <w:spacing w:line="360" w:lineRule="auto"/>
        <w:ind w:firstLine="420" w:firstLineChars="200"/>
        <w:rPr>
          <w:rFonts w:ascii="宋体" w:hAnsi="宋体" w:cs="宋体"/>
          <w:color w:val="auto"/>
          <w:highlight w:val="none"/>
        </w:rPr>
      </w:pPr>
      <w:bookmarkStart w:id="1615" w:name="_Ref4429542"/>
      <w:r>
        <w:rPr>
          <w:rFonts w:hint="eastAsia" w:ascii="宋体" w:hAnsi="宋体" w:cs="宋体"/>
          <w:color w:val="auto"/>
          <w:highlight w:val="none"/>
        </w:rPr>
        <w:t>10.4.1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615"/>
    </w:p>
    <w:p w14:paraId="5760EF7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240450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10.4.3竣工验收合格而发包人无正当理由逾期不颁发工程接收证书的，自验收合格后第15天起视为已颁发工程接收证书。</w:t>
      </w:r>
    </w:p>
    <w:p w14:paraId="0AF66B5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10.4.4工程未经验收或验收不合格，发包人擅自使用的，应在转移占有工程后7天内向承包人颁发工程接收证书；发包人无正当理由逾期不颁发工程接收证书的，自转移占有后第15天起视为已颁发工程接收证书。</w:t>
      </w:r>
    </w:p>
    <w:p w14:paraId="45E2118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10.4.5存在扫尾工作的，工程接收证书中应当将第14.5.3项[扫尾工作清单]中约定的扫尾工作清单作为工程接收证书附件。</w:t>
      </w:r>
    </w:p>
    <w:bookmarkEnd w:id="1610"/>
    <w:bookmarkEnd w:id="1611"/>
    <w:p w14:paraId="30FF5532">
      <w:pPr>
        <w:adjustRightInd w:val="0"/>
        <w:snapToGrid w:val="0"/>
        <w:spacing w:line="360" w:lineRule="auto"/>
        <w:rPr>
          <w:rFonts w:ascii="宋体" w:hAnsi="宋体"/>
          <w:b/>
          <w:color w:val="auto"/>
          <w:sz w:val="24"/>
          <w:highlight w:val="none"/>
        </w:rPr>
      </w:pPr>
      <w:bookmarkStart w:id="1616" w:name="_Toc161228713"/>
      <w:bookmarkStart w:id="1617" w:name="_Toc54862268"/>
      <w:bookmarkStart w:id="1618" w:name="_Ref4429932"/>
      <w:bookmarkStart w:id="1619" w:name="_Toc145081628"/>
      <w:bookmarkStart w:id="1620" w:name="_Ref4429935"/>
      <w:r>
        <w:rPr>
          <w:rFonts w:hint="eastAsia" w:ascii="宋体" w:hAnsi="宋体" w:eastAsia="宋体"/>
          <w:b/>
          <w:color w:val="auto"/>
          <w:sz w:val="24"/>
          <w:highlight w:val="none"/>
        </w:rPr>
        <w:t>10.5竣工退场</w:t>
      </w:r>
      <w:bookmarkEnd w:id="1616"/>
      <w:bookmarkEnd w:id="1617"/>
      <w:bookmarkEnd w:id="1618"/>
      <w:bookmarkEnd w:id="1619"/>
      <w:bookmarkEnd w:id="1620"/>
    </w:p>
    <w:p w14:paraId="3AE9F80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21" w:name="_Ref4429943"/>
      <w:r>
        <w:rPr>
          <w:rFonts w:hint="eastAsia" w:ascii="宋体" w:hAnsi="宋体" w:cs="宋体"/>
          <w:color w:val="auto"/>
          <w:kern w:val="0"/>
          <w:szCs w:val="20"/>
          <w:highlight w:val="none"/>
          <w:lang w:bidi="ar"/>
        </w:rPr>
        <w:t>10.5.1竣工退场</w:t>
      </w:r>
      <w:bookmarkEnd w:id="1621"/>
    </w:p>
    <w:p w14:paraId="439E50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颁发工程接收证书后，承包人应对施工现场进行清理，并撤离相关人员，使得施工现场处于以下状态，直至工程师检验合格为止：</w:t>
      </w:r>
    </w:p>
    <w:p w14:paraId="4251C3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（1）施工现场内残留的垃圾已全部清除出场；</w:t>
      </w:r>
    </w:p>
    <w:p w14:paraId="3D9F08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（2）临时工程已拆除，场地已按合同约定进行清理、平整或复原；</w:t>
      </w:r>
    </w:p>
    <w:p w14:paraId="52478A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（3）按合同约定应撤离的人员、承包人提供的施工设备和剩余的材料，包括废弃的施工设备和材料，已按计划撤离施工现场；</w:t>
      </w:r>
    </w:p>
    <w:p w14:paraId="2B318A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（4）施工现场周边及其附近道路、河道的施工堆积物，已全部清理；</w:t>
      </w:r>
    </w:p>
    <w:p w14:paraId="6428B1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（5）施工现场其他竣工退场工作已全部完成。</w:t>
      </w:r>
    </w:p>
    <w:p w14:paraId="397D78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2ED47A4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10.5.2地表还原</w:t>
      </w:r>
    </w:p>
    <w:p w14:paraId="60D167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承包人应按合同约定和工程师的要求恢复临时占地及清理场地，否则发包人有权委托其他人恢复或清理，所发生的费用由承包人承担。</w:t>
      </w:r>
    </w:p>
    <w:p w14:paraId="75434B0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22" w:name="_Ref20159437"/>
      <w:r>
        <w:rPr>
          <w:rFonts w:hint="eastAsia" w:ascii="宋体" w:hAnsi="宋体" w:cs="宋体"/>
          <w:color w:val="auto"/>
          <w:kern w:val="0"/>
          <w:szCs w:val="20"/>
          <w:highlight w:val="none"/>
          <w:lang w:bidi="ar"/>
        </w:rPr>
        <w:t>10.5.3人员撤离</w:t>
      </w:r>
      <w:bookmarkEnd w:id="1622"/>
    </w:p>
    <w:p w14:paraId="75A1AB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466"/>
    </w:p>
    <w:p w14:paraId="7B4B99C0">
      <w:pPr>
        <w:adjustRightInd w:val="0"/>
        <w:snapToGrid w:val="0"/>
        <w:spacing w:line="360" w:lineRule="auto"/>
        <w:rPr>
          <w:rFonts w:ascii="黑体" w:hAnsi="黑体" w:eastAsia="黑体"/>
          <w:color w:val="auto"/>
          <w:sz w:val="24"/>
          <w:highlight w:val="none"/>
        </w:rPr>
      </w:pPr>
      <w:bookmarkStart w:id="1623" w:name="_Ref531955009"/>
      <w:bookmarkStart w:id="1624" w:name="_Ref4796909"/>
      <w:bookmarkStart w:id="1625" w:name="_Toc54862269"/>
      <w:bookmarkStart w:id="1626" w:name="_Toc161228714"/>
      <w:bookmarkStart w:id="1627" w:name="_Ref4796906"/>
      <w:r>
        <w:rPr>
          <w:rFonts w:hint="eastAsia" w:ascii="黑体" w:hAnsi="黑体" w:eastAsia="黑体"/>
          <w:color w:val="auto"/>
          <w:sz w:val="24"/>
          <w:highlight w:val="none"/>
        </w:rPr>
        <w:t>第11条 缺陷责任与保修</w:t>
      </w:r>
      <w:bookmarkEnd w:id="1623"/>
      <w:bookmarkEnd w:id="1624"/>
      <w:bookmarkEnd w:id="1625"/>
      <w:bookmarkEnd w:id="1626"/>
      <w:bookmarkEnd w:id="1627"/>
    </w:p>
    <w:p w14:paraId="71776E59">
      <w:pPr>
        <w:adjustRightInd w:val="0"/>
        <w:snapToGrid w:val="0"/>
        <w:spacing w:line="360" w:lineRule="auto"/>
        <w:rPr>
          <w:rFonts w:ascii="宋体" w:hAnsi="宋体"/>
          <w:b/>
          <w:color w:val="auto"/>
          <w:sz w:val="24"/>
          <w:highlight w:val="none"/>
        </w:rPr>
      </w:pPr>
      <w:bookmarkStart w:id="1628" w:name="_Toc145081630"/>
      <w:bookmarkStart w:id="1629" w:name="_Toc54862270"/>
      <w:bookmarkStart w:id="1630" w:name="_Toc161228715"/>
      <w:bookmarkStart w:id="1631" w:name="_Ref531955248"/>
      <w:bookmarkStart w:id="1632" w:name="_Ref531955245"/>
      <w:bookmarkStart w:id="1633" w:name="_Ref532362928"/>
      <w:bookmarkStart w:id="1634" w:name="_Toc296503147"/>
      <w:bookmarkStart w:id="1635" w:name="_Toc337558841"/>
      <w:bookmarkStart w:id="1636" w:name="_Toc296346648"/>
      <w:r>
        <w:rPr>
          <w:rFonts w:hint="eastAsia" w:ascii="宋体" w:hAnsi="宋体" w:eastAsia="宋体"/>
          <w:b/>
          <w:color w:val="auto"/>
          <w:sz w:val="24"/>
          <w:highlight w:val="none"/>
        </w:rPr>
        <w:t>11.1工程保修的原则</w:t>
      </w:r>
      <w:bookmarkEnd w:id="1628"/>
      <w:bookmarkEnd w:id="1629"/>
      <w:bookmarkEnd w:id="1630"/>
    </w:p>
    <w:p w14:paraId="714E8D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4F728C6F">
      <w:pPr>
        <w:adjustRightInd w:val="0"/>
        <w:snapToGrid w:val="0"/>
        <w:spacing w:line="360" w:lineRule="auto"/>
        <w:rPr>
          <w:rFonts w:ascii="宋体" w:hAnsi="宋体"/>
          <w:b/>
          <w:color w:val="auto"/>
          <w:sz w:val="24"/>
          <w:highlight w:val="none"/>
        </w:rPr>
      </w:pPr>
      <w:bookmarkStart w:id="1637" w:name="_Toc161228716"/>
      <w:bookmarkStart w:id="1638" w:name="_Toc54862271"/>
      <w:bookmarkStart w:id="1639" w:name="_Ref4430062"/>
      <w:bookmarkStart w:id="1640" w:name="_Toc145081631"/>
      <w:r>
        <w:rPr>
          <w:rFonts w:hint="eastAsia" w:ascii="宋体" w:hAnsi="宋体" w:eastAsia="宋体"/>
          <w:b/>
          <w:color w:val="auto"/>
          <w:sz w:val="24"/>
          <w:highlight w:val="none"/>
        </w:rPr>
        <w:t>11.2缺陷责任</w:t>
      </w:r>
      <w:bookmarkEnd w:id="1631"/>
      <w:bookmarkEnd w:id="1632"/>
      <w:r>
        <w:rPr>
          <w:rFonts w:hint="eastAsia" w:ascii="宋体" w:hAnsi="宋体" w:eastAsia="宋体"/>
          <w:b/>
          <w:color w:val="auto"/>
          <w:sz w:val="24"/>
          <w:highlight w:val="none"/>
        </w:rPr>
        <w:t>期</w:t>
      </w:r>
      <w:bookmarkEnd w:id="1633"/>
      <w:bookmarkEnd w:id="1637"/>
      <w:bookmarkEnd w:id="1638"/>
      <w:bookmarkEnd w:id="1639"/>
      <w:bookmarkEnd w:id="1640"/>
    </w:p>
    <w:p w14:paraId="06FC68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缺陷责任期原则上从工程竣工验收合格之日起计算，合同当事人应在专用合同条件约定缺陷责任期的具体期限，但该期限最长不超过24个月。</w:t>
      </w:r>
    </w:p>
    <w:p w14:paraId="08F509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704AE1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35715E26">
      <w:pPr>
        <w:adjustRightInd w:val="0"/>
        <w:snapToGrid w:val="0"/>
        <w:spacing w:line="360" w:lineRule="auto"/>
        <w:rPr>
          <w:rFonts w:ascii="宋体" w:hAnsi="宋体"/>
          <w:b/>
          <w:color w:val="auto"/>
          <w:sz w:val="24"/>
          <w:highlight w:val="none"/>
        </w:rPr>
      </w:pPr>
      <w:bookmarkStart w:id="1641" w:name="_Toc54862272"/>
      <w:bookmarkStart w:id="1642" w:name="_Toc145081632"/>
      <w:bookmarkStart w:id="1643" w:name="_Ref532662486"/>
      <w:bookmarkStart w:id="1644" w:name="_Ref532662491"/>
      <w:bookmarkStart w:id="1645" w:name="_Toc161228717"/>
      <w:r>
        <w:rPr>
          <w:rFonts w:hint="eastAsia" w:ascii="宋体" w:hAnsi="宋体" w:eastAsia="宋体"/>
          <w:b/>
          <w:color w:val="auto"/>
          <w:sz w:val="24"/>
          <w:highlight w:val="none"/>
        </w:rPr>
        <w:t>11.3缺陷调查</w:t>
      </w:r>
      <w:bookmarkEnd w:id="1641"/>
      <w:bookmarkEnd w:id="1642"/>
      <w:bookmarkEnd w:id="1643"/>
      <w:bookmarkEnd w:id="1644"/>
      <w:bookmarkEnd w:id="1645"/>
    </w:p>
    <w:p w14:paraId="37413B0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11.3.1承包人缺陷调查</w:t>
      </w:r>
    </w:p>
    <w:p w14:paraId="323F3F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170B23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4431692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11.3.2缺陷责任</w:t>
      </w:r>
    </w:p>
    <w:p w14:paraId="469792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740337C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11.3.3修复费用</w:t>
      </w:r>
    </w:p>
    <w:p w14:paraId="097308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发包人和承包人应共同查清缺陷或损坏的原因。经查明属承包人原因造成的，应由承包人承担修复的费用。经查验非承包人原因造成的，发包人应承担修复的费用，并支付承包人合理利润。</w:t>
      </w:r>
    </w:p>
    <w:p w14:paraId="0FCB1A3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46" w:name="_Ref531955041"/>
      <w:r>
        <w:rPr>
          <w:rFonts w:hint="eastAsia" w:ascii="宋体" w:hAnsi="宋体" w:cs="宋体"/>
          <w:color w:val="auto"/>
          <w:kern w:val="0"/>
          <w:szCs w:val="20"/>
          <w:highlight w:val="none"/>
          <w:lang w:bidi="ar"/>
        </w:rPr>
        <w:t>11.3.4修复通知</w:t>
      </w:r>
      <w:bookmarkEnd w:id="1646"/>
    </w:p>
    <w:p w14:paraId="64079ED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0EA23AB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11.3.5在现场外修复</w:t>
      </w:r>
    </w:p>
    <w:p w14:paraId="4CA754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7D6F8B3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47" w:name="_Ref4534291"/>
      <w:bookmarkStart w:id="1648" w:name="_Hlk51506786"/>
      <w:r>
        <w:rPr>
          <w:rFonts w:hint="eastAsia" w:ascii="宋体" w:hAnsi="宋体" w:cs="宋体"/>
          <w:color w:val="auto"/>
          <w:kern w:val="0"/>
          <w:szCs w:val="20"/>
          <w:highlight w:val="none"/>
          <w:lang w:bidi="ar"/>
        </w:rPr>
        <w:t>11.3.6未能修复</w:t>
      </w:r>
      <w:bookmarkEnd w:id="1647"/>
    </w:p>
    <w:bookmarkEnd w:id="1648"/>
    <w:p w14:paraId="18DB35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6B23E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如果工程或工程设备的缺陷或损害使发包人实质上失去了工程的整体功能，发包人有权向承包人追回已支付的工程款项，并要求其赔偿发包人相应损失。</w:t>
      </w:r>
    </w:p>
    <w:bookmarkEnd w:id="1634"/>
    <w:bookmarkEnd w:id="1635"/>
    <w:bookmarkEnd w:id="1636"/>
    <w:p w14:paraId="3DE82379">
      <w:pPr>
        <w:adjustRightInd w:val="0"/>
        <w:snapToGrid w:val="0"/>
        <w:spacing w:line="360" w:lineRule="auto"/>
        <w:rPr>
          <w:rFonts w:ascii="宋体" w:hAnsi="宋体"/>
          <w:b/>
          <w:color w:val="auto"/>
          <w:sz w:val="24"/>
          <w:highlight w:val="none"/>
        </w:rPr>
      </w:pPr>
      <w:bookmarkStart w:id="1649" w:name="_Toc161228718"/>
      <w:bookmarkStart w:id="1650" w:name="_Ref532662552"/>
      <w:bookmarkStart w:id="1651" w:name="_Ref532662554"/>
      <w:bookmarkStart w:id="1652" w:name="_Toc145081633"/>
      <w:bookmarkStart w:id="1653" w:name="_Toc54862273"/>
      <w:r>
        <w:rPr>
          <w:rFonts w:hint="eastAsia" w:ascii="宋体" w:hAnsi="宋体" w:eastAsia="宋体"/>
          <w:b/>
          <w:color w:val="auto"/>
          <w:sz w:val="24"/>
          <w:highlight w:val="none"/>
        </w:rPr>
        <w:t>11.4缺陷修复后的进一步试验</w:t>
      </w:r>
      <w:bookmarkEnd w:id="1649"/>
      <w:bookmarkEnd w:id="1650"/>
      <w:bookmarkEnd w:id="1651"/>
      <w:bookmarkEnd w:id="1652"/>
      <w:bookmarkEnd w:id="1653"/>
    </w:p>
    <w:p w14:paraId="139085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27A542F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所有的重复试验应按照适用于先前试验的条款进行，但应由责任方承担修补工作的成本和重新试验的风险和费用。</w:t>
      </w:r>
    </w:p>
    <w:p w14:paraId="29E062B4">
      <w:pPr>
        <w:adjustRightInd w:val="0"/>
        <w:snapToGrid w:val="0"/>
        <w:spacing w:line="360" w:lineRule="auto"/>
        <w:rPr>
          <w:rFonts w:ascii="宋体" w:hAnsi="宋体"/>
          <w:b/>
          <w:color w:val="auto"/>
          <w:sz w:val="24"/>
          <w:highlight w:val="none"/>
        </w:rPr>
      </w:pPr>
      <w:bookmarkStart w:id="1654" w:name="_Toc161228719"/>
      <w:bookmarkStart w:id="1655" w:name="_Toc54862274"/>
      <w:bookmarkStart w:id="1656" w:name="_Toc145081634"/>
      <w:r>
        <w:rPr>
          <w:rFonts w:hint="eastAsia" w:ascii="宋体" w:hAnsi="宋体" w:eastAsia="宋体"/>
          <w:b/>
          <w:color w:val="auto"/>
          <w:sz w:val="24"/>
          <w:highlight w:val="none"/>
        </w:rPr>
        <w:t>11.5承包人出入权</w:t>
      </w:r>
      <w:bookmarkEnd w:id="1654"/>
      <w:bookmarkEnd w:id="1655"/>
      <w:bookmarkEnd w:id="1656"/>
    </w:p>
    <w:p w14:paraId="13ACFD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4DE92725">
      <w:pPr>
        <w:adjustRightInd w:val="0"/>
        <w:snapToGrid w:val="0"/>
        <w:spacing w:line="360" w:lineRule="auto"/>
        <w:rPr>
          <w:rFonts w:ascii="宋体" w:hAnsi="宋体"/>
          <w:b/>
          <w:color w:val="auto"/>
          <w:sz w:val="24"/>
          <w:highlight w:val="none"/>
        </w:rPr>
      </w:pPr>
      <w:bookmarkStart w:id="1657" w:name="_Toc145081635"/>
      <w:bookmarkStart w:id="1658" w:name="_Toc54862275"/>
      <w:bookmarkStart w:id="1659" w:name="_Ref4430223"/>
      <w:bookmarkStart w:id="1660" w:name="_Toc161228720"/>
      <w:bookmarkStart w:id="1661" w:name="_Ref4430229"/>
      <w:r>
        <w:rPr>
          <w:rFonts w:hint="eastAsia" w:ascii="宋体" w:hAnsi="宋体" w:eastAsia="宋体"/>
          <w:b/>
          <w:color w:val="auto"/>
          <w:sz w:val="24"/>
          <w:highlight w:val="none"/>
        </w:rPr>
        <w:t>11.6缺陷责任期终止证书</w:t>
      </w:r>
      <w:bookmarkEnd w:id="1657"/>
      <w:bookmarkEnd w:id="1658"/>
      <w:bookmarkEnd w:id="1659"/>
      <w:bookmarkEnd w:id="1660"/>
      <w:bookmarkEnd w:id="1661"/>
    </w:p>
    <w:p w14:paraId="0AE66E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w:t>
      </w:r>
      <w:bookmarkStart w:id="1662" w:name="_Hlk4686672"/>
      <w:r>
        <w:rPr>
          <w:rFonts w:hint="eastAsia" w:ascii="宋体" w:hAnsi="宋体" w:cs="宋体"/>
          <w:color w:val="auto"/>
          <w:szCs w:val="21"/>
          <w:highlight w:val="none"/>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662"/>
    </w:p>
    <w:p w14:paraId="396902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如根据第10.5.3项[人员撤离]承包人在施工现场还留有人员、施工设备和临时工程的，承包人应当在收到缺陷责任期终止证书后28天内，将上述人员、施工设备和临时工程撤离施工现场。</w:t>
      </w:r>
    </w:p>
    <w:p w14:paraId="7CC124E2">
      <w:pPr>
        <w:adjustRightInd w:val="0"/>
        <w:snapToGrid w:val="0"/>
        <w:spacing w:line="360" w:lineRule="auto"/>
        <w:rPr>
          <w:rFonts w:ascii="宋体" w:hAnsi="宋体"/>
          <w:b/>
          <w:color w:val="auto"/>
          <w:sz w:val="24"/>
          <w:highlight w:val="none"/>
        </w:rPr>
      </w:pPr>
      <w:bookmarkStart w:id="1663" w:name="_Ref4430272"/>
      <w:bookmarkStart w:id="1664" w:name="_Toc145081636"/>
      <w:bookmarkStart w:id="1665" w:name="_Toc54862276"/>
      <w:bookmarkStart w:id="1666" w:name="_Toc161228721"/>
      <w:r>
        <w:rPr>
          <w:rFonts w:hint="eastAsia" w:ascii="宋体" w:hAnsi="宋体" w:eastAsia="宋体"/>
          <w:b/>
          <w:color w:val="auto"/>
          <w:sz w:val="24"/>
          <w:highlight w:val="none"/>
        </w:rPr>
        <w:t>11.7保修责任</w:t>
      </w:r>
      <w:bookmarkEnd w:id="1663"/>
      <w:bookmarkEnd w:id="1664"/>
      <w:bookmarkEnd w:id="1665"/>
      <w:bookmarkEnd w:id="1666"/>
    </w:p>
    <w:p w14:paraId="56A677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因承包人原因导致的质量缺陷责任，由合同当事人根据有关法律规定，在专用合同条件和工程质量保修书中约定工程质量保修范围、期限和责任。</w:t>
      </w:r>
      <w:bookmarkEnd w:id="1453"/>
      <w:bookmarkStart w:id="1667" w:name="_Ref531957860"/>
      <w:bookmarkStart w:id="1668" w:name="_Ref531958289"/>
    </w:p>
    <w:bookmarkEnd w:id="1667"/>
    <w:p w14:paraId="20A79BDB">
      <w:pPr>
        <w:adjustRightInd w:val="0"/>
        <w:snapToGrid w:val="0"/>
        <w:spacing w:line="360" w:lineRule="auto"/>
        <w:rPr>
          <w:rFonts w:ascii="黑体" w:hAnsi="黑体" w:eastAsia="黑体"/>
          <w:color w:val="auto"/>
          <w:sz w:val="24"/>
          <w:highlight w:val="none"/>
        </w:rPr>
      </w:pPr>
      <w:bookmarkStart w:id="1669" w:name="_Ref4621057"/>
      <w:bookmarkStart w:id="1670" w:name="_Ref4621065"/>
      <w:bookmarkStart w:id="1671" w:name="_Toc54862277"/>
      <w:bookmarkStart w:id="1672" w:name="_Toc161228722"/>
      <w:bookmarkStart w:id="1673" w:name="_Ref4796958"/>
      <w:bookmarkStart w:id="1674" w:name="_Ref4796955"/>
      <w:r>
        <w:rPr>
          <w:rFonts w:hint="eastAsia" w:ascii="黑体" w:hAnsi="黑体" w:eastAsia="黑体"/>
          <w:color w:val="auto"/>
          <w:sz w:val="24"/>
          <w:highlight w:val="none"/>
        </w:rPr>
        <w:t>第12条 竣工后试验</w:t>
      </w:r>
      <w:bookmarkEnd w:id="1669"/>
      <w:bookmarkEnd w:id="1670"/>
      <w:bookmarkEnd w:id="1671"/>
      <w:bookmarkEnd w:id="1672"/>
    </w:p>
    <w:p w14:paraId="088CB0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本合同工程包含竣工后试验的，遵守本条约定。</w:t>
      </w:r>
    </w:p>
    <w:p w14:paraId="176B90F3">
      <w:pPr>
        <w:adjustRightInd w:val="0"/>
        <w:snapToGrid w:val="0"/>
        <w:spacing w:line="360" w:lineRule="auto"/>
        <w:rPr>
          <w:rFonts w:ascii="宋体" w:hAnsi="宋体"/>
          <w:b/>
          <w:color w:val="auto"/>
          <w:sz w:val="24"/>
          <w:highlight w:val="none"/>
        </w:rPr>
      </w:pPr>
      <w:bookmarkStart w:id="1675" w:name="_Ref531954604"/>
      <w:bookmarkStart w:id="1676" w:name="_Ref531954601"/>
      <w:bookmarkStart w:id="1677" w:name="_Toc161228723"/>
      <w:bookmarkStart w:id="1678" w:name="_Toc54862278"/>
      <w:bookmarkStart w:id="1679" w:name="_Ref531954694"/>
      <w:bookmarkStart w:id="1680" w:name="_Toc145081638"/>
      <w:bookmarkStart w:id="1681" w:name="_Hlk522259976"/>
      <w:r>
        <w:rPr>
          <w:rFonts w:hint="eastAsia" w:ascii="宋体" w:hAnsi="宋体" w:eastAsia="宋体"/>
          <w:b/>
          <w:color w:val="auto"/>
          <w:sz w:val="24"/>
          <w:highlight w:val="none"/>
        </w:rPr>
        <w:t>12.1竣工后试验</w:t>
      </w:r>
      <w:bookmarkEnd w:id="1675"/>
      <w:bookmarkEnd w:id="1676"/>
      <w:r>
        <w:rPr>
          <w:rFonts w:hint="eastAsia" w:ascii="宋体" w:hAnsi="宋体" w:eastAsia="宋体"/>
          <w:b/>
          <w:color w:val="auto"/>
          <w:sz w:val="24"/>
          <w:highlight w:val="none"/>
        </w:rPr>
        <w:t>的程序</w:t>
      </w:r>
      <w:bookmarkEnd w:id="1677"/>
      <w:bookmarkEnd w:id="1678"/>
      <w:bookmarkEnd w:id="1679"/>
      <w:bookmarkEnd w:id="1680"/>
    </w:p>
    <w:p w14:paraId="4B9C42EA">
      <w:pPr>
        <w:tabs>
          <w:tab w:val="left" w:pos="851"/>
        </w:tabs>
        <w:adjustRightInd w:val="0"/>
        <w:snapToGrid w:val="0"/>
        <w:spacing w:line="360" w:lineRule="auto"/>
        <w:ind w:firstLine="420" w:firstLineChars="200"/>
        <w:rPr>
          <w:rFonts w:ascii="宋体" w:hAnsi="宋体" w:cs="宋体"/>
          <w:color w:val="auto"/>
          <w:highlight w:val="none"/>
        </w:rPr>
      </w:pPr>
      <w:bookmarkStart w:id="1682" w:name="_Ref11920184"/>
      <w:r>
        <w:rPr>
          <w:rFonts w:hint="eastAsia" w:ascii="宋体" w:hAnsi="宋体" w:cs="宋体"/>
          <w:color w:val="auto"/>
          <w:highlight w:val="none"/>
        </w:rPr>
        <w:t>12.1.1工程或区段工程被发包人接收后，在合理可行的情况下应根据合同约定尽早进行竣工后试验。</w:t>
      </w:r>
      <w:bookmarkEnd w:id="1682"/>
    </w:p>
    <w:p w14:paraId="0D031A4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12.1.2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08AE6642">
      <w:pPr>
        <w:tabs>
          <w:tab w:val="left" w:pos="851"/>
        </w:tabs>
        <w:adjustRightInd w:val="0"/>
        <w:snapToGrid w:val="0"/>
        <w:spacing w:line="360" w:lineRule="auto"/>
        <w:ind w:firstLine="420" w:firstLineChars="200"/>
        <w:rPr>
          <w:rFonts w:ascii="宋体" w:hAnsi="宋体" w:cs="宋体"/>
          <w:color w:val="auto"/>
          <w:highlight w:val="none"/>
        </w:rPr>
      </w:pPr>
      <w:bookmarkStart w:id="1683" w:name="_Ref11920162"/>
      <w:r>
        <w:rPr>
          <w:rFonts w:hint="eastAsia" w:ascii="宋体" w:hAnsi="宋体" w:cs="宋体"/>
          <w:color w:val="auto"/>
          <w:highlight w:val="none"/>
        </w:rPr>
        <w:t>12.1.3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683"/>
    </w:p>
    <w:p w14:paraId="12568AAE">
      <w:pPr>
        <w:tabs>
          <w:tab w:val="left" w:pos="851"/>
        </w:tabs>
        <w:adjustRightInd w:val="0"/>
        <w:snapToGrid w:val="0"/>
        <w:spacing w:line="360" w:lineRule="auto"/>
        <w:ind w:firstLine="420" w:firstLineChars="200"/>
        <w:rPr>
          <w:rFonts w:ascii="宋体" w:hAnsi="宋体" w:cs="宋体"/>
          <w:color w:val="auto"/>
          <w:highlight w:val="none"/>
        </w:rPr>
      </w:pPr>
      <w:bookmarkStart w:id="1684" w:name="_Ref11920146"/>
      <w:r>
        <w:rPr>
          <w:rFonts w:hint="eastAsia" w:ascii="宋体" w:hAnsi="宋体" w:cs="宋体"/>
          <w:color w:val="auto"/>
          <w:highlight w:val="none"/>
        </w:rPr>
        <w:t>12.1.4发包人应根据《发包人要求》、承包人按照第5.5款</w:t>
      </w:r>
      <w:bookmarkStart w:id="1685" w:name="_Hlk18943978"/>
      <w:r>
        <w:rPr>
          <w:rFonts w:hint="eastAsia" w:ascii="宋体" w:hAnsi="宋体" w:cs="宋体"/>
          <w:color w:val="auto"/>
          <w:highlight w:val="none"/>
        </w:rPr>
        <w:t>[操作和维修手册]</w:t>
      </w:r>
      <w:bookmarkEnd w:id="1685"/>
      <w:r>
        <w:rPr>
          <w:rFonts w:hint="eastAsia" w:ascii="宋体" w:hAnsi="宋体" w:cs="宋体"/>
          <w:color w:val="auto"/>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684"/>
    </w:p>
    <w:p w14:paraId="28A1E06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12.1.5竣工后试验的结果应由双方进行整理和评价，并应适当考虑发包人对工程或其任何部分的使用，对工程或区段工程的性能、特性和试验结果产生的影响。</w:t>
      </w:r>
    </w:p>
    <w:p w14:paraId="313A898F">
      <w:pPr>
        <w:adjustRightInd w:val="0"/>
        <w:snapToGrid w:val="0"/>
        <w:spacing w:line="360" w:lineRule="auto"/>
        <w:rPr>
          <w:rFonts w:ascii="宋体" w:hAnsi="宋体"/>
          <w:b/>
          <w:color w:val="auto"/>
          <w:sz w:val="24"/>
          <w:highlight w:val="none"/>
        </w:rPr>
      </w:pPr>
      <w:bookmarkStart w:id="1686" w:name="_Toc145081639"/>
      <w:bookmarkStart w:id="1687" w:name="_Toc54862279"/>
      <w:bookmarkStart w:id="1688" w:name="_Ref531954781"/>
      <w:bookmarkStart w:id="1689" w:name="_Toc161228724"/>
      <w:bookmarkStart w:id="1690" w:name="_Ref531954785"/>
      <w:r>
        <w:rPr>
          <w:rFonts w:hint="eastAsia" w:ascii="宋体" w:hAnsi="宋体" w:eastAsia="宋体"/>
          <w:b/>
          <w:color w:val="auto"/>
          <w:sz w:val="24"/>
          <w:highlight w:val="none"/>
        </w:rPr>
        <w:t>12.2延误的试验</w:t>
      </w:r>
      <w:bookmarkEnd w:id="1686"/>
      <w:bookmarkEnd w:id="1687"/>
      <w:bookmarkEnd w:id="1688"/>
      <w:bookmarkEnd w:id="1689"/>
      <w:bookmarkEnd w:id="1690"/>
    </w:p>
    <w:p w14:paraId="1944C01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12.2.1如果竣工后试验因发包人原因被延误的，发包人应承担承包人由此增加的费用并支付承包人合理利润。</w:t>
      </w:r>
    </w:p>
    <w:p w14:paraId="3614637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12.2.2如果因承包人以外的原因，导致竣工后试验未能在缺陷责任期或双方另行同意的其他期限内完成，则相关工程或区段工程应视为已通过该竣工后试验。</w:t>
      </w:r>
    </w:p>
    <w:p w14:paraId="7A1E1A42">
      <w:pPr>
        <w:adjustRightInd w:val="0"/>
        <w:snapToGrid w:val="0"/>
        <w:spacing w:line="360" w:lineRule="auto"/>
        <w:rPr>
          <w:rFonts w:ascii="宋体" w:hAnsi="宋体"/>
          <w:b/>
          <w:color w:val="auto"/>
          <w:sz w:val="24"/>
          <w:highlight w:val="none"/>
        </w:rPr>
      </w:pPr>
      <w:bookmarkStart w:id="1691" w:name="_Toc145081640"/>
      <w:bookmarkStart w:id="1692" w:name="_Toc54862280"/>
      <w:bookmarkStart w:id="1693" w:name="_Toc161228725"/>
      <w:r>
        <w:rPr>
          <w:rFonts w:hint="eastAsia" w:ascii="宋体" w:hAnsi="宋体" w:eastAsia="宋体"/>
          <w:b/>
          <w:color w:val="auto"/>
          <w:sz w:val="24"/>
          <w:highlight w:val="none"/>
        </w:rPr>
        <w:t>12.3重新试验</w:t>
      </w:r>
      <w:bookmarkEnd w:id="1691"/>
      <w:bookmarkEnd w:id="1692"/>
      <w:bookmarkEnd w:id="1693"/>
    </w:p>
    <w:p w14:paraId="60589D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681"/>
    <w:p w14:paraId="0B966EBF">
      <w:pPr>
        <w:adjustRightInd w:val="0"/>
        <w:snapToGrid w:val="0"/>
        <w:spacing w:line="360" w:lineRule="auto"/>
        <w:rPr>
          <w:rFonts w:ascii="宋体" w:hAnsi="宋体"/>
          <w:b/>
          <w:color w:val="auto"/>
          <w:sz w:val="24"/>
          <w:highlight w:val="none"/>
        </w:rPr>
      </w:pPr>
      <w:bookmarkStart w:id="1694" w:name="_Toc145081641"/>
      <w:bookmarkStart w:id="1695" w:name="_Toc161228726"/>
      <w:bookmarkStart w:id="1696" w:name="_Ref531954811"/>
      <w:bookmarkStart w:id="1697" w:name="_Toc54862281"/>
      <w:bookmarkStart w:id="1698" w:name="_Ref531954819"/>
      <w:r>
        <w:rPr>
          <w:rFonts w:hint="eastAsia" w:ascii="宋体" w:hAnsi="宋体" w:eastAsia="宋体"/>
          <w:b/>
          <w:color w:val="auto"/>
          <w:sz w:val="24"/>
          <w:highlight w:val="none"/>
        </w:rPr>
        <w:t>12.4未能通过竣工后试验</w:t>
      </w:r>
      <w:bookmarkEnd w:id="1694"/>
      <w:bookmarkEnd w:id="1695"/>
      <w:bookmarkEnd w:id="1696"/>
      <w:bookmarkEnd w:id="1697"/>
      <w:bookmarkEnd w:id="1698"/>
    </w:p>
    <w:p w14:paraId="0913B0F5">
      <w:pPr>
        <w:tabs>
          <w:tab w:val="left" w:pos="851"/>
        </w:tabs>
        <w:adjustRightInd w:val="0"/>
        <w:snapToGrid w:val="0"/>
        <w:spacing w:line="360" w:lineRule="auto"/>
        <w:ind w:firstLine="420" w:firstLineChars="200"/>
        <w:rPr>
          <w:rFonts w:ascii="宋体" w:hAnsi="宋体" w:cs="宋体"/>
          <w:color w:val="auto"/>
          <w:highlight w:val="none"/>
        </w:rPr>
      </w:pPr>
      <w:bookmarkStart w:id="1699" w:name="_Ref531954829"/>
      <w:r>
        <w:rPr>
          <w:rFonts w:hint="eastAsia" w:ascii="宋体" w:hAnsi="宋体" w:cs="宋体"/>
          <w:color w:val="auto"/>
          <w:highlight w:val="none"/>
        </w:rPr>
        <w:t>12.4.1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699"/>
    </w:p>
    <w:p w14:paraId="7732AA3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12.4.2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4DEE92B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12.4.3发包人无故拖延给予承包人进行调查、调整或修补所需的进入工程或区段工程的许可，并造成承包人费用增加的，应承担由此增加的费用并支付承包人合理利润。</w:t>
      </w:r>
    </w:p>
    <w:p w14:paraId="3F45153B">
      <w:pPr>
        <w:adjustRightInd w:val="0"/>
        <w:snapToGrid w:val="0"/>
        <w:spacing w:line="360" w:lineRule="auto"/>
        <w:rPr>
          <w:rFonts w:ascii="黑体" w:hAnsi="黑体" w:eastAsia="黑体"/>
          <w:color w:val="auto"/>
          <w:sz w:val="24"/>
          <w:highlight w:val="none"/>
        </w:rPr>
      </w:pPr>
      <w:bookmarkStart w:id="1700" w:name="_Toc161228727"/>
      <w:bookmarkStart w:id="1701" w:name="_Toc54862282"/>
      <w:bookmarkStart w:id="1702" w:name="_Ref4415801"/>
      <w:r>
        <w:rPr>
          <w:rFonts w:hint="eastAsia" w:ascii="黑体" w:hAnsi="黑体" w:eastAsia="黑体"/>
          <w:color w:val="auto"/>
          <w:sz w:val="24"/>
          <w:highlight w:val="none"/>
        </w:rPr>
        <w:t>第13条 变更与调整</w:t>
      </w:r>
      <w:bookmarkEnd w:id="1700"/>
      <w:bookmarkEnd w:id="1701"/>
      <w:bookmarkEnd w:id="1702"/>
    </w:p>
    <w:p w14:paraId="39CBB0D6">
      <w:pPr>
        <w:adjustRightInd w:val="0"/>
        <w:snapToGrid w:val="0"/>
        <w:spacing w:line="360" w:lineRule="auto"/>
        <w:rPr>
          <w:rFonts w:ascii="宋体" w:hAnsi="宋体"/>
          <w:b/>
          <w:color w:val="auto"/>
          <w:sz w:val="24"/>
          <w:highlight w:val="none"/>
        </w:rPr>
      </w:pPr>
      <w:bookmarkStart w:id="1703" w:name="_Ref532668569"/>
      <w:bookmarkStart w:id="1704" w:name="_Ref532668573"/>
      <w:bookmarkStart w:id="1705" w:name="_Toc54862283"/>
      <w:bookmarkStart w:id="1706" w:name="_Ref532677087"/>
      <w:bookmarkStart w:id="1707" w:name="_Ref532677084"/>
      <w:bookmarkStart w:id="1708" w:name="_Toc161228728"/>
      <w:bookmarkStart w:id="1709" w:name="_Toc145081643"/>
      <w:bookmarkStart w:id="1710" w:name="_Ref532670393"/>
      <w:bookmarkStart w:id="1711" w:name="_Ref532670395"/>
      <w:r>
        <w:rPr>
          <w:rFonts w:hint="eastAsia" w:ascii="宋体" w:hAnsi="宋体" w:eastAsia="宋体"/>
          <w:b/>
          <w:color w:val="auto"/>
          <w:sz w:val="24"/>
          <w:highlight w:val="none"/>
        </w:rPr>
        <w:t>13.1发包人变更权</w:t>
      </w:r>
      <w:bookmarkEnd w:id="1703"/>
      <w:bookmarkEnd w:id="1704"/>
      <w:bookmarkEnd w:id="1705"/>
      <w:bookmarkEnd w:id="1706"/>
      <w:bookmarkEnd w:id="1707"/>
      <w:bookmarkEnd w:id="1708"/>
      <w:bookmarkEnd w:id="1709"/>
      <w:bookmarkEnd w:id="1710"/>
      <w:bookmarkEnd w:id="1711"/>
    </w:p>
    <w:p w14:paraId="01249C85">
      <w:pPr>
        <w:tabs>
          <w:tab w:val="left" w:pos="851"/>
        </w:tabs>
        <w:adjustRightInd w:val="0"/>
        <w:snapToGrid w:val="0"/>
        <w:spacing w:line="360" w:lineRule="auto"/>
        <w:ind w:firstLine="420" w:firstLineChars="200"/>
        <w:rPr>
          <w:rFonts w:ascii="宋体" w:hAnsi="宋体" w:cs="宋体"/>
          <w:color w:val="auto"/>
          <w:highlight w:val="none"/>
        </w:rPr>
      </w:pPr>
      <w:bookmarkStart w:id="1712" w:name="_Ref4534979"/>
      <w:r>
        <w:rPr>
          <w:rFonts w:hint="eastAsia" w:ascii="宋体" w:hAnsi="宋体" w:cs="宋体"/>
          <w:color w:val="auto"/>
          <w:highlight w:val="none"/>
        </w:rPr>
        <w:t>13.1.1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712"/>
      <w:r>
        <w:rPr>
          <w:rFonts w:hint="eastAsia" w:ascii="宋体" w:hAnsi="宋体" w:cs="宋体"/>
          <w:color w:val="auto"/>
          <w:highlight w:val="none"/>
        </w:rPr>
        <w:t>发包人与承包人对某项指示或批准是否构成变更产生争议的，按第20条[争议解决]处理。</w:t>
      </w:r>
    </w:p>
    <w:p w14:paraId="0B8C1DD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13.1.2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6778EA22">
      <w:pPr>
        <w:adjustRightInd w:val="0"/>
        <w:snapToGrid w:val="0"/>
        <w:spacing w:line="360" w:lineRule="auto"/>
        <w:rPr>
          <w:rFonts w:ascii="宋体" w:hAnsi="宋体"/>
          <w:b/>
          <w:color w:val="auto"/>
          <w:sz w:val="24"/>
          <w:highlight w:val="none"/>
        </w:rPr>
      </w:pPr>
      <w:bookmarkStart w:id="1713" w:name="_Ref531955587"/>
      <w:bookmarkStart w:id="1714" w:name="_Ref531955590"/>
      <w:bookmarkStart w:id="1715" w:name="_Toc161228729"/>
      <w:bookmarkStart w:id="1716" w:name="_Toc54862284"/>
      <w:bookmarkStart w:id="1717" w:name="_Toc145081644"/>
      <w:bookmarkStart w:id="1718" w:name="_Ref4623207"/>
      <w:r>
        <w:rPr>
          <w:rFonts w:hint="eastAsia" w:ascii="宋体" w:hAnsi="宋体" w:eastAsia="宋体"/>
          <w:b/>
          <w:color w:val="auto"/>
          <w:sz w:val="24"/>
          <w:highlight w:val="none"/>
        </w:rPr>
        <w:t>13.2承</w:t>
      </w:r>
      <w:bookmarkEnd w:id="1713"/>
      <w:bookmarkEnd w:id="1714"/>
      <w:r>
        <w:rPr>
          <w:rFonts w:hint="eastAsia" w:ascii="宋体" w:hAnsi="宋体" w:eastAsia="宋体"/>
          <w:b/>
          <w:color w:val="auto"/>
          <w:sz w:val="24"/>
          <w:highlight w:val="none"/>
        </w:rPr>
        <w:t>包人的合理化建议</w:t>
      </w:r>
      <w:bookmarkEnd w:id="1715"/>
      <w:bookmarkEnd w:id="1716"/>
      <w:bookmarkEnd w:id="1717"/>
      <w:bookmarkEnd w:id="1718"/>
    </w:p>
    <w:p w14:paraId="10C6922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13.2.1承包人提出合理化建议的，应向工程师提交合理化建议说明，说明建议的内容、理由以及实施该建议对合同价格和工期的影响。</w:t>
      </w:r>
    </w:p>
    <w:p w14:paraId="6E8B4BFC">
      <w:pPr>
        <w:tabs>
          <w:tab w:val="left" w:pos="851"/>
        </w:tabs>
        <w:adjustRightInd w:val="0"/>
        <w:snapToGrid w:val="0"/>
        <w:spacing w:line="360" w:lineRule="auto"/>
        <w:ind w:firstLine="420" w:firstLineChars="200"/>
        <w:rPr>
          <w:rFonts w:ascii="宋体" w:hAnsi="宋体" w:cs="宋体"/>
          <w:color w:val="auto"/>
          <w:highlight w:val="none"/>
        </w:rPr>
      </w:pPr>
      <w:bookmarkStart w:id="1719" w:name="_Ref4681686"/>
      <w:r>
        <w:rPr>
          <w:rFonts w:hint="eastAsia" w:ascii="宋体" w:hAnsi="宋体" w:cs="宋体"/>
          <w:color w:val="auto"/>
          <w:highlight w:val="none"/>
        </w:rPr>
        <w:t>13.2.2除专用合同条件另有约定外，</w:t>
      </w:r>
      <w:bookmarkStart w:id="1720" w:name="_Hlk4682273"/>
      <w:r>
        <w:rPr>
          <w:rFonts w:hint="eastAsia" w:ascii="宋体" w:hAnsi="宋体" w:cs="宋体"/>
          <w:color w:val="auto"/>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719"/>
      <w:r>
        <w:rPr>
          <w:rFonts w:hint="eastAsia" w:ascii="宋体" w:hAnsi="宋体" w:cs="宋体"/>
          <w:color w:val="auto"/>
          <w:highlight w:val="none"/>
        </w:rPr>
        <w:t>。</w:t>
      </w:r>
    </w:p>
    <w:p w14:paraId="2E8035E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13.2.3合理化建议降低了合同价格、缩短了工期或者提高了工程经济效益的，双方可以按照专用合同条件的约定进行利益分享。</w:t>
      </w:r>
    </w:p>
    <w:bookmarkEnd w:id="1720"/>
    <w:p w14:paraId="7FDA14B1">
      <w:pPr>
        <w:adjustRightInd w:val="0"/>
        <w:snapToGrid w:val="0"/>
        <w:spacing w:line="360" w:lineRule="auto"/>
        <w:rPr>
          <w:rFonts w:ascii="宋体" w:hAnsi="宋体"/>
          <w:b/>
          <w:color w:val="auto"/>
          <w:sz w:val="24"/>
          <w:highlight w:val="none"/>
        </w:rPr>
      </w:pPr>
      <w:bookmarkStart w:id="1721" w:name="_Ref532673538"/>
      <w:bookmarkStart w:id="1722" w:name="_Ref532673541"/>
      <w:bookmarkStart w:id="1723" w:name="_Toc145081645"/>
      <w:bookmarkStart w:id="1724" w:name="_Ref532671480"/>
      <w:bookmarkStart w:id="1725" w:name="_Ref532671484"/>
      <w:bookmarkStart w:id="1726" w:name="_Toc161228730"/>
      <w:bookmarkStart w:id="1727" w:name="_Ref532669305"/>
      <w:bookmarkStart w:id="1728" w:name="_Ref532669302"/>
      <w:bookmarkStart w:id="1729" w:name="_Toc54862285"/>
      <w:r>
        <w:rPr>
          <w:rFonts w:hint="eastAsia" w:ascii="宋体" w:hAnsi="宋体" w:eastAsia="宋体"/>
          <w:b/>
          <w:color w:val="auto"/>
          <w:sz w:val="24"/>
          <w:highlight w:val="none"/>
        </w:rPr>
        <w:t>13.3变更程序</w:t>
      </w:r>
      <w:bookmarkEnd w:id="1721"/>
      <w:bookmarkEnd w:id="1722"/>
      <w:bookmarkEnd w:id="1723"/>
      <w:bookmarkEnd w:id="1724"/>
      <w:bookmarkEnd w:id="1725"/>
      <w:bookmarkEnd w:id="1726"/>
      <w:bookmarkEnd w:id="1727"/>
      <w:bookmarkEnd w:id="1728"/>
      <w:bookmarkEnd w:id="1729"/>
    </w:p>
    <w:p w14:paraId="059DF46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30" w:name="_Ref4534600"/>
      <w:r>
        <w:rPr>
          <w:rFonts w:hint="eastAsia" w:ascii="宋体" w:hAnsi="宋体" w:cs="宋体"/>
          <w:color w:val="auto"/>
          <w:kern w:val="0"/>
          <w:szCs w:val="20"/>
          <w:highlight w:val="none"/>
          <w:lang w:bidi="ar"/>
        </w:rPr>
        <w:t>13.3.1发包人提出变更</w:t>
      </w:r>
      <w:bookmarkEnd w:id="1730"/>
    </w:p>
    <w:p w14:paraId="656808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发包人提出变更的，应通过工程师向承包人发出书面形式的变更指示，变更指示应说明计划变更的工程范围和变更的内容。</w:t>
      </w:r>
    </w:p>
    <w:p w14:paraId="14155EF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31" w:name="_Ref4534617"/>
      <w:r>
        <w:rPr>
          <w:rFonts w:hint="eastAsia" w:ascii="宋体" w:hAnsi="宋体" w:cs="宋体"/>
          <w:color w:val="auto"/>
          <w:kern w:val="0"/>
          <w:szCs w:val="20"/>
          <w:highlight w:val="none"/>
          <w:lang w:bidi="ar"/>
        </w:rPr>
        <w:t>13.3.2变更执行</w:t>
      </w:r>
      <w:bookmarkEnd w:id="1731"/>
    </w:p>
    <w:p w14:paraId="56A361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17ED49C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32" w:name="_Ref3835481"/>
      <w:r>
        <w:rPr>
          <w:rFonts w:hint="eastAsia" w:ascii="宋体" w:hAnsi="宋体" w:cs="宋体"/>
          <w:color w:val="auto"/>
          <w:kern w:val="0"/>
          <w:szCs w:val="20"/>
          <w:highlight w:val="none"/>
          <w:lang w:bidi="ar"/>
        </w:rPr>
        <w:t>13.3.3变更估价</w:t>
      </w:r>
      <w:bookmarkEnd w:id="1732"/>
    </w:p>
    <w:p w14:paraId="08AB2399">
      <w:pPr>
        <w:widowControl/>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13.3.3.1变更估价原则</w:t>
      </w:r>
    </w:p>
    <w:p w14:paraId="3B6980A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除专用合同条件另有约定外，变更估价按照本款约定处理：</w:t>
      </w:r>
    </w:p>
    <w:p w14:paraId="32F30C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（1）合同中未包含价格清单，合同价格应按照所执行的变更工程的成本加利润调整；</w:t>
      </w:r>
    </w:p>
    <w:p w14:paraId="27B40A7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（2）合同中包含价格清单，合同价格按照如下规则调整：</w:t>
      </w:r>
    </w:p>
    <w:p w14:paraId="6B9105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1）价格清单中有适用于变更工程项目的，应采用该项目的费率和价格；</w:t>
      </w:r>
    </w:p>
    <w:p w14:paraId="615EBF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2）价格清单中没有适用但有类似于变更工程项目的，可在合理范围内参照类似项目的费率或价格；</w:t>
      </w:r>
    </w:p>
    <w:p w14:paraId="2D90A4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3）价格清单中没有适用也没有类似于变更工程项目的，该工程项目应按成本加利润原则调整适用新的费率或价格。</w:t>
      </w:r>
    </w:p>
    <w:p w14:paraId="7BD53F51">
      <w:pPr>
        <w:widowControl/>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13.3.3.2变更估价程序</w:t>
      </w:r>
    </w:p>
    <w:p w14:paraId="3D9057C0">
      <w:pPr>
        <w:adjustRightInd w:val="0"/>
        <w:snapToGrid w:val="0"/>
        <w:spacing w:line="360" w:lineRule="auto"/>
        <w:ind w:firstLine="420" w:firstLineChars="200"/>
        <w:rPr>
          <w:rFonts w:ascii="宋体" w:hAnsi="宋体" w:cs="宋体"/>
          <w:color w:val="auto"/>
          <w:szCs w:val="21"/>
          <w:highlight w:val="none"/>
        </w:rPr>
      </w:pPr>
      <w:bookmarkStart w:id="1733" w:name="_Ref531955605"/>
      <w:bookmarkStart w:id="1734" w:name="_Ref531955607"/>
      <w:bookmarkStart w:id="1735" w:name="_Toc296346651"/>
      <w:bookmarkStart w:id="1736" w:name="_Toc337558844"/>
      <w:bookmarkStart w:id="1737" w:name="_Toc296503150"/>
      <w:r>
        <w:rPr>
          <w:rFonts w:hint="eastAsia" w:ascii="宋体" w:hAnsi="宋体" w:cs="宋体"/>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AC1510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因变更引起的价格调整应计入最近一期的进度款中支付。</w:t>
      </w:r>
    </w:p>
    <w:p w14:paraId="131C404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13.3.4变更引起的工期调整</w:t>
      </w:r>
    </w:p>
    <w:p w14:paraId="5BDE57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因变更引起工期变化的，合同当事人均可要求调整合同工期，由合同当事人按照第3.6款[商定或确定]并参考工程所在地的工期定额标准确定增减工期天数。</w:t>
      </w:r>
    </w:p>
    <w:p w14:paraId="28976157">
      <w:pPr>
        <w:adjustRightInd w:val="0"/>
        <w:snapToGrid w:val="0"/>
        <w:spacing w:line="360" w:lineRule="auto"/>
        <w:rPr>
          <w:rFonts w:ascii="宋体" w:hAnsi="宋体"/>
          <w:b/>
          <w:color w:val="auto"/>
          <w:sz w:val="24"/>
          <w:highlight w:val="none"/>
        </w:rPr>
      </w:pPr>
      <w:bookmarkStart w:id="1738" w:name="_Toc145081646"/>
      <w:bookmarkStart w:id="1739" w:name="_Ref4431237"/>
      <w:bookmarkStart w:id="1740" w:name="_Toc54862286"/>
      <w:bookmarkStart w:id="1741" w:name="_Toc161228731"/>
      <w:r>
        <w:rPr>
          <w:rFonts w:hint="eastAsia" w:ascii="宋体" w:hAnsi="宋体" w:eastAsia="宋体"/>
          <w:b/>
          <w:color w:val="auto"/>
          <w:sz w:val="24"/>
          <w:highlight w:val="none"/>
        </w:rPr>
        <w:t>13.4暂估价</w:t>
      </w:r>
      <w:bookmarkEnd w:id="1738"/>
      <w:bookmarkEnd w:id="1739"/>
      <w:bookmarkEnd w:id="1740"/>
      <w:bookmarkEnd w:id="1741"/>
    </w:p>
    <w:p w14:paraId="05FF522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42" w:name="_Ref4616729"/>
      <w:r>
        <w:rPr>
          <w:rFonts w:hint="eastAsia" w:ascii="宋体" w:hAnsi="宋体" w:cs="宋体"/>
          <w:color w:val="auto"/>
          <w:kern w:val="0"/>
          <w:szCs w:val="20"/>
          <w:highlight w:val="none"/>
          <w:lang w:bidi="ar"/>
        </w:rPr>
        <w:t>13.4.1依法必须招标的暂估价项目</w:t>
      </w:r>
      <w:bookmarkEnd w:id="1742"/>
    </w:p>
    <w:p w14:paraId="051A627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75DF4717">
      <w:pPr>
        <w:pStyle w:val="38"/>
        <w:spacing w:after="0" w:afterLines="0"/>
        <w:ind w:left="0" w:firstLine="420" w:firstLineChars="200"/>
        <w:rPr>
          <w:rFonts w:cs="宋体"/>
          <w:color w:val="auto"/>
          <w:sz w:val="21"/>
          <w:szCs w:val="21"/>
          <w:highlight w:val="none"/>
        </w:rPr>
      </w:pPr>
      <w:r>
        <w:rPr>
          <w:rFonts w:hint="eastAsia" w:cs="宋体"/>
          <w:color w:val="auto"/>
          <w:sz w:val="21"/>
          <w:szCs w:val="21"/>
          <w:highlight w:val="none"/>
        </w:rPr>
        <w:t>专用合同条件约定由发包人和承包人共同作为招标人的，与组织招标工作有关的费用在专用合同条件中约定。</w:t>
      </w:r>
    </w:p>
    <w:p w14:paraId="03705E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具体的招标程序以及发包人和承包人权利义务关系可在专用合同条件中约定。暂估价项目的中标金额与价格清单中所列暂估价的金额差以及相应的税金等其他费用应列入合同价格。</w:t>
      </w:r>
    </w:p>
    <w:p w14:paraId="03DC255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43" w:name="_Ref4682312"/>
      <w:r>
        <w:rPr>
          <w:rFonts w:hint="eastAsia" w:ascii="宋体" w:hAnsi="宋体" w:cs="宋体"/>
          <w:color w:val="auto"/>
          <w:kern w:val="0"/>
          <w:szCs w:val="20"/>
          <w:highlight w:val="none"/>
          <w:lang w:bidi="ar"/>
        </w:rPr>
        <w:t>13.4.2不属于依法必须招标的暂估价项目</w:t>
      </w:r>
      <w:bookmarkEnd w:id="1743"/>
    </w:p>
    <w:p w14:paraId="21FD1E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65D9EF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2793982">
      <w:pPr>
        <w:adjustRightInd w:val="0"/>
        <w:snapToGrid w:val="0"/>
        <w:spacing w:line="360" w:lineRule="auto"/>
        <w:rPr>
          <w:rFonts w:ascii="宋体" w:hAnsi="宋体"/>
          <w:b/>
          <w:color w:val="auto"/>
          <w:sz w:val="24"/>
          <w:highlight w:val="none"/>
        </w:rPr>
      </w:pPr>
      <w:bookmarkStart w:id="1744" w:name="_Toc54862287"/>
      <w:bookmarkStart w:id="1745" w:name="_Toc145081647"/>
      <w:bookmarkStart w:id="1746" w:name="_Toc161228732"/>
      <w:bookmarkStart w:id="1747" w:name="_Ref4431250"/>
      <w:r>
        <w:rPr>
          <w:rFonts w:hint="eastAsia" w:ascii="宋体" w:hAnsi="宋体" w:eastAsia="宋体"/>
          <w:b/>
          <w:color w:val="auto"/>
          <w:sz w:val="24"/>
          <w:highlight w:val="none"/>
        </w:rPr>
        <w:t>13.5暂列金额</w:t>
      </w:r>
      <w:bookmarkEnd w:id="1733"/>
      <w:bookmarkEnd w:id="1734"/>
      <w:bookmarkEnd w:id="1744"/>
      <w:bookmarkEnd w:id="1745"/>
      <w:bookmarkEnd w:id="1746"/>
      <w:bookmarkEnd w:id="1747"/>
    </w:p>
    <w:bookmarkEnd w:id="1735"/>
    <w:bookmarkEnd w:id="1736"/>
    <w:bookmarkEnd w:id="1737"/>
    <w:p w14:paraId="1C4745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6D96B9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对于每笔暂列金额，发包人可以指示用于下列支付：</w:t>
      </w:r>
    </w:p>
    <w:p w14:paraId="5C233A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（1）发包人根据第13.1款[发包人变更权]指示变更，决定对合同价格和付款计划表（如有）进行调整的、由承包人实施的工作（包括要提供的工程设备、材料和服务）；</w:t>
      </w:r>
    </w:p>
    <w:p w14:paraId="0A5198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购买的工程设备、材料、工作或服务，应支付包括承包人已付（或应付）的实际金额以及相应的管理费等费用和利润（管理费和利润应以实际金额为基数根据合同约定的费率（如有）或百分比计算）。</w:t>
      </w:r>
    </w:p>
    <w:p w14:paraId="6AE72B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AB7E12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每份包含暂列金额的文件还应包括用以证明暂列金额的所有有效的发票、凭证和账户或收据。</w:t>
      </w:r>
    </w:p>
    <w:p w14:paraId="40A7A14E">
      <w:pPr>
        <w:adjustRightInd w:val="0"/>
        <w:snapToGrid w:val="0"/>
        <w:spacing w:line="360" w:lineRule="auto"/>
        <w:rPr>
          <w:rFonts w:ascii="宋体" w:hAnsi="宋体"/>
          <w:b/>
          <w:color w:val="auto"/>
          <w:sz w:val="24"/>
          <w:highlight w:val="none"/>
        </w:rPr>
      </w:pPr>
      <w:bookmarkStart w:id="1748" w:name="_Toc145081648"/>
      <w:bookmarkStart w:id="1749" w:name="_Ref4431438"/>
      <w:bookmarkStart w:id="1750" w:name="_Toc296346653"/>
      <w:bookmarkStart w:id="1751" w:name="_Toc296503152"/>
      <w:bookmarkStart w:id="1752" w:name="_Toc337558845"/>
      <w:bookmarkStart w:id="1753" w:name="_Toc161228733"/>
      <w:bookmarkStart w:id="1754" w:name="_Toc54862288"/>
      <w:r>
        <w:rPr>
          <w:rFonts w:hint="eastAsia" w:ascii="宋体" w:hAnsi="宋体" w:eastAsia="宋体"/>
          <w:b/>
          <w:color w:val="auto"/>
          <w:sz w:val="24"/>
          <w:highlight w:val="none"/>
        </w:rPr>
        <w:t>13.6计日工</w:t>
      </w:r>
      <w:bookmarkEnd w:id="1748"/>
      <w:bookmarkEnd w:id="1749"/>
      <w:bookmarkEnd w:id="1750"/>
      <w:bookmarkEnd w:id="1751"/>
      <w:bookmarkEnd w:id="1752"/>
      <w:bookmarkEnd w:id="1753"/>
      <w:bookmarkEnd w:id="1754"/>
    </w:p>
    <w:p w14:paraId="318AE65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13.6.1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7FC8A32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13.6.2采用计日工计价的任何一项工作，承包人应在该项工作实施过程中，每天提交以下报表和有关凭证报送工程师审查：</w:t>
      </w:r>
    </w:p>
    <w:p w14:paraId="5E84CF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（1）工作名称、内容和数量；</w:t>
      </w:r>
    </w:p>
    <w:p w14:paraId="19598F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（2）投入该工作的所有人员的姓名、专业、工种、级别和耗用工时；</w:t>
      </w:r>
    </w:p>
    <w:p w14:paraId="0855F5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（3）投入该工作的材料类别和数量；</w:t>
      </w:r>
    </w:p>
    <w:p w14:paraId="034204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（4）投入该工作的施工设备型号、台数和耗用台时；</w:t>
      </w:r>
    </w:p>
    <w:p w14:paraId="5B7C6E9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（5）其他有关资料和凭证。</w:t>
      </w:r>
    </w:p>
    <w:p w14:paraId="719045B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计日工由承包人汇总后，列入最近一期进度付款申请单，由工程师审查并经发包人批准后列入进度付款。</w:t>
      </w:r>
    </w:p>
    <w:p w14:paraId="63BD1529">
      <w:pPr>
        <w:adjustRightInd w:val="0"/>
        <w:snapToGrid w:val="0"/>
        <w:spacing w:line="360" w:lineRule="auto"/>
        <w:rPr>
          <w:rFonts w:ascii="宋体" w:hAnsi="宋体"/>
          <w:b/>
          <w:color w:val="auto"/>
          <w:sz w:val="24"/>
          <w:highlight w:val="none"/>
        </w:rPr>
      </w:pPr>
      <w:bookmarkStart w:id="1755" w:name="_Ref4617331"/>
      <w:bookmarkStart w:id="1756" w:name="_Toc54862289"/>
      <w:bookmarkStart w:id="1757" w:name="_Toc145081649"/>
      <w:bookmarkStart w:id="1758" w:name="_Toc161228734"/>
      <w:bookmarkStart w:id="1759" w:name="_Ref4617318"/>
      <w:r>
        <w:rPr>
          <w:rFonts w:hint="eastAsia" w:ascii="宋体" w:hAnsi="宋体" w:eastAsia="宋体"/>
          <w:b/>
          <w:color w:val="auto"/>
          <w:sz w:val="24"/>
          <w:highlight w:val="none"/>
        </w:rPr>
        <w:t>13.7法律变化引起的调整</w:t>
      </w:r>
      <w:bookmarkEnd w:id="1755"/>
      <w:bookmarkEnd w:id="1756"/>
      <w:bookmarkEnd w:id="1757"/>
      <w:bookmarkEnd w:id="1758"/>
      <w:bookmarkEnd w:id="1759"/>
    </w:p>
    <w:p w14:paraId="6CF44A6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13.7.1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52E74D8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13.7.2因法律变化引起的合同价格和工期调整，合同当事人无法达成一致的，由工程师按第3.6款[商定或确定]的约定处理。</w:t>
      </w:r>
    </w:p>
    <w:p w14:paraId="04385C5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13.7.3因承包人原因造成工期延误，在工期延误期间出现法律变化的，由此增加的费用和（或）延误的工期由承包人承担。</w:t>
      </w:r>
    </w:p>
    <w:p w14:paraId="00366DC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13.7.4因法律变化而需要对工程的实施进行任何调整的，承包人应迅速通知发包人，或者发包人应迅速通知承包人，并附上详细的辅助资料。发包人接到通知后，应根据第13.3款[变更程序]发出变更指示。</w:t>
      </w:r>
    </w:p>
    <w:p w14:paraId="7C1DE320">
      <w:pPr>
        <w:adjustRightInd w:val="0"/>
        <w:snapToGrid w:val="0"/>
        <w:spacing w:line="360" w:lineRule="auto"/>
        <w:rPr>
          <w:rFonts w:ascii="宋体" w:hAnsi="宋体"/>
          <w:b/>
          <w:color w:val="auto"/>
          <w:sz w:val="24"/>
          <w:highlight w:val="none"/>
        </w:rPr>
      </w:pPr>
      <w:bookmarkStart w:id="1760" w:name="_Ref18977613"/>
      <w:bookmarkStart w:id="1761" w:name="_Ref531955627"/>
      <w:bookmarkStart w:id="1762" w:name="_Toc54862290"/>
      <w:bookmarkStart w:id="1763" w:name="_Toc145081650"/>
      <w:bookmarkStart w:id="1764" w:name="_Ref531955630"/>
      <w:bookmarkStart w:id="1765" w:name="_Toc161228735"/>
      <w:r>
        <w:rPr>
          <w:rFonts w:hint="eastAsia" w:ascii="宋体" w:hAnsi="宋体" w:eastAsia="宋体"/>
          <w:b/>
          <w:color w:val="auto"/>
          <w:sz w:val="24"/>
          <w:highlight w:val="none"/>
        </w:rPr>
        <w:t>13.8市场价格波动引起的调整</w:t>
      </w:r>
      <w:bookmarkEnd w:id="1760"/>
      <w:bookmarkEnd w:id="1761"/>
      <w:bookmarkEnd w:id="1762"/>
      <w:bookmarkEnd w:id="1763"/>
      <w:bookmarkEnd w:id="1764"/>
      <w:bookmarkEnd w:id="1765"/>
    </w:p>
    <w:p w14:paraId="290ED2A8">
      <w:pPr>
        <w:tabs>
          <w:tab w:val="left" w:pos="851"/>
        </w:tabs>
        <w:adjustRightInd w:val="0"/>
        <w:snapToGrid w:val="0"/>
        <w:spacing w:line="360" w:lineRule="auto"/>
        <w:ind w:firstLine="420" w:firstLineChars="200"/>
        <w:rPr>
          <w:rFonts w:ascii="宋体" w:hAnsi="宋体" w:cs="宋体"/>
          <w:color w:val="auto"/>
          <w:highlight w:val="none"/>
        </w:rPr>
      </w:pPr>
      <w:bookmarkStart w:id="1766" w:name="_Ref4709841"/>
      <w:r>
        <w:rPr>
          <w:rFonts w:hint="eastAsia" w:ascii="宋体" w:hAnsi="宋体" w:cs="宋体"/>
          <w:color w:val="auto"/>
          <w:highlight w:val="none"/>
        </w:rPr>
        <w:t>13.8.1主要工程材料、设备、人工价格与招标时基期价相比，波动幅度超过合同约定幅度的，双方按照合同约定的价格调整方式调整。</w:t>
      </w:r>
    </w:p>
    <w:p w14:paraId="0890596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13.8.2发包人与承包人在专用合同条件中约定采用《价格指数权重表》的，适用本项约定。</w:t>
      </w:r>
    </w:p>
    <w:p w14:paraId="645ABBDF">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13.8.2.1双方当事人可以将部分主要工程材料、工程设备、人工价格及其他双方认为应当根据市场价格调整的费用列入附件6[价格指数权重表]，并根据以下公式计算差额并调整合同价格：</w:t>
      </w:r>
    </w:p>
    <w:bookmarkEnd w:id="1766"/>
    <w:p w14:paraId="07B9C5A4">
      <w:pPr>
        <w:adjustRightInd w:val="0"/>
        <w:snapToGrid w:val="0"/>
        <w:spacing w:line="360" w:lineRule="auto"/>
        <w:ind w:firstLine="420" w:firstLineChars="200"/>
        <w:rPr>
          <w:rFonts w:ascii="宋体" w:hAnsi="宋体" w:cs="宋体"/>
          <w:color w:val="auto"/>
          <w:szCs w:val="21"/>
          <w:highlight w:val="none"/>
        </w:rPr>
      </w:pPr>
      <w:bookmarkStart w:id="1767" w:name="_Ref4616996"/>
      <w:r>
        <w:rPr>
          <w:rFonts w:hint="eastAsia" w:ascii="宋体" w:hAnsi="宋体" w:cs="宋体"/>
          <w:color w:val="auto"/>
          <w:szCs w:val="21"/>
          <w:highlight w:val="none"/>
        </w:rPr>
        <w:t>（1）价格调整公式</w:t>
      </w:r>
      <w:bookmarkEnd w:id="1767"/>
    </w:p>
    <w:p w14:paraId="09AB273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pict>
          <v:shape id="_x0000_i1025" o:spt="75" type="#_x0000_t75" style="height:53.25pt;width:376.5pt;" filled="f" o:preferrelative="t" stroked="f" coordsize="21600,21600">
            <v:path/>
            <v:fill on="f" focussize="0,0"/>
            <v:stroke on="f" joinstyle="miter"/>
            <v:imagedata r:id="rId53" o:title=""/>
            <o:lock v:ext="edit" aspectratio="t"/>
            <w10:wrap type="none"/>
            <w10:anchorlock/>
          </v:shape>
        </w:pict>
      </w:r>
    </w:p>
    <w:p w14:paraId="537C41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公式中：△P---需调整的价格差额；</w:t>
      </w:r>
    </w:p>
    <w:p w14:paraId="624C3F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7FBC55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A---定值权重（即不调部分的权重）；</w:t>
      </w:r>
    </w:p>
    <w:p w14:paraId="1A0B5E72">
      <w:pPr>
        <w:adjustRightInd w:val="0"/>
        <w:snapToGrid w:val="0"/>
        <w:spacing w:line="360" w:lineRule="auto"/>
        <w:ind w:firstLine="420" w:firstLineChars="200"/>
        <w:rPr>
          <w:rFonts w:ascii="宋体" w:hAnsi="宋体" w:cs="宋体"/>
          <w:color w:val="auto"/>
          <w:szCs w:val="21"/>
          <w:highlight w:val="none"/>
        </w:rPr>
      </w:pPr>
      <w:bookmarkStart w:id="1768" w:name="_Hlk24103184"/>
      <w:r>
        <w:rPr>
          <w:rFonts w:hint="eastAsia" w:ascii="宋体" w:hAnsi="宋体" w:cs="宋体"/>
          <w:color w:val="auto"/>
          <w:szCs w:val="21"/>
          <w:highlight w:val="none"/>
        </w:rPr>
        <w:t>B1</w:t>
      </w:r>
      <w:bookmarkEnd w:id="1768"/>
      <w:r>
        <w:rPr>
          <w:rFonts w:hint="eastAsia" w:ascii="宋体" w:hAnsi="宋体" w:cs="宋体"/>
          <w:color w:val="auto"/>
          <w:szCs w:val="21"/>
          <w:highlight w:val="none"/>
        </w:rPr>
        <w:t>；</w:t>
      </w:r>
      <w:bookmarkStart w:id="1769" w:name="_Hlk24103205"/>
      <w:r>
        <w:rPr>
          <w:rFonts w:hint="eastAsia" w:ascii="宋体" w:hAnsi="宋体" w:cs="宋体"/>
          <w:color w:val="auto"/>
          <w:szCs w:val="21"/>
          <w:highlight w:val="none"/>
        </w:rPr>
        <w:t>B2</w:t>
      </w:r>
      <w:bookmarkEnd w:id="1769"/>
      <w:r>
        <w:rPr>
          <w:rFonts w:hint="eastAsia" w:ascii="宋体" w:hAnsi="宋体" w:cs="宋体"/>
          <w:color w:val="auto"/>
          <w:szCs w:val="21"/>
          <w:highlight w:val="none"/>
        </w:rPr>
        <w:t>；</w:t>
      </w:r>
      <w:bookmarkStart w:id="1770" w:name="_Hlk24103220"/>
      <w:r>
        <w:rPr>
          <w:rFonts w:hint="eastAsia" w:ascii="宋体" w:hAnsi="宋体" w:cs="宋体"/>
          <w:color w:val="auto"/>
          <w:szCs w:val="21"/>
          <w:highlight w:val="none"/>
        </w:rPr>
        <w:t>B3</w:t>
      </w:r>
      <w:bookmarkEnd w:id="1770"/>
      <w:r>
        <w:rPr>
          <w:rFonts w:hint="eastAsia" w:ascii="宋体" w:hAnsi="宋体" w:cs="宋体"/>
          <w:color w:val="auto"/>
          <w:szCs w:val="21"/>
          <w:highlight w:val="none"/>
        </w:rPr>
        <w:t>；……</w:t>
      </w:r>
      <w:bookmarkStart w:id="1771" w:name="_Hlk24103245"/>
      <w:r>
        <w:rPr>
          <w:rFonts w:hint="eastAsia" w:ascii="宋体" w:hAnsi="宋体" w:cs="宋体"/>
          <w:color w:val="auto"/>
          <w:szCs w:val="21"/>
          <w:highlight w:val="none"/>
        </w:rPr>
        <w:t>Bn</w:t>
      </w:r>
      <w:bookmarkEnd w:id="1771"/>
      <w:r>
        <w:rPr>
          <w:rFonts w:hint="eastAsia" w:ascii="宋体" w:hAnsi="宋体" w:cs="宋体"/>
          <w:color w:val="auto"/>
          <w:szCs w:val="21"/>
          <w:highlight w:val="none"/>
        </w:rPr>
        <w:t>---各可调因子的变值权重（即可调部分的权重）为各可调因子在投标函投标总报价中所占的比例，且A+B1+B2+B3+……+Bn=1；</w:t>
      </w:r>
    </w:p>
    <w:p w14:paraId="47A706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Ft1；Ft2；Ft3；……Ftn---各可调因子的当期价格指数，指付款证书相关周期最后一天的前42天的各可调因子的价格指数；</w:t>
      </w:r>
    </w:p>
    <w:p w14:paraId="2B2825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F01；F02；F03；……F0n---各可调因子的基本价格指数，指基准日期的各可调因子的价格指数。</w:t>
      </w:r>
    </w:p>
    <w:p w14:paraId="4550D1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31F0CB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（2）暂时确定调整差额</w:t>
      </w:r>
    </w:p>
    <w:p w14:paraId="314C93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在计算调整差额时得不到当期价格指数的，可暂用上一次价格指数计算，并在以后的付款中再按实际价格指数进行调整。</w:t>
      </w:r>
    </w:p>
    <w:p w14:paraId="000EA2F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（3）权重的调整</w:t>
      </w:r>
    </w:p>
    <w:p w14:paraId="4D99E0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按第13.1款[发包人变更权]约定的变更导致原定合同中的权重不合理的，由工程师与承包人和发包人协商后进行调整。</w:t>
      </w:r>
    </w:p>
    <w:p w14:paraId="01435FC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（4）承包人原因工期延误后的价格调整</w:t>
      </w:r>
    </w:p>
    <w:p w14:paraId="50F87A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225561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（5）发包人引起的工期延误后的价格调整</w:t>
      </w:r>
    </w:p>
    <w:p w14:paraId="5EA6E8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219F2F67">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13.8.2.2未列入</w:t>
      </w:r>
      <w:bookmarkStart w:id="1772" w:name="_Hlk24494865"/>
      <w:r>
        <w:rPr>
          <w:rFonts w:hint="eastAsia" w:ascii="宋体" w:hAnsi="宋体" w:cs="宋体"/>
          <w:color w:val="auto"/>
          <w:highlight w:val="none"/>
        </w:rPr>
        <w:t>《价格指数权重表》</w:t>
      </w:r>
      <w:bookmarkEnd w:id="1772"/>
      <w:r>
        <w:rPr>
          <w:rFonts w:hint="eastAsia" w:ascii="宋体" w:hAnsi="宋体" w:cs="宋体"/>
          <w:color w:val="auto"/>
          <w:highlight w:val="none"/>
        </w:rPr>
        <w:t>的费用不因市场变化而调整。</w:t>
      </w:r>
    </w:p>
    <w:p w14:paraId="7193FFB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13.8.3双方约定采用其他方式调整合同价款的，以专用合同条件约定为准。</w:t>
      </w:r>
    </w:p>
    <w:p w14:paraId="2FD8772E">
      <w:pPr>
        <w:adjustRightInd w:val="0"/>
        <w:snapToGrid w:val="0"/>
        <w:spacing w:line="360" w:lineRule="auto"/>
        <w:rPr>
          <w:rFonts w:ascii="黑体" w:hAnsi="黑体" w:eastAsia="黑体"/>
          <w:color w:val="auto"/>
          <w:sz w:val="24"/>
          <w:highlight w:val="none"/>
        </w:rPr>
      </w:pPr>
      <w:bookmarkStart w:id="1773" w:name="_Toc54862291"/>
      <w:bookmarkStart w:id="1774" w:name="_Toc161228736"/>
      <w:bookmarkStart w:id="1775" w:name="_Ref531955880"/>
      <w:bookmarkStart w:id="1776" w:name="_Ref531955885"/>
      <w:r>
        <w:rPr>
          <w:rFonts w:hint="eastAsia" w:ascii="黑体" w:hAnsi="黑体" w:eastAsia="黑体"/>
          <w:color w:val="auto"/>
          <w:sz w:val="24"/>
          <w:highlight w:val="none"/>
        </w:rPr>
        <w:t>第14条 合同价格与支付</w:t>
      </w:r>
      <w:bookmarkEnd w:id="1773"/>
      <w:bookmarkEnd w:id="1774"/>
      <w:bookmarkEnd w:id="1775"/>
      <w:bookmarkEnd w:id="1776"/>
    </w:p>
    <w:p w14:paraId="0AFFA0C3">
      <w:pPr>
        <w:adjustRightInd w:val="0"/>
        <w:snapToGrid w:val="0"/>
        <w:spacing w:line="360" w:lineRule="auto"/>
        <w:rPr>
          <w:rFonts w:ascii="宋体" w:hAnsi="宋体"/>
          <w:b/>
          <w:color w:val="auto"/>
          <w:sz w:val="24"/>
          <w:highlight w:val="none"/>
        </w:rPr>
      </w:pPr>
      <w:bookmarkStart w:id="1777" w:name="_Ref4431521"/>
      <w:bookmarkStart w:id="1778" w:name="_Toc145081652"/>
      <w:bookmarkStart w:id="1779" w:name="_Toc161228737"/>
      <w:bookmarkStart w:id="1780" w:name="_Ref4431531"/>
      <w:bookmarkStart w:id="1781" w:name="_Toc54862292"/>
      <w:r>
        <w:rPr>
          <w:rFonts w:hint="eastAsia" w:ascii="宋体" w:hAnsi="宋体" w:eastAsia="宋体"/>
          <w:b/>
          <w:color w:val="auto"/>
          <w:sz w:val="24"/>
          <w:highlight w:val="none"/>
        </w:rPr>
        <w:t>14.1合同价格形式</w:t>
      </w:r>
      <w:bookmarkEnd w:id="1777"/>
      <w:bookmarkEnd w:id="1778"/>
      <w:bookmarkEnd w:id="1779"/>
      <w:bookmarkEnd w:id="1780"/>
      <w:bookmarkEnd w:id="1781"/>
    </w:p>
    <w:p w14:paraId="0877A6C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14.1.1除专用合同条件中另有约定外，本合同为总价合同，除根据第13条[变更与调整]，以及合同中其</w:t>
      </w:r>
      <w:r>
        <w:rPr>
          <w:rFonts w:hint="eastAsia" w:ascii="宋体" w:hAnsi="宋体" w:cs="宋体"/>
          <w:color w:val="auto"/>
          <w:highlight w:val="none"/>
          <w:lang w:val="en-US" w:eastAsia="zh-CN"/>
        </w:rPr>
        <w:t>他</w:t>
      </w:r>
      <w:r>
        <w:rPr>
          <w:rFonts w:hint="eastAsia" w:ascii="宋体" w:hAnsi="宋体" w:cs="宋体"/>
          <w:color w:val="auto"/>
          <w:highlight w:val="none"/>
        </w:rPr>
        <w:t>相关增减金额的约定进行调整外，合同价格不做调整。</w:t>
      </w:r>
    </w:p>
    <w:p w14:paraId="739B39D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14.1.2除专用合同条件另有约定外：</w:t>
      </w:r>
    </w:p>
    <w:p w14:paraId="1CEE79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（1）工程款的支付应以合同协议书约定的签约合同价格为基础，按照合同约定进行调整；</w:t>
      </w:r>
    </w:p>
    <w:p w14:paraId="392AFBB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（2）承包人应支付根据法律规定或合同约定应由其支付的各项税费，除第13.7款[法律变化引起的调整]约定外，合同价格不应因任何这些税费进行调整；</w:t>
      </w:r>
    </w:p>
    <w:p w14:paraId="114834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11CB4E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14.1.3合同约定工程的某部分按照实际完成的工程量进行支付的，应按照专用合同条件的约定进行计量和估价，并据此调整合同价格。</w:t>
      </w:r>
    </w:p>
    <w:p w14:paraId="413E980E">
      <w:pPr>
        <w:adjustRightInd w:val="0"/>
        <w:snapToGrid w:val="0"/>
        <w:spacing w:line="360" w:lineRule="auto"/>
        <w:rPr>
          <w:rFonts w:ascii="宋体" w:hAnsi="宋体"/>
          <w:b/>
          <w:color w:val="auto"/>
          <w:sz w:val="24"/>
          <w:highlight w:val="none"/>
        </w:rPr>
      </w:pPr>
      <w:bookmarkStart w:id="1782" w:name="_Toc145081653"/>
      <w:bookmarkStart w:id="1783" w:name="_Toc54862293"/>
      <w:bookmarkStart w:id="1784" w:name="_Ref531956881"/>
      <w:bookmarkStart w:id="1785" w:name="_Ref531956884"/>
      <w:bookmarkStart w:id="1786" w:name="_Toc161228738"/>
      <w:r>
        <w:rPr>
          <w:rFonts w:hint="eastAsia" w:ascii="宋体" w:hAnsi="宋体" w:eastAsia="宋体"/>
          <w:b/>
          <w:color w:val="auto"/>
          <w:sz w:val="24"/>
          <w:highlight w:val="none"/>
        </w:rPr>
        <w:t>14.2预付款</w:t>
      </w:r>
      <w:bookmarkEnd w:id="1782"/>
      <w:bookmarkEnd w:id="1783"/>
      <w:bookmarkEnd w:id="1784"/>
      <w:bookmarkEnd w:id="1785"/>
      <w:bookmarkEnd w:id="1786"/>
    </w:p>
    <w:p w14:paraId="36686B3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14.2.1预付款支付</w:t>
      </w:r>
    </w:p>
    <w:p w14:paraId="6B5B96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预付款的额度和支付按照专用合同条件约定执行。预付款应当专用于承包人为合同工程的设计和工程实施购置材料、工程设备、施工设备、修建临时设施以及组织施工队伍进场等合同工作。</w:t>
      </w:r>
    </w:p>
    <w:p w14:paraId="5CC5A66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除专用合同条件另有约定外，预付款在进度付款中同比例扣回。在颁发工程接收证书前，提前解除合同的，尚未扣完的预付款应与合同价款一并结算。</w:t>
      </w:r>
    </w:p>
    <w:p w14:paraId="52AA2A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发包人逾期支付预付款超过7天的，承包人有权向发包人发出要求预付的催告通知，发包人收到通知后7天内仍未支付的，承包人有权暂停施工，并按第15.1.1项[发包人违约的情形]执行。</w:t>
      </w:r>
    </w:p>
    <w:p w14:paraId="4310FE5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87" w:name="_Ref531956907"/>
      <w:bookmarkStart w:id="1788" w:name="_Ref4797624"/>
      <w:bookmarkStart w:id="1789" w:name="_Hlk54429963"/>
      <w:r>
        <w:rPr>
          <w:rFonts w:hint="eastAsia" w:ascii="宋体" w:hAnsi="宋体" w:cs="宋体"/>
          <w:color w:val="auto"/>
          <w:kern w:val="0"/>
          <w:szCs w:val="20"/>
          <w:highlight w:val="none"/>
          <w:lang w:bidi="ar"/>
        </w:rPr>
        <w:t>14.2.2预付款</w:t>
      </w:r>
      <w:bookmarkEnd w:id="1787"/>
      <w:r>
        <w:rPr>
          <w:rFonts w:hint="eastAsia" w:ascii="宋体" w:hAnsi="宋体" w:cs="宋体"/>
          <w:color w:val="auto"/>
          <w:kern w:val="0"/>
          <w:szCs w:val="20"/>
          <w:highlight w:val="none"/>
          <w:lang w:bidi="ar"/>
        </w:rPr>
        <w:t>担保</w:t>
      </w:r>
      <w:bookmarkEnd w:id="1788"/>
    </w:p>
    <w:bookmarkEnd w:id="1789"/>
    <w:p w14:paraId="52A2DA3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6BAF7C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发包人在工程款中逐期扣回预付款后，预付款担保额度应相应减少，但剩余的预付款担保金额不得低于未被扣回的预付款金额。</w:t>
      </w:r>
    </w:p>
    <w:p w14:paraId="4AD2A422">
      <w:pPr>
        <w:adjustRightInd w:val="0"/>
        <w:snapToGrid w:val="0"/>
        <w:spacing w:line="360" w:lineRule="auto"/>
        <w:rPr>
          <w:rFonts w:ascii="宋体" w:hAnsi="宋体"/>
          <w:b/>
          <w:color w:val="auto"/>
          <w:sz w:val="24"/>
          <w:highlight w:val="none"/>
        </w:rPr>
      </w:pPr>
      <w:bookmarkStart w:id="1790" w:name="_Toc4784193"/>
      <w:bookmarkEnd w:id="1790"/>
      <w:bookmarkStart w:id="1791" w:name="_Toc4784194"/>
      <w:bookmarkEnd w:id="1791"/>
      <w:bookmarkStart w:id="1792" w:name="_Toc4784195"/>
      <w:bookmarkEnd w:id="1792"/>
      <w:bookmarkStart w:id="1793" w:name="_Toc145081654"/>
      <w:bookmarkStart w:id="1794" w:name="_Ref531956967"/>
      <w:bookmarkStart w:id="1795" w:name="_Toc161228739"/>
      <w:bookmarkStart w:id="1796" w:name="_Ref4623398"/>
      <w:bookmarkStart w:id="1797" w:name="_Ref531956963"/>
      <w:bookmarkStart w:id="1798" w:name="_Toc54862294"/>
      <w:r>
        <w:rPr>
          <w:rFonts w:hint="eastAsia" w:ascii="宋体" w:hAnsi="宋体" w:eastAsia="宋体"/>
          <w:b/>
          <w:color w:val="auto"/>
          <w:sz w:val="24"/>
          <w:highlight w:val="none"/>
        </w:rPr>
        <w:t>14.3工程进度款</w:t>
      </w:r>
      <w:bookmarkEnd w:id="1793"/>
      <w:bookmarkEnd w:id="1794"/>
      <w:bookmarkEnd w:id="1795"/>
      <w:bookmarkEnd w:id="1796"/>
      <w:bookmarkEnd w:id="1797"/>
      <w:bookmarkEnd w:id="1798"/>
    </w:p>
    <w:p w14:paraId="0005A29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99" w:name="_Ref532679934"/>
      <w:bookmarkStart w:id="1800" w:name="_Ref531956987"/>
      <w:r>
        <w:rPr>
          <w:rFonts w:hint="eastAsia" w:ascii="宋体" w:hAnsi="宋体" w:cs="宋体"/>
          <w:color w:val="auto"/>
          <w:kern w:val="0"/>
          <w:szCs w:val="20"/>
          <w:highlight w:val="none"/>
          <w:lang w:bidi="ar"/>
        </w:rPr>
        <w:t>14.3.1工程进度付款申请</w:t>
      </w:r>
      <w:bookmarkEnd w:id="1799"/>
      <w:bookmarkEnd w:id="1800"/>
    </w:p>
    <w:p w14:paraId="6636150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（1）人工费的申请</w:t>
      </w:r>
    </w:p>
    <w:p w14:paraId="5A060F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09962B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（2）除专用合同条件另有约定外，承包人应在每月月末向工程师提交进度付款申请单，该进度付款申请单应包括下列内容：</w:t>
      </w:r>
    </w:p>
    <w:p w14:paraId="1BE96C65">
      <w:pPr>
        <w:adjustRightInd w:val="0"/>
        <w:snapToGrid w:val="0"/>
        <w:spacing w:line="360" w:lineRule="auto"/>
        <w:ind w:firstLine="420" w:firstLineChars="200"/>
        <w:rPr>
          <w:rFonts w:ascii="宋体" w:hAnsi="宋体" w:cs="宋体"/>
          <w:color w:val="auto"/>
          <w:szCs w:val="21"/>
          <w:highlight w:val="none"/>
        </w:rPr>
      </w:pPr>
      <w:bookmarkStart w:id="1801" w:name="_Ref24496054"/>
      <w:r>
        <w:rPr>
          <w:rFonts w:hint="eastAsia" w:ascii="宋体" w:hAnsi="宋体" w:cs="宋体"/>
          <w:color w:val="auto"/>
          <w:szCs w:val="21"/>
          <w:highlight w:val="none"/>
        </w:rPr>
        <w:t>1）截至本次付款周期内已完成工作对应的金额；</w:t>
      </w:r>
      <w:bookmarkEnd w:id="1801"/>
    </w:p>
    <w:p w14:paraId="69A881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2）扣除依据本款第（1）目约定中已扣除的人工费金额；</w:t>
      </w:r>
    </w:p>
    <w:p w14:paraId="4FB5ADE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3）根据第13条[变更与调整]应增加和扣减的变更金额；</w:t>
      </w:r>
    </w:p>
    <w:p w14:paraId="0A9706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4）根据第14.2款[预付款]约定应支付的预付款和扣减的返还预付款；</w:t>
      </w:r>
    </w:p>
    <w:p w14:paraId="68B7E1C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5）根据第14.6.2项[质量保证金的预留]约定应预留的质量保证金金额；</w:t>
      </w:r>
    </w:p>
    <w:p w14:paraId="70455D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6）根据第19条[索赔]应增加和扣减的索赔金额；</w:t>
      </w:r>
    </w:p>
    <w:p w14:paraId="2E8C5D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7）对已签发的进度款支付证书中出现错误的修正，应在本次进度付款中支付或扣除的金额；</w:t>
      </w:r>
    </w:p>
    <w:p w14:paraId="5EFAAA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8）根据合同约定应增加和扣减的其他金额。</w:t>
      </w:r>
    </w:p>
    <w:p w14:paraId="401A76E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02" w:name="_Ref531957608"/>
      <w:r>
        <w:rPr>
          <w:rFonts w:hint="eastAsia" w:ascii="宋体" w:hAnsi="宋体" w:cs="宋体"/>
          <w:color w:val="auto"/>
          <w:kern w:val="0"/>
          <w:szCs w:val="20"/>
          <w:highlight w:val="none"/>
          <w:lang w:bidi="ar"/>
        </w:rPr>
        <w:t>14.3.2进度付款审核和支付</w:t>
      </w:r>
      <w:bookmarkEnd w:id="1802"/>
    </w:p>
    <w:p w14:paraId="5A65AD61">
      <w:pPr>
        <w:pStyle w:val="38"/>
        <w:spacing w:after="0" w:afterLines="0"/>
        <w:ind w:left="0" w:firstLine="420" w:firstLineChars="200"/>
        <w:rPr>
          <w:rFonts w:cs="宋体"/>
          <w:color w:val="auto"/>
          <w:sz w:val="21"/>
          <w:szCs w:val="21"/>
          <w:highlight w:val="none"/>
        </w:rPr>
      </w:pPr>
      <w:r>
        <w:rPr>
          <w:rFonts w:hint="eastAsia" w:cs="宋体"/>
          <w:color w:val="auto"/>
          <w:sz w:val="21"/>
          <w:szCs w:val="21"/>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260052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06FB5123">
      <w:pPr>
        <w:pStyle w:val="38"/>
        <w:spacing w:after="0" w:afterLines="0"/>
        <w:ind w:left="0" w:firstLine="420" w:firstLineChars="200"/>
        <w:rPr>
          <w:rFonts w:cs="宋体"/>
          <w:color w:val="auto"/>
          <w:kern w:val="2"/>
          <w:sz w:val="21"/>
          <w:szCs w:val="21"/>
          <w:highlight w:val="none"/>
        </w:rPr>
      </w:pPr>
      <w:r>
        <w:rPr>
          <w:rFonts w:hint="eastAsia" w:cs="宋体"/>
          <w:color w:val="auto"/>
          <w:kern w:val="2"/>
          <w:sz w:val="21"/>
          <w:szCs w:val="21"/>
          <w:highlight w:val="none"/>
        </w:rPr>
        <w:t>除专用合同条件另有约定外，发包人应在进度款支付证书签发后14天内完成支付，发包人逾期支付进度款的，按照贷款市场报价利率（LPR）支付利息；逾期支付超过56天的，按照贷款市场报价利率（LPR）的两倍支付利息。</w:t>
      </w:r>
    </w:p>
    <w:p w14:paraId="768F83F0">
      <w:pPr>
        <w:pStyle w:val="38"/>
        <w:spacing w:after="0" w:afterLines="0"/>
        <w:ind w:left="0" w:firstLine="420" w:firstLineChars="200"/>
        <w:rPr>
          <w:rFonts w:cs="宋体"/>
          <w:color w:val="auto"/>
          <w:sz w:val="21"/>
          <w:szCs w:val="21"/>
          <w:highlight w:val="none"/>
        </w:rPr>
      </w:pPr>
      <w:r>
        <w:rPr>
          <w:rFonts w:hint="eastAsia" w:cs="宋体"/>
          <w:color w:val="auto"/>
          <w:kern w:val="2"/>
          <w:sz w:val="21"/>
          <w:szCs w:val="21"/>
          <w:highlight w:val="none"/>
        </w:rPr>
        <w:t>发包人签发进度款支付证书，不表明发包人已</w:t>
      </w:r>
      <w:r>
        <w:rPr>
          <w:rFonts w:hint="eastAsia" w:cs="宋体"/>
          <w:color w:val="auto"/>
          <w:sz w:val="21"/>
          <w:szCs w:val="21"/>
          <w:highlight w:val="none"/>
        </w:rPr>
        <w:t>同意、批准或接受了承包人完成的相应部分的工作。</w:t>
      </w:r>
    </w:p>
    <w:p w14:paraId="49343C6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03" w:name="_Ref531957023"/>
      <w:r>
        <w:rPr>
          <w:rFonts w:hint="eastAsia" w:ascii="宋体" w:hAnsi="宋体" w:cs="宋体"/>
          <w:color w:val="auto"/>
          <w:kern w:val="0"/>
          <w:szCs w:val="20"/>
          <w:highlight w:val="none"/>
          <w:lang w:bidi="ar"/>
        </w:rPr>
        <w:t>14.3.3进度付款的修正</w:t>
      </w:r>
      <w:bookmarkEnd w:id="1803"/>
    </w:p>
    <w:p w14:paraId="4DFDDD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7D9C3BF9">
      <w:pPr>
        <w:adjustRightInd w:val="0"/>
        <w:snapToGrid w:val="0"/>
        <w:spacing w:line="360" w:lineRule="auto"/>
        <w:rPr>
          <w:rFonts w:ascii="宋体" w:hAnsi="宋体"/>
          <w:b/>
          <w:color w:val="auto"/>
          <w:sz w:val="24"/>
          <w:highlight w:val="none"/>
        </w:rPr>
      </w:pPr>
      <w:bookmarkStart w:id="1804" w:name="_Toc161228740"/>
      <w:bookmarkStart w:id="1805" w:name="_Toc54862295"/>
      <w:bookmarkStart w:id="1806" w:name="_Ref4538578"/>
      <w:bookmarkStart w:id="1807" w:name="_Toc145081655"/>
      <w:bookmarkStart w:id="1808" w:name="_Ref536647814"/>
      <w:bookmarkStart w:id="1809" w:name="_Ref536647822"/>
      <w:r>
        <w:rPr>
          <w:rFonts w:hint="eastAsia" w:ascii="宋体" w:hAnsi="宋体" w:eastAsia="宋体"/>
          <w:b/>
          <w:color w:val="auto"/>
          <w:sz w:val="24"/>
          <w:highlight w:val="none"/>
        </w:rPr>
        <w:t>14.4付款计划表</w:t>
      </w:r>
      <w:bookmarkEnd w:id="1804"/>
      <w:bookmarkEnd w:id="1805"/>
      <w:bookmarkEnd w:id="1806"/>
      <w:bookmarkEnd w:id="1807"/>
    </w:p>
    <w:p w14:paraId="5C51C54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10" w:name="_Ref4570974"/>
      <w:r>
        <w:rPr>
          <w:rFonts w:hint="eastAsia" w:ascii="宋体" w:hAnsi="宋体" w:cs="宋体"/>
          <w:color w:val="auto"/>
          <w:kern w:val="0"/>
          <w:szCs w:val="20"/>
          <w:highlight w:val="none"/>
          <w:lang w:bidi="ar"/>
        </w:rPr>
        <w:t>14.4.1付款计划表的编制要求</w:t>
      </w:r>
      <w:bookmarkEnd w:id="1810"/>
    </w:p>
    <w:p w14:paraId="1103F4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除专用合同条件另有约定外，付款计划表按如下要求编制：</w:t>
      </w:r>
    </w:p>
    <w:p w14:paraId="5DF743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（1）付款计划表中所列的每期付款金额，应为第14.3.1项[工程进度付款申请]每期进度款的估算金额；</w:t>
      </w:r>
    </w:p>
    <w:p w14:paraId="17E898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（2）实际进度与项目进度计划不一致的，合同当事人可按照第3.6款[商定或确定]修改付款计划表；</w:t>
      </w:r>
    </w:p>
    <w:p w14:paraId="64CD77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（3）不采用付款计划表的，承包人应向工程师提交按季度编制的支付估算付款计划表，用于支付参考。</w:t>
      </w:r>
    </w:p>
    <w:p w14:paraId="6D4C4D4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11" w:name="_Ref4571011"/>
      <w:r>
        <w:rPr>
          <w:rFonts w:hint="eastAsia" w:ascii="宋体" w:hAnsi="宋体" w:cs="宋体"/>
          <w:color w:val="auto"/>
          <w:kern w:val="0"/>
          <w:szCs w:val="20"/>
          <w:highlight w:val="none"/>
          <w:lang w:bidi="ar"/>
        </w:rPr>
        <w:t>14.4.2付款计划表的编制与审批</w:t>
      </w:r>
      <w:bookmarkEnd w:id="1811"/>
    </w:p>
    <w:p w14:paraId="11F3F9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79DE48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（2）工程师应在收到付款计划表后7天内完成审核并报送发包人。发包人应在收到经工程师审核的付款计划表后7天内完成审批，经发包人批准的付款计划表为有约束力的付款计划表。</w:t>
      </w:r>
    </w:p>
    <w:p w14:paraId="46496F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（3）发包人逾期未完成付款计划表审批的，也未及时要求承包人进行修正和提供补充资料的，则承包人提交的付款计划表视为已经获得发包人批准。</w:t>
      </w:r>
    </w:p>
    <w:p w14:paraId="0DB83F77">
      <w:pPr>
        <w:adjustRightInd w:val="0"/>
        <w:snapToGrid w:val="0"/>
        <w:spacing w:line="360" w:lineRule="auto"/>
        <w:rPr>
          <w:rFonts w:ascii="宋体" w:hAnsi="宋体"/>
          <w:b/>
          <w:color w:val="auto"/>
          <w:sz w:val="24"/>
          <w:highlight w:val="none"/>
        </w:rPr>
      </w:pPr>
      <w:bookmarkStart w:id="1812" w:name="_Toc54862296"/>
      <w:bookmarkStart w:id="1813" w:name="_Ref4538634"/>
      <w:bookmarkStart w:id="1814" w:name="_Toc161228741"/>
      <w:bookmarkStart w:id="1815" w:name="_Toc145081656"/>
      <w:r>
        <w:rPr>
          <w:rFonts w:hint="eastAsia" w:ascii="宋体" w:hAnsi="宋体" w:eastAsia="宋体"/>
          <w:b/>
          <w:color w:val="auto"/>
          <w:sz w:val="24"/>
          <w:highlight w:val="none"/>
        </w:rPr>
        <w:t>14.5竣工结算</w:t>
      </w:r>
      <w:bookmarkEnd w:id="1812"/>
      <w:bookmarkEnd w:id="1813"/>
      <w:bookmarkEnd w:id="1814"/>
      <w:bookmarkEnd w:id="1815"/>
    </w:p>
    <w:p w14:paraId="1EE5AEB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16" w:name="_Ref4571361"/>
      <w:r>
        <w:rPr>
          <w:rFonts w:hint="eastAsia" w:ascii="宋体" w:hAnsi="宋体" w:cs="宋体"/>
          <w:color w:val="auto"/>
          <w:kern w:val="0"/>
          <w:szCs w:val="20"/>
          <w:highlight w:val="none"/>
          <w:lang w:bidi="ar"/>
        </w:rPr>
        <w:t>14.5.1竣工结算申请</w:t>
      </w:r>
      <w:bookmarkEnd w:id="1816"/>
    </w:p>
    <w:p w14:paraId="55DE191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217D32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除专用合同条件另有约定外，竣工结算申请单应包括以下内容：</w:t>
      </w:r>
    </w:p>
    <w:p w14:paraId="7BD2A7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（1）竣工结算合同价格；</w:t>
      </w:r>
    </w:p>
    <w:p w14:paraId="0D3D0B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（2）发包人已支付承包人的款项；</w:t>
      </w:r>
    </w:p>
    <w:p w14:paraId="1300F33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619349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（4）发包人应支付承包人的合同价款。</w:t>
      </w:r>
    </w:p>
    <w:p w14:paraId="66D4BA6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17" w:name="_Ref4571384"/>
      <w:r>
        <w:rPr>
          <w:rFonts w:hint="eastAsia" w:ascii="宋体" w:hAnsi="宋体" w:cs="宋体"/>
          <w:color w:val="auto"/>
          <w:kern w:val="0"/>
          <w:szCs w:val="20"/>
          <w:highlight w:val="none"/>
          <w:lang w:bidi="ar"/>
        </w:rPr>
        <w:t>14.5.2竣工结算审核</w:t>
      </w:r>
      <w:bookmarkEnd w:id="1817"/>
    </w:p>
    <w:p w14:paraId="6FFFA6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632F4C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82C9496">
      <w:pPr>
        <w:adjustRightInd w:val="0"/>
        <w:snapToGrid w:val="0"/>
        <w:spacing w:line="360" w:lineRule="auto"/>
        <w:ind w:firstLine="420" w:firstLineChars="200"/>
        <w:rPr>
          <w:rFonts w:ascii="宋体" w:hAnsi="宋体" w:cs="宋体"/>
          <w:color w:val="auto"/>
          <w:szCs w:val="21"/>
          <w:highlight w:val="none"/>
        </w:rPr>
      </w:pPr>
      <w:bookmarkStart w:id="1818" w:name="_Ref4618006"/>
      <w:r>
        <w:rPr>
          <w:rFonts w:hint="eastAsia" w:ascii="宋体" w:hAnsi="宋体" w:cs="宋体"/>
          <w:color w:val="auto"/>
          <w:szCs w:val="21"/>
          <w:highlight w:val="none"/>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818"/>
    </w:p>
    <w:p w14:paraId="42177EB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6A956CD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19" w:name="_Ref15484305"/>
      <w:r>
        <w:rPr>
          <w:rFonts w:hint="eastAsia" w:ascii="宋体" w:hAnsi="宋体" w:cs="宋体"/>
          <w:color w:val="auto"/>
          <w:kern w:val="0"/>
          <w:szCs w:val="20"/>
          <w:highlight w:val="none"/>
          <w:lang w:bidi="ar"/>
        </w:rPr>
        <w:t>14.5.3扫尾工作清单</w:t>
      </w:r>
      <w:bookmarkEnd w:id="1819"/>
    </w:p>
    <w:p w14:paraId="120AAC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经双方协商，部分工作在工程竣工验收后进行的，承包人应当编制扫尾工作清单，扫尾工作清单中应当列明承包人应当完成的扫尾工作的内容及完成时间。</w:t>
      </w:r>
    </w:p>
    <w:p w14:paraId="2333E60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承包人完成扫尾工作清单中的内容应取得的费用包含在第14.5.1项[竣工结算申请]及第14.5.2项[竣工结算审核]中一并结算。</w:t>
      </w:r>
    </w:p>
    <w:p w14:paraId="691319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扫尾工作的缺陷责任期按第11条[缺陷责任与保修]处理。承包人未能按照扫尾工作清单约定的完成时间完成扫尾工作的，视为承包人原因导致的工程质量缺陷按照第11.3款[缺陷调查]处理。</w:t>
      </w:r>
    </w:p>
    <w:p w14:paraId="3012C204">
      <w:pPr>
        <w:adjustRightInd w:val="0"/>
        <w:snapToGrid w:val="0"/>
        <w:spacing w:line="360" w:lineRule="auto"/>
        <w:rPr>
          <w:rFonts w:ascii="宋体" w:hAnsi="宋体"/>
          <w:b/>
          <w:color w:val="auto"/>
          <w:sz w:val="24"/>
          <w:highlight w:val="none"/>
        </w:rPr>
      </w:pPr>
      <w:bookmarkStart w:id="1820" w:name="_Ref4582115"/>
      <w:bookmarkStart w:id="1821" w:name="_Ref15395020"/>
      <w:bookmarkStart w:id="1822" w:name="_Ref4571127"/>
      <w:bookmarkStart w:id="1823" w:name="_Ref4617592"/>
      <w:bookmarkStart w:id="1824" w:name="_Toc54862297"/>
      <w:bookmarkStart w:id="1825" w:name="_Ref4571100"/>
      <w:bookmarkStart w:id="1826" w:name="_Toc145081657"/>
      <w:bookmarkStart w:id="1827" w:name="_Toc161228742"/>
      <w:bookmarkStart w:id="1828" w:name="_Ref4617582"/>
      <w:bookmarkStart w:id="1829" w:name="_Hlk15394931"/>
      <w:r>
        <w:rPr>
          <w:rFonts w:hint="eastAsia" w:ascii="宋体" w:hAnsi="宋体" w:eastAsia="宋体"/>
          <w:b/>
          <w:color w:val="auto"/>
          <w:sz w:val="24"/>
          <w:highlight w:val="none"/>
        </w:rPr>
        <w:t>14.6质量保证金</w:t>
      </w:r>
      <w:bookmarkEnd w:id="1808"/>
      <w:bookmarkEnd w:id="1809"/>
      <w:bookmarkEnd w:id="1820"/>
      <w:bookmarkEnd w:id="1821"/>
      <w:bookmarkEnd w:id="1822"/>
      <w:bookmarkEnd w:id="1823"/>
      <w:bookmarkEnd w:id="1824"/>
      <w:bookmarkEnd w:id="1825"/>
      <w:bookmarkEnd w:id="1826"/>
      <w:bookmarkEnd w:id="1827"/>
      <w:bookmarkEnd w:id="1828"/>
    </w:p>
    <w:p w14:paraId="51F421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经合同当事人协商一致提供质量保证金的，应在专用合同条件中予以明确。在工程项目竣工前，承包人已经提供履约担保的，发包人不得同时要求承包人提供质量保证金。</w:t>
      </w:r>
    </w:p>
    <w:bookmarkEnd w:id="1829"/>
    <w:p w14:paraId="5E2D0FB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30" w:name="_Ref531955069"/>
      <w:bookmarkStart w:id="1831" w:name="_Ref531957153"/>
      <w:r>
        <w:rPr>
          <w:rFonts w:hint="eastAsia" w:ascii="宋体" w:hAnsi="宋体" w:cs="宋体"/>
          <w:color w:val="auto"/>
          <w:kern w:val="0"/>
          <w:szCs w:val="20"/>
          <w:highlight w:val="none"/>
          <w:lang w:bidi="ar"/>
        </w:rPr>
        <w:t>14.6.1承包人提供质量保证金的方式</w:t>
      </w:r>
      <w:bookmarkEnd w:id="1830"/>
    </w:p>
    <w:p w14:paraId="3AC43B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承包人提供质量保证金有以下三种方式：</w:t>
      </w:r>
    </w:p>
    <w:p w14:paraId="6BD74280">
      <w:pPr>
        <w:adjustRightInd w:val="0"/>
        <w:snapToGrid w:val="0"/>
        <w:spacing w:line="360" w:lineRule="auto"/>
        <w:ind w:firstLine="420" w:firstLineChars="200"/>
        <w:rPr>
          <w:rFonts w:ascii="宋体" w:hAnsi="宋体" w:cs="宋体"/>
          <w:color w:val="auto"/>
          <w:szCs w:val="21"/>
          <w:highlight w:val="none"/>
        </w:rPr>
      </w:pPr>
      <w:bookmarkStart w:id="1832" w:name="_Ref531955096"/>
      <w:r>
        <w:rPr>
          <w:rFonts w:hint="eastAsia" w:ascii="宋体" w:hAnsi="宋体" w:cs="宋体"/>
          <w:color w:val="auto"/>
          <w:szCs w:val="21"/>
          <w:highlight w:val="none"/>
        </w:rPr>
        <w:t>（1）提交工程质量保证担保；</w:t>
      </w:r>
      <w:bookmarkEnd w:id="1832"/>
    </w:p>
    <w:p w14:paraId="38211218">
      <w:pPr>
        <w:adjustRightInd w:val="0"/>
        <w:snapToGrid w:val="0"/>
        <w:spacing w:line="360" w:lineRule="auto"/>
        <w:ind w:firstLine="420" w:firstLineChars="200"/>
        <w:rPr>
          <w:rFonts w:ascii="宋体" w:hAnsi="宋体" w:cs="宋体"/>
          <w:color w:val="auto"/>
          <w:szCs w:val="21"/>
          <w:highlight w:val="none"/>
        </w:rPr>
      </w:pPr>
      <w:bookmarkStart w:id="1833" w:name="_Ref531955107"/>
      <w:r>
        <w:rPr>
          <w:rFonts w:hint="eastAsia" w:ascii="宋体" w:hAnsi="宋体" w:cs="宋体"/>
          <w:color w:val="auto"/>
          <w:szCs w:val="21"/>
          <w:highlight w:val="none"/>
        </w:rPr>
        <w:t>（2）预留相应比例的工程款；</w:t>
      </w:r>
      <w:bookmarkEnd w:id="1833"/>
    </w:p>
    <w:p w14:paraId="6072DCBA">
      <w:pPr>
        <w:adjustRightInd w:val="0"/>
        <w:snapToGrid w:val="0"/>
        <w:spacing w:line="360" w:lineRule="auto"/>
        <w:ind w:firstLine="420" w:firstLineChars="200"/>
        <w:rPr>
          <w:rFonts w:ascii="宋体" w:hAnsi="宋体" w:cs="宋体"/>
          <w:color w:val="auto"/>
          <w:szCs w:val="21"/>
          <w:highlight w:val="none"/>
        </w:rPr>
      </w:pPr>
      <w:bookmarkStart w:id="1834" w:name="_Ref531955117"/>
      <w:r>
        <w:rPr>
          <w:rFonts w:hint="eastAsia" w:ascii="宋体" w:hAnsi="宋体" w:cs="宋体"/>
          <w:color w:val="auto"/>
          <w:szCs w:val="21"/>
          <w:highlight w:val="none"/>
        </w:rPr>
        <w:t>（3）双方约定的其他方式。</w:t>
      </w:r>
      <w:bookmarkEnd w:id="1834"/>
    </w:p>
    <w:p w14:paraId="54390C3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1549F3B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35" w:name="_Ref18931667"/>
      <w:bookmarkStart w:id="1836" w:name="_Ref15419738"/>
      <w:r>
        <w:rPr>
          <w:rFonts w:hint="eastAsia" w:ascii="宋体" w:hAnsi="宋体" w:cs="宋体"/>
          <w:color w:val="auto"/>
          <w:kern w:val="0"/>
          <w:szCs w:val="20"/>
          <w:highlight w:val="none"/>
          <w:lang w:bidi="ar"/>
        </w:rPr>
        <w:t>14.6.2质量保证金的预留</w:t>
      </w:r>
      <w:bookmarkEnd w:id="1835"/>
      <w:bookmarkEnd w:id="1836"/>
    </w:p>
    <w:p w14:paraId="4A92DE7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双方约定采用预留相应比例的工程款方式提供质量保证金的，质量保证金的预留有以下三种方式：</w:t>
      </w:r>
    </w:p>
    <w:p w14:paraId="1A7D1F3B">
      <w:pPr>
        <w:adjustRightInd w:val="0"/>
        <w:snapToGrid w:val="0"/>
        <w:spacing w:line="360" w:lineRule="auto"/>
        <w:ind w:firstLine="420" w:firstLineChars="200"/>
        <w:rPr>
          <w:rFonts w:ascii="宋体" w:hAnsi="宋体" w:cs="宋体"/>
          <w:color w:val="auto"/>
          <w:szCs w:val="21"/>
          <w:highlight w:val="none"/>
        </w:rPr>
      </w:pPr>
      <w:bookmarkStart w:id="1837" w:name="_Hlk18840714"/>
      <w:bookmarkStart w:id="1838" w:name="_Ref531955143"/>
      <w:r>
        <w:rPr>
          <w:rFonts w:hint="eastAsia" w:ascii="宋体" w:hAnsi="宋体" w:cs="宋体"/>
          <w:color w:val="auto"/>
          <w:szCs w:val="21"/>
          <w:highlight w:val="none"/>
        </w:rPr>
        <w:t>（1）按专用合同条件的约定在支付工程进度款时逐次预留，直至预留的质量保证金总额达到专用合同条件约定的金额或比例为止</w:t>
      </w:r>
      <w:bookmarkEnd w:id="1837"/>
      <w:r>
        <w:rPr>
          <w:rFonts w:hint="eastAsia" w:ascii="宋体" w:hAnsi="宋体" w:cs="宋体"/>
          <w:color w:val="auto"/>
          <w:szCs w:val="21"/>
          <w:highlight w:val="none"/>
        </w:rPr>
        <w:t>。在此情形下，质量保证金的计算基数不包括预付款的支付、扣回以及价格调整的金额；</w:t>
      </w:r>
      <w:bookmarkEnd w:id="1838"/>
    </w:p>
    <w:p w14:paraId="4C9068FA">
      <w:pPr>
        <w:adjustRightInd w:val="0"/>
        <w:snapToGrid w:val="0"/>
        <w:spacing w:line="360" w:lineRule="auto"/>
        <w:ind w:firstLine="420" w:firstLineChars="200"/>
        <w:rPr>
          <w:rFonts w:ascii="宋体" w:hAnsi="宋体" w:cs="宋体"/>
          <w:color w:val="auto"/>
          <w:szCs w:val="21"/>
          <w:highlight w:val="none"/>
        </w:rPr>
      </w:pPr>
      <w:bookmarkStart w:id="1839" w:name="_Ref531955151"/>
      <w:r>
        <w:rPr>
          <w:rFonts w:hint="eastAsia" w:ascii="宋体" w:hAnsi="宋体" w:cs="宋体"/>
          <w:color w:val="auto"/>
          <w:szCs w:val="21"/>
          <w:highlight w:val="none"/>
        </w:rPr>
        <w:t>（2）工程竣工结算时一次性预留质量保证金；</w:t>
      </w:r>
      <w:bookmarkEnd w:id="1839"/>
    </w:p>
    <w:p w14:paraId="5F19D404">
      <w:pPr>
        <w:adjustRightInd w:val="0"/>
        <w:snapToGrid w:val="0"/>
        <w:spacing w:line="360" w:lineRule="auto"/>
        <w:ind w:firstLine="420" w:firstLineChars="200"/>
        <w:rPr>
          <w:rFonts w:ascii="宋体" w:hAnsi="宋体" w:cs="宋体"/>
          <w:color w:val="auto"/>
          <w:szCs w:val="21"/>
          <w:highlight w:val="none"/>
        </w:rPr>
      </w:pPr>
      <w:bookmarkStart w:id="1840" w:name="_Ref531955161"/>
      <w:r>
        <w:rPr>
          <w:rFonts w:hint="eastAsia" w:ascii="宋体" w:hAnsi="宋体" w:cs="宋体"/>
          <w:color w:val="auto"/>
          <w:szCs w:val="21"/>
          <w:highlight w:val="none"/>
        </w:rPr>
        <w:t>（3）双方约定的其他预留方式。</w:t>
      </w:r>
      <w:bookmarkEnd w:id="1840"/>
    </w:p>
    <w:p w14:paraId="3FF164E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1A19B16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41" w:name="_Ref532690096"/>
      <w:bookmarkStart w:id="1842" w:name="_Ref4571243"/>
      <w:r>
        <w:rPr>
          <w:rFonts w:hint="eastAsia" w:ascii="宋体" w:hAnsi="宋体" w:cs="宋体"/>
          <w:color w:val="auto"/>
          <w:kern w:val="0"/>
          <w:szCs w:val="20"/>
          <w:highlight w:val="none"/>
          <w:lang w:bidi="ar"/>
        </w:rPr>
        <w:t>14.6.3质量保证金的</w:t>
      </w:r>
      <w:bookmarkEnd w:id="1841"/>
      <w:r>
        <w:rPr>
          <w:rFonts w:hint="eastAsia" w:ascii="宋体" w:hAnsi="宋体" w:cs="宋体"/>
          <w:color w:val="auto"/>
          <w:kern w:val="0"/>
          <w:szCs w:val="20"/>
          <w:highlight w:val="none"/>
          <w:lang w:bidi="ar"/>
        </w:rPr>
        <w:t>返还</w:t>
      </w:r>
      <w:bookmarkEnd w:id="1842"/>
    </w:p>
    <w:p w14:paraId="60BC2D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缺陷责任期内，承包人认真履行合同约定的责任，缺陷责任期满，发包人根据第11.6款[缺陷责任期终止证书]向承包人颁发缺陷责任期终止证书后，承包人可向发包人申请返还质量保证金。</w:t>
      </w:r>
    </w:p>
    <w:p w14:paraId="693E4A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099722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发包人和承包人对质量保证金预留、返还以及工程维修质量、费用有争议的，按本合同第20条[争议解决]约定的争议和纠纷解决程序处理。</w:t>
      </w:r>
    </w:p>
    <w:bookmarkEnd w:id="1831"/>
    <w:p w14:paraId="5A206F77">
      <w:pPr>
        <w:adjustRightInd w:val="0"/>
        <w:snapToGrid w:val="0"/>
        <w:spacing w:line="360" w:lineRule="auto"/>
        <w:rPr>
          <w:rFonts w:ascii="宋体" w:hAnsi="宋体"/>
          <w:b/>
          <w:color w:val="auto"/>
          <w:sz w:val="24"/>
          <w:highlight w:val="none"/>
        </w:rPr>
      </w:pPr>
      <w:bookmarkStart w:id="1843" w:name="_Toc54862298"/>
      <w:bookmarkStart w:id="1844" w:name="_Ref531957339"/>
      <w:bookmarkStart w:id="1845" w:name="_Toc161228743"/>
      <w:bookmarkStart w:id="1846" w:name="_Ref531957341"/>
      <w:bookmarkStart w:id="1847" w:name="_Toc145081658"/>
      <w:r>
        <w:rPr>
          <w:rFonts w:hint="eastAsia" w:ascii="宋体" w:hAnsi="宋体" w:eastAsia="宋体"/>
          <w:b/>
          <w:color w:val="auto"/>
          <w:sz w:val="24"/>
          <w:highlight w:val="none"/>
        </w:rPr>
        <w:t>14.7最终结清</w:t>
      </w:r>
      <w:bookmarkEnd w:id="1843"/>
      <w:bookmarkEnd w:id="1844"/>
      <w:bookmarkEnd w:id="1845"/>
      <w:bookmarkEnd w:id="1846"/>
      <w:bookmarkEnd w:id="1847"/>
    </w:p>
    <w:p w14:paraId="045B5A0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48" w:name="_Ref531957350"/>
      <w:r>
        <w:rPr>
          <w:rFonts w:hint="eastAsia" w:ascii="宋体" w:hAnsi="宋体" w:cs="宋体"/>
          <w:color w:val="auto"/>
          <w:kern w:val="0"/>
          <w:szCs w:val="20"/>
          <w:highlight w:val="none"/>
          <w:lang w:bidi="ar"/>
        </w:rPr>
        <w:t>14.7.1最终结清申请</w:t>
      </w:r>
      <w:bookmarkEnd w:id="1848"/>
      <w:r>
        <w:rPr>
          <w:rFonts w:hint="eastAsia" w:ascii="宋体" w:hAnsi="宋体" w:cs="宋体"/>
          <w:color w:val="auto"/>
          <w:kern w:val="0"/>
          <w:szCs w:val="20"/>
          <w:highlight w:val="none"/>
          <w:lang w:bidi="ar"/>
        </w:rPr>
        <w:t>单</w:t>
      </w:r>
    </w:p>
    <w:p w14:paraId="2E5FA8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（1）除专用合同条件另有约定外，承包人应在缺陷责任期终止证书颁发后7天内，按专用合同条件约定的份数向发包人提交最终结清申请单，并提供相关证明材料。</w:t>
      </w:r>
    </w:p>
    <w:p w14:paraId="48D906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除专用合同条件另有约定外，最终结清申请单应列明质量保证金、应扣除的质量保证金、缺陷责任期内发生的增减费用。</w:t>
      </w:r>
    </w:p>
    <w:p w14:paraId="2949EC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（2）发包人对最终结清申请单内容有异议的，有权要求承包人进行修正和提供补充资料，承包人应向发包人提交修正后的最终结清申请单。</w:t>
      </w:r>
    </w:p>
    <w:p w14:paraId="49FC1BB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49" w:name="_Ref531957369"/>
      <w:bookmarkStart w:id="1850" w:name="_Ref4624099"/>
      <w:r>
        <w:rPr>
          <w:rFonts w:hint="eastAsia" w:ascii="宋体" w:hAnsi="宋体" w:cs="宋体"/>
          <w:color w:val="auto"/>
          <w:kern w:val="0"/>
          <w:szCs w:val="20"/>
          <w:highlight w:val="none"/>
          <w:lang w:bidi="ar"/>
        </w:rPr>
        <w:t>14.7.2最终结清证书</w:t>
      </w:r>
      <w:bookmarkEnd w:id="1849"/>
      <w:r>
        <w:rPr>
          <w:rFonts w:hint="eastAsia" w:ascii="宋体" w:hAnsi="宋体" w:cs="宋体"/>
          <w:color w:val="auto"/>
          <w:kern w:val="0"/>
          <w:szCs w:val="20"/>
          <w:highlight w:val="none"/>
          <w:lang w:bidi="ar"/>
        </w:rPr>
        <w:t>和支付</w:t>
      </w:r>
      <w:bookmarkEnd w:id="1850"/>
    </w:p>
    <w:p w14:paraId="57731C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1CF3F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专用合同条件另有约定外，发包人应在颁发最终结清证书后7天内完成支付。发包人逾期支付的，按照贷款市场报价利率（LPR）支付利息；逾期支付超过56天的，按照贷款市场报价利率（LPR）的两倍支付利息。</w:t>
      </w:r>
    </w:p>
    <w:p w14:paraId="06BD51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（3）承包人对发包人颁发的最终结清证书有异议的，按第20条[争议解决]的约定办理。</w:t>
      </w:r>
    </w:p>
    <w:p w14:paraId="0A4C8C41">
      <w:pPr>
        <w:adjustRightInd w:val="0"/>
        <w:snapToGrid w:val="0"/>
        <w:spacing w:line="360" w:lineRule="auto"/>
        <w:rPr>
          <w:rFonts w:ascii="黑体" w:hAnsi="黑体" w:eastAsia="黑体"/>
          <w:color w:val="auto"/>
          <w:sz w:val="24"/>
          <w:highlight w:val="none"/>
        </w:rPr>
      </w:pPr>
      <w:bookmarkStart w:id="1851" w:name="_Ref11874957"/>
      <w:bookmarkStart w:id="1852" w:name="_Ref11920407"/>
      <w:bookmarkStart w:id="1853" w:name="_Toc161228744"/>
      <w:bookmarkStart w:id="1854" w:name="_Ref11920396"/>
      <w:bookmarkStart w:id="1855" w:name="_Toc54862299"/>
      <w:r>
        <w:rPr>
          <w:rFonts w:hint="eastAsia" w:ascii="黑体" w:hAnsi="黑体" w:eastAsia="黑体"/>
          <w:color w:val="auto"/>
          <w:sz w:val="24"/>
          <w:highlight w:val="none"/>
        </w:rPr>
        <w:t>第15条 违约</w:t>
      </w:r>
      <w:bookmarkEnd w:id="1668"/>
      <w:bookmarkEnd w:id="1673"/>
      <w:bookmarkEnd w:id="1674"/>
      <w:bookmarkEnd w:id="1851"/>
      <w:bookmarkEnd w:id="1852"/>
      <w:bookmarkEnd w:id="1853"/>
      <w:bookmarkEnd w:id="1854"/>
      <w:bookmarkEnd w:id="1855"/>
    </w:p>
    <w:p w14:paraId="576410DA">
      <w:pPr>
        <w:adjustRightInd w:val="0"/>
        <w:snapToGrid w:val="0"/>
        <w:spacing w:line="360" w:lineRule="auto"/>
        <w:rPr>
          <w:rFonts w:ascii="宋体" w:hAnsi="宋体"/>
          <w:b/>
          <w:color w:val="auto"/>
          <w:sz w:val="24"/>
          <w:highlight w:val="none"/>
        </w:rPr>
      </w:pPr>
      <w:bookmarkStart w:id="1856" w:name="_Ref4534384"/>
      <w:bookmarkStart w:id="1857" w:name="_Toc54862300"/>
      <w:bookmarkStart w:id="1858" w:name="_Ref4534399"/>
      <w:bookmarkStart w:id="1859" w:name="_Toc145081660"/>
      <w:bookmarkStart w:id="1860" w:name="_Toc161228745"/>
      <w:bookmarkStart w:id="1861" w:name="_Ref4534376"/>
      <w:bookmarkStart w:id="1862" w:name="_Ref4534411"/>
      <w:r>
        <w:rPr>
          <w:rFonts w:hint="eastAsia" w:ascii="宋体" w:hAnsi="宋体" w:eastAsia="宋体"/>
          <w:b/>
          <w:color w:val="auto"/>
          <w:sz w:val="24"/>
          <w:highlight w:val="none"/>
        </w:rPr>
        <w:t>15.1发包人违约</w:t>
      </w:r>
      <w:bookmarkEnd w:id="1856"/>
      <w:bookmarkEnd w:id="1857"/>
      <w:bookmarkEnd w:id="1858"/>
      <w:bookmarkEnd w:id="1859"/>
      <w:bookmarkEnd w:id="1860"/>
      <w:bookmarkEnd w:id="1861"/>
      <w:bookmarkEnd w:id="1862"/>
    </w:p>
    <w:p w14:paraId="664CB43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63" w:name="_Ref3841087"/>
      <w:r>
        <w:rPr>
          <w:rFonts w:hint="eastAsia" w:ascii="宋体" w:hAnsi="宋体" w:cs="宋体"/>
          <w:color w:val="auto"/>
          <w:kern w:val="0"/>
          <w:szCs w:val="20"/>
          <w:highlight w:val="none"/>
          <w:lang w:bidi="ar"/>
        </w:rPr>
        <w:t>15.1.1发包人违约的情形</w:t>
      </w:r>
      <w:bookmarkEnd w:id="1863"/>
    </w:p>
    <w:p w14:paraId="043849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除专用合同条件另有约定外，在合同履行过程中发生的下列情形，属于发包人违约：</w:t>
      </w:r>
    </w:p>
    <w:p w14:paraId="5781B4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（1）因发包人原因导致开始工作日期延误的；</w:t>
      </w:r>
    </w:p>
    <w:p w14:paraId="0F3CBE8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（2）因发包人原因未能按合同约定支付合同价款的；</w:t>
      </w:r>
    </w:p>
    <w:p w14:paraId="09A854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（3）发包人违反第13.1.1项约定，自行实施被取消的工作或转由他人实施的；</w:t>
      </w:r>
    </w:p>
    <w:p w14:paraId="52208F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（4）因发包人违反合同约定造成工程暂停施工的；</w:t>
      </w:r>
    </w:p>
    <w:p w14:paraId="40963BB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（5）工程师无正当理由没有在约定期限内发出复工指示，导致承包人无法复工的；</w:t>
      </w:r>
    </w:p>
    <w:p w14:paraId="082814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（6）发包人明确表示或者以其行为表明不履行合同主要义务的；</w:t>
      </w:r>
    </w:p>
    <w:p w14:paraId="020F24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（7）发包人未能按照合同约定履行其他义务的。</w:t>
      </w:r>
    </w:p>
    <w:p w14:paraId="689196A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64" w:name="_Ref4535692"/>
      <w:r>
        <w:rPr>
          <w:rFonts w:hint="eastAsia" w:ascii="宋体" w:hAnsi="宋体" w:cs="宋体"/>
          <w:color w:val="auto"/>
          <w:kern w:val="0"/>
          <w:szCs w:val="20"/>
          <w:highlight w:val="none"/>
          <w:lang w:bidi="ar"/>
        </w:rPr>
        <w:t>15.1.2通知改正</w:t>
      </w:r>
      <w:bookmarkEnd w:id="1864"/>
    </w:p>
    <w:p w14:paraId="1FFD2BAE">
      <w:pPr>
        <w:adjustRightInd w:val="0"/>
        <w:snapToGrid w:val="0"/>
        <w:spacing w:line="360" w:lineRule="auto"/>
        <w:ind w:firstLine="420" w:firstLineChars="200"/>
        <w:rPr>
          <w:rFonts w:ascii="宋体" w:hAnsi="宋体" w:cs="宋体"/>
          <w:color w:val="auto"/>
          <w:szCs w:val="21"/>
          <w:highlight w:val="none"/>
        </w:rPr>
      </w:pPr>
      <w:bookmarkStart w:id="1865" w:name="_Hlk16248297"/>
      <w:r>
        <w:rPr>
          <w:rFonts w:hint="eastAsia" w:ascii="宋体" w:hAnsi="宋体" w:cs="宋体"/>
          <w:color w:val="auto"/>
          <w:szCs w:val="21"/>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865"/>
    </w:p>
    <w:p w14:paraId="70DE8DA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66" w:name="_Ref3841132"/>
      <w:r>
        <w:rPr>
          <w:rFonts w:hint="eastAsia" w:ascii="宋体" w:hAnsi="宋体" w:cs="宋体"/>
          <w:color w:val="auto"/>
          <w:kern w:val="0"/>
          <w:szCs w:val="20"/>
          <w:highlight w:val="none"/>
          <w:lang w:bidi="ar"/>
        </w:rPr>
        <w:t>15.1.3发包人违约的责任</w:t>
      </w:r>
      <w:bookmarkEnd w:id="1866"/>
    </w:p>
    <w:p w14:paraId="32B17767">
      <w:pPr>
        <w:adjustRightInd w:val="0"/>
        <w:snapToGrid w:val="0"/>
        <w:spacing w:line="360" w:lineRule="auto"/>
        <w:ind w:firstLine="420" w:firstLineChars="200"/>
        <w:rPr>
          <w:rFonts w:ascii="宋体" w:hAnsi="宋体" w:cs="宋体"/>
          <w:color w:val="auto"/>
          <w:szCs w:val="21"/>
          <w:highlight w:val="none"/>
        </w:rPr>
      </w:pPr>
      <w:bookmarkStart w:id="1867" w:name="_Hlk16247984"/>
      <w:r>
        <w:rPr>
          <w:rFonts w:hint="eastAsia" w:ascii="宋体" w:hAnsi="宋体" w:cs="宋体"/>
          <w:color w:val="auto"/>
          <w:szCs w:val="21"/>
          <w:highlight w:val="none"/>
        </w:rPr>
        <w:t>发包人应承担因其违约给承包人增加的费用和（或）延误的工期，并支付承包人合理的利润。此外，合同当事人可在专用合同条件中另行约定发包人违约责任的承担方式和计算方法。</w:t>
      </w:r>
      <w:bookmarkEnd w:id="1867"/>
    </w:p>
    <w:p w14:paraId="61F1CCCC">
      <w:pPr>
        <w:adjustRightInd w:val="0"/>
        <w:snapToGrid w:val="0"/>
        <w:spacing w:line="360" w:lineRule="auto"/>
        <w:rPr>
          <w:rFonts w:ascii="宋体" w:hAnsi="宋体"/>
          <w:b/>
          <w:color w:val="auto"/>
          <w:sz w:val="24"/>
          <w:highlight w:val="none"/>
        </w:rPr>
      </w:pPr>
      <w:bookmarkStart w:id="1868" w:name="_Toc145081661"/>
      <w:bookmarkStart w:id="1869" w:name="_Ref11958660"/>
      <w:bookmarkStart w:id="1870" w:name="_Toc54862301"/>
      <w:bookmarkStart w:id="1871" w:name="_Toc161228746"/>
      <w:bookmarkStart w:id="1872" w:name="_Ref11958663"/>
      <w:r>
        <w:rPr>
          <w:rFonts w:hint="eastAsia" w:ascii="宋体" w:hAnsi="宋体" w:eastAsia="宋体"/>
          <w:b/>
          <w:color w:val="auto"/>
          <w:sz w:val="24"/>
          <w:highlight w:val="none"/>
        </w:rPr>
        <w:t>15.2承包人违约</w:t>
      </w:r>
      <w:bookmarkEnd w:id="1868"/>
      <w:bookmarkEnd w:id="1869"/>
      <w:bookmarkEnd w:id="1870"/>
      <w:bookmarkEnd w:id="1871"/>
      <w:bookmarkEnd w:id="1872"/>
    </w:p>
    <w:p w14:paraId="0E78CA8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73" w:name="_Ref3841153"/>
      <w:r>
        <w:rPr>
          <w:rFonts w:hint="eastAsia" w:ascii="宋体" w:hAnsi="宋体" w:cs="宋体"/>
          <w:color w:val="auto"/>
          <w:kern w:val="0"/>
          <w:szCs w:val="20"/>
          <w:highlight w:val="none"/>
          <w:lang w:bidi="ar"/>
        </w:rPr>
        <w:t>15.2.1承包人违约的情形</w:t>
      </w:r>
      <w:bookmarkEnd w:id="1873"/>
    </w:p>
    <w:p w14:paraId="46EEC1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除专用合同条件另有约定外，在履行合同过程中发生的下列情况之一的，属于承包人违约：</w:t>
      </w:r>
    </w:p>
    <w:p w14:paraId="120599F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（1）承包人的原因导致的承包人文件、实施和竣工的工程不符合法律法规、工程质量验收标准以及合同约定；</w:t>
      </w:r>
    </w:p>
    <w:p w14:paraId="16E398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（2）承包人违反合同约定进行转包或违法分包的；</w:t>
      </w:r>
    </w:p>
    <w:p w14:paraId="746782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（3）承包人违反约定采购和使用不合格材料或工程设备；</w:t>
      </w:r>
    </w:p>
    <w:p w14:paraId="5907B4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（4）因承包人原因导致工程质量不符合合同要求的；</w:t>
      </w:r>
    </w:p>
    <w:p w14:paraId="638FF9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（5）承包人未经工程师批准，擅自将已按合同约定进入施工现场的施工设备、临时设施或材料撤离施工现场；</w:t>
      </w:r>
    </w:p>
    <w:p w14:paraId="6BDBAB1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（6）承包人未能按项目进度计划及时完成合同约定的工作，造成工期延误；</w:t>
      </w:r>
    </w:p>
    <w:p w14:paraId="2D08FA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（7）由于承包人原因未能通过竣工试验或竣工后试验的；</w:t>
      </w:r>
    </w:p>
    <w:p w14:paraId="6A3FE9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（8）承包人在缺陷责任期及保修期内，未能在合理期限对工程缺陷进行修复，或拒绝按发包人指示进行修复的；</w:t>
      </w:r>
    </w:p>
    <w:p w14:paraId="5155B8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（9）承包人明确表示或者以其行为表明不履行合同主要义务的；</w:t>
      </w:r>
    </w:p>
    <w:p w14:paraId="4D6359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（10）承包人未能按照合同约定履行其他义务的。</w:t>
      </w:r>
    </w:p>
    <w:p w14:paraId="2762A845">
      <w:pPr>
        <w:tabs>
          <w:tab w:val="left" w:pos="851"/>
        </w:tabs>
        <w:adjustRightInd w:val="0"/>
        <w:snapToGrid w:val="0"/>
        <w:spacing w:line="360" w:lineRule="auto"/>
        <w:ind w:firstLine="420" w:firstLineChars="200"/>
        <w:rPr>
          <w:rFonts w:ascii="宋体" w:hAnsi="宋体" w:cs="宋体"/>
          <w:color w:val="auto"/>
          <w:highlight w:val="none"/>
        </w:rPr>
      </w:pPr>
      <w:bookmarkStart w:id="1874" w:name="_Ref531958512"/>
      <w:r>
        <w:rPr>
          <w:rFonts w:hint="eastAsia" w:ascii="宋体" w:hAnsi="宋体" w:cs="宋体"/>
          <w:color w:val="auto"/>
          <w:highlight w:val="none"/>
        </w:rPr>
        <w:t>15.2.2通知改正</w:t>
      </w:r>
      <w:bookmarkEnd w:id="1874"/>
    </w:p>
    <w:p w14:paraId="196EA3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承包人发生除第15.2.1项第（7）目、第（9）目约定以外的其他违约情况时，工程师可在专用合同条件约定的合理期限内向承包人发出整改通知，要求其在指定的期限内改正。</w:t>
      </w:r>
    </w:p>
    <w:p w14:paraId="0144E86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75" w:name="_Ref3841166"/>
      <w:r>
        <w:rPr>
          <w:rFonts w:hint="eastAsia" w:ascii="宋体" w:hAnsi="宋体" w:cs="宋体"/>
          <w:color w:val="auto"/>
          <w:kern w:val="0"/>
          <w:szCs w:val="20"/>
          <w:highlight w:val="none"/>
          <w:lang w:bidi="ar"/>
        </w:rPr>
        <w:t>15.2.3承包人违约的责任</w:t>
      </w:r>
      <w:bookmarkEnd w:id="1875"/>
    </w:p>
    <w:p w14:paraId="552099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承包人应承担因其违约行为而增加的费用和（或）延误的工期。此外，合同当事人可在专用合同条件中另行约定承包人违约责任的承担方式和计算方法。</w:t>
      </w:r>
    </w:p>
    <w:p w14:paraId="1858EA53">
      <w:pPr>
        <w:adjustRightInd w:val="0"/>
        <w:snapToGrid w:val="0"/>
        <w:spacing w:line="360" w:lineRule="auto"/>
        <w:rPr>
          <w:rFonts w:ascii="宋体" w:hAnsi="宋体"/>
          <w:b/>
          <w:color w:val="auto"/>
          <w:sz w:val="24"/>
          <w:highlight w:val="none"/>
        </w:rPr>
      </w:pPr>
      <w:bookmarkStart w:id="1876" w:name="_Toc145081662"/>
      <w:bookmarkStart w:id="1877" w:name="_Toc161228747"/>
      <w:bookmarkStart w:id="1878" w:name="_Toc54862302"/>
      <w:r>
        <w:rPr>
          <w:rFonts w:hint="eastAsia" w:ascii="宋体" w:hAnsi="宋体" w:eastAsia="宋体"/>
          <w:b/>
          <w:color w:val="auto"/>
          <w:sz w:val="24"/>
          <w:highlight w:val="none"/>
        </w:rPr>
        <w:t>15.3第三人造成的违约</w:t>
      </w:r>
      <w:bookmarkEnd w:id="1876"/>
      <w:bookmarkEnd w:id="1877"/>
      <w:bookmarkEnd w:id="1878"/>
    </w:p>
    <w:p w14:paraId="69A778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53548287">
      <w:pPr>
        <w:adjustRightInd w:val="0"/>
        <w:snapToGrid w:val="0"/>
        <w:spacing w:line="360" w:lineRule="auto"/>
        <w:rPr>
          <w:rFonts w:ascii="黑体" w:hAnsi="黑体" w:eastAsia="黑体"/>
          <w:color w:val="auto"/>
          <w:sz w:val="24"/>
          <w:highlight w:val="none"/>
        </w:rPr>
      </w:pPr>
      <w:bookmarkStart w:id="1879" w:name="_Toc161228748"/>
      <w:bookmarkStart w:id="1880" w:name="_Ref4510572"/>
      <w:bookmarkStart w:id="1881" w:name="_Toc54862303"/>
      <w:bookmarkStart w:id="1882" w:name="_Ref3840457"/>
      <w:bookmarkStart w:id="1883" w:name="_Ref532142069"/>
      <w:r>
        <w:rPr>
          <w:rFonts w:hint="eastAsia" w:ascii="黑体" w:hAnsi="黑体" w:eastAsia="黑体"/>
          <w:color w:val="auto"/>
          <w:sz w:val="24"/>
          <w:highlight w:val="none"/>
        </w:rPr>
        <w:t>第16条 合同解除</w:t>
      </w:r>
      <w:bookmarkEnd w:id="1879"/>
      <w:bookmarkEnd w:id="1880"/>
      <w:bookmarkEnd w:id="1881"/>
    </w:p>
    <w:p w14:paraId="7DA1DA79">
      <w:pPr>
        <w:adjustRightInd w:val="0"/>
        <w:snapToGrid w:val="0"/>
        <w:spacing w:line="360" w:lineRule="auto"/>
        <w:rPr>
          <w:rFonts w:ascii="宋体" w:hAnsi="宋体"/>
          <w:b/>
          <w:color w:val="auto"/>
          <w:sz w:val="24"/>
          <w:highlight w:val="none"/>
        </w:rPr>
      </w:pPr>
      <w:bookmarkStart w:id="1884" w:name="_Toc161228749"/>
      <w:bookmarkStart w:id="1885" w:name="_Ref531958499"/>
      <w:bookmarkStart w:id="1886" w:name="_Toc54862304"/>
      <w:bookmarkStart w:id="1887" w:name="_Toc145081664"/>
      <w:bookmarkStart w:id="1888" w:name="_Ref531958502"/>
      <w:r>
        <w:rPr>
          <w:rFonts w:hint="eastAsia" w:ascii="宋体" w:hAnsi="宋体" w:eastAsia="宋体"/>
          <w:b/>
          <w:color w:val="auto"/>
          <w:sz w:val="24"/>
          <w:highlight w:val="none"/>
        </w:rPr>
        <w:t>16.1由发包人解除合同</w:t>
      </w:r>
      <w:bookmarkEnd w:id="1884"/>
      <w:bookmarkEnd w:id="1885"/>
      <w:bookmarkEnd w:id="1886"/>
      <w:bookmarkEnd w:id="1887"/>
      <w:bookmarkEnd w:id="1888"/>
    </w:p>
    <w:p w14:paraId="0F9013E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89" w:name="_Ref4535422"/>
      <w:r>
        <w:rPr>
          <w:rFonts w:hint="eastAsia" w:ascii="宋体" w:hAnsi="宋体" w:cs="宋体"/>
          <w:color w:val="auto"/>
          <w:kern w:val="0"/>
          <w:szCs w:val="20"/>
          <w:highlight w:val="none"/>
          <w:lang w:bidi="ar"/>
        </w:rPr>
        <w:t>16.1.1因承包人违约解除合同</w:t>
      </w:r>
      <w:bookmarkEnd w:id="1889"/>
    </w:p>
    <w:p w14:paraId="5DCAF4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23C2558D">
      <w:pPr>
        <w:adjustRightInd w:val="0"/>
        <w:snapToGrid w:val="0"/>
        <w:spacing w:line="360" w:lineRule="auto"/>
        <w:ind w:firstLine="420" w:firstLineChars="200"/>
        <w:rPr>
          <w:rFonts w:ascii="宋体" w:hAnsi="宋体" w:cs="宋体"/>
          <w:color w:val="auto"/>
          <w:szCs w:val="21"/>
          <w:highlight w:val="none"/>
        </w:rPr>
      </w:pPr>
      <w:bookmarkStart w:id="1890" w:name="_Ref531958536"/>
      <w:r>
        <w:rPr>
          <w:rFonts w:hint="eastAsia" w:ascii="宋体" w:hAnsi="宋体" w:cs="宋体"/>
          <w:color w:val="auto"/>
          <w:szCs w:val="21"/>
          <w:highlight w:val="none"/>
        </w:rPr>
        <w:t>（1）承包人未能遵守第4.2款</w:t>
      </w:r>
      <w:bookmarkStart w:id="1891" w:name="_Hlk18839947"/>
      <w:r>
        <w:rPr>
          <w:rFonts w:hint="eastAsia" w:ascii="宋体" w:hAnsi="宋体" w:cs="宋体"/>
          <w:color w:val="auto"/>
          <w:szCs w:val="21"/>
          <w:highlight w:val="none"/>
        </w:rPr>
        <w:t>[履约担保]</w:t>
      </w:r>
      <w:bookmarkEnd w:id="1891"/>
      <w:r>
        <w:rPr>
          <w:rFonts w:hint="eastAsia" w:ascii="宋体" w:hAnsi="宋体" w:cs="宋体"/>
          <w:color w:val="auto"/>
          <w:szCs w:val="21"/>
          <w:highlight w:val="none"/>
        </w:rPr>
        <w:t>的约定；</w:t>
      </w:r>
    </w:p>
    <w:p w14:paraId="5C572C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（2）承包人未能遵守第4.5款[分包]有关分包和转包的约定；</w:t>
      </w:r>
    </w:p>
    <w:p w14:paraId="6EFA00B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（3）承包人实际进度明显落后于进度计划，并且未按发包人的指令采取措施并修正进度计划；</w:t>
      </w:r>
    </w:p>
    <w:p w14:paraId="0CA04E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（4）工程质量有严重缺陷，承包人无正当理由使修复开始日期拖延达28天以上；</w:t>
      </w:r>
    </w:p>
    <w:p w14:paraId="32136A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582BAC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（6）承包人明确表示或以自己的行为表明不履行合同或经发包人以书面形式通知其履约后仍未能依约履行合同或以不适当的方式履行合同；</w:t>
      </w:r>
    </w:p>
    <w:p w14:paraId="37A938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（7）未能通过的竣工试验、未能通过的竣工后试验，使工程的任何部分和（或）整个工程丧失了主要使用功能、生产功能；</w:t>
      </w:r>
    </w:p>
    <w:p w14:paraId="55D626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（8）因承包人的原因暂停工作超过56天且暂停影响到整个工程，或因承包人的原因暂停工作超过182天；</w:t>
      </w:r>
    </w:p>
    <w:p w14:paraId="51F046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（9）承包人未能遵守第8.2款[竣工日期]规定，延误超过182天；</w:t>
      </w:r>
    </w:p>
    <w:p w14:paraId="0F9060F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（10）工程师根据第15.2.2项[通知改正]发出整改通知后，承包人在指定的合理期限内仍不纠正违约行为并致使合同目的不能实现的。</w:t>
      </w:r>
    </w:p>
    <w:bookmarkEnd w:id="1890"/>
    <w:p w14:paraId="286BA21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92" w:name="_Ref3841839"/>
      <w:bookmarkStart w:id="1893" w:name="_Ref4624315"/>
      <w:r>
        <w:rPr>
          <w:rFonts w:hint="eastAsia" w:ascii="宋体" w:hAnsi="宋体" w:cs="宋体"/>
          <w:color w:val="auto"/>
          <w:kern w:val="0"/>
          <w:szCs w:val="20"/>
          <w:highlight w:val="none"/>
          <w:lang w:bidi="ar"/>
        </w:rPr>
        <w:t>16.1.2因承包人违约解除合同后</w:t>
      </w:r>
      <w:bookmarkEnd w:id="1892"/>
      <w:r>
        <w:rPr>
          <w:rFonts w:hint="eastAsia" w:ascii="宋体" w:hAnsi="宋体" w:cs="宋体"/>
          <w:color w:val="auto"/>
          <w:kern w:val="0"/>
          <w:szCs w:val="20"/>
          <w:highlight w:val="none"/>
          <w:lang w:bidi="ar"/>
        </w:rPr>
        <w:t>承包人的义务</w:t>
      </w:r>
      <w:bookmarkEnd w:id="1893"/>
    </w:p>
    <w:p w14:paraId="515B01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合同解除后，承包人应按以下约定执行：</w:t>
      </w:r>
    </w:p>
    <w:p w14:paraId="46EFF6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（1）除了为保护生命、财产或工程安全、清理和必须执行的工作外，停止执行所有被通知解除的工作，并将相关人员撤离现场；</w:t>
      </w:r>
    </w:p>
    <w:p w14:paraId="27B853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（2）经发包人批准，承包人应将与被解除合同相关的和正在执行的分包合同及相关的责任和义务转让至发包人和（或）发包人指定方的名下，包括永久性工程及工程物资，以及相关工作；</w:t>
      </w:r>
    </w:p>
    <w:p w14:paraId="4EFD89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（3）移交已完成的永久性工程及负责已运抵现场的工程物资。在移交前，妥善做好</w:t>
      </w:r>
      <w:r>
        <w:rPr>
          <w:rFonts w:hint="eastAsia" w:ascii="宋体" w:hAnsi="宋体" w:cs="宋体"/>
          <w:color w:val="auto"/>
          <w:szCs w:val="21"/>
          <w:highlight w:val="none"/>
          <w:lang w:val="en-US" w:eastAsia="zh-CN"/>
        </w:rPr>
        <w:t>已</w:t>
      </w:r>
      <w:r>
        <w:rPr>
          <w:rFonts w:hint="eastAsia" w:ascii="宋体" w:hAnsi="宋体" w:cs="宋体"/>
          <w:color w:val="auto"/>
          <w:szCs w:val="21"/>
          <w:highlight w:val="none"/>
        </w:rPr>
        <w:t>完工程和已运抵现场的工程物资的保管、维护和保养；</w:t>
      </w:r>
    </w:p>
    <w:p w14:paraId="287AA5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（4）将发包人提供的所有信息及承包人为本工程编制的设计文件、技术资料及其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文件移交给发包人。在承包人留有的资料文件中，销毁与发包人提供的所有信息相关的数据及资料的备份；</w:t>
      </w:r>
    </w:p>
    <w:p w14:paraId="54F819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（5）移交相应实施阶段已经付款的并已完成的和尚待完成的设计文件、图纸、资料、操作维修手册、施工组织设计、质检资料、竣工资料等；</w:t>
      </w:r>
    </w:p>
    <w:p w14:paraId="6890C23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16.1.3因承包人违约解除合同后的估价、付款和结算</w:t>
      </w:r>
    </w:p>
    <w:p w14:paraId="688B8C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因承包人原因导致合同解除的，则合同当事人应在合同解除后28天内完成估价、付款和清算，并按以下约定执行：</w:t>
      </w:r>
    </w:p>
    <w:p w14:paraId="7381ED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（1）合同解除后，按第3.6款[商定或确定]商定或确定承包人实际完成工作对应的合同价款，以及承包人已提供的材料、工程设备、施工设备和临时工程等的价值；</w:t>
      </w:r>
    </w:p>
    <w:p w14:paraId="44DA01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（2）合同解除后，承包人应支付的违约金；</w:t>
      </w:r>
    </w:p>
    <w:p w14:paraId="515970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（3）合同解除后，因解除合同给发包人造成的损失；</w:t>
      </w:r>
    </w:p>
    <w:p w14:paraId="2340A4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（4）合同解除后，承包人应按照发包人的指示完成现场的清理和撤离；</w:t>
      </w:r>
    </w:p>
    <w:p w14:paraId="348E635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（5）发包人和承包人应在合同解除后进行清算，出具最终结清付款证书，结清全部款项。</w:t>
      </w:r>
    </w:p>
    <w:p w14:paraId="6010D8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2456E9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16.1.4因承包人违约解除合同的合同权益转让</w:t>
      </w:r>
    </w:p>
    <w:p w14:paraId="2E8B0E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5573F77A">
      <w:pPr>
        <w:adjustRightInd w:val="0"/>
        <w:snapToGrid w:val="0"/>
        <w:spacing w:line="360" w:lineRule="auto"/>
        <w:rPr>
          <w:rFonts w:ascii="宋体" w:hAnsi="宋体"/>
          <w:b/>
          <w:color w:val="auto"/>
          <w:sz w:val="24"/>
          <w:highlight w:val="none"/>
        </w:rPr>
      </w:pPr>
      <w:bookmarkStart w:id="1894" w:name="_Toc54862305"/>
      <w:bookmarkStart w:id="1895" w:name="_Ref531958549"/>
      <w:bookmarkStart w:id="1896" w:name="_Toc161228750"/>
      <w:bookmarkStart w:id="1897" w:name="_Ref531958554"/>
      <w:bookmarkStart w:id="1898" w:name="_Toc145081665"/>
      <w:r>
        <w:rPr>
          <w:rFonts w:hint="eastAsia" w:ascii="宋体" w:hAnsi="宋体" w:eastAsia="宋体"/>
          <w:b/>
          <w:color w:val="auto"/>
          <w:sz w:val="24"/>
          <w:highlight w:val="none"/>
        </w:rPr>
        <w:t>16.2由承包人解除合同</w:t>
      </w:r>
      <w:bookmarkEnd w:id="1894"/>
      <w:bookmarkEnd w:id="1895"/>
      <w:bookmarkEnd w:id="1896"/>
      <w:bookmarkEnd w:id="1897"/>
      <w:bookmarkEnd w:id="1898"/>
    </w:p>
    <w:p w14:paraId="1CD024D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99" w:name="_Ref3841758"/>
      <w:r>
        <w:rPr>
          <w:rFonts w:hint="eastAsia" w:ascii="宋体" w:hAnsi="宋体" w:cs="宋体"/>
          <w:color w:val="auto"/>
          <w:kern w:val="0"/>
          <w:szCs w:val="20"/>
          <w:highlight w:val="none"/>
          <w:lang w:bidi="ar"/>
        </w:rPr>
        <w:t>16.2.1因发包人违约解除合同</w:t>
      </w:r>
      <w:bookmarkEnd w:id="1899"/>
    </w:p>
    <w:p w14:paraId="227252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45BA37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（1）承包人就发包人未能遵守第2.5.2项关于发包人的资金安排发出通知后42天内，仍未收到合理的证明；</w:t>
      </w:r>
    </w:p>
    <w:p w14:paraId="3936FE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（2）在第14条规定的付款时间到期后42天内，承包人仍未收到应付款项；</w:t>
      </w:r>
    </w:p>
    <w:p w14:paraId="0DB45F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（3）发包人实质上未能根据合同约定履行其义务，构成根本性违约；</w:t>
      </w:r>
    </w:p>
    <w:p w14:paraId="59807A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（4）发承包双方订立本合同协议书后的84天内，承包人未收到根据第8.1款[开始工作]的开始工作通知；</w:t>
      </w:r>
    </w:p>
    <w:p w14:paraId="442037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0BAD85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（6）发包人未能遵守第2.5.3项的约定提交支付担保；</w:t>
      </w:r>
    </w:p>
    <w:p w14:paraId="5CC555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（7）发包人未能执行第15.1.2项[通知改正]的约定，致使合同目的不能实现的；</w:t>
      </w:r>
    </w:p>
    <w:p w14:paraId="28EB88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（8）因发包人的原因暂停工作超过56天且暂停影响到整个工程，或因发包人的原因暂停工作超过182天的；</w:t>
      </w:r>
    </w:p>
    <w:p w14:paraId="63805B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（9）因发包人原因造成开始工作日期迟于承包人收到中标通知书（或在无中标通知书的情况下，订立本合同之日）后第84天的。</w:t>
      </w:r>
    </w:p>
    <w:p w14:paraId="15C4666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4740F20C">
      <w:pPr>
        <w:tabs>
          <w:tab w:val="left" w:pos="851"/>
        </w:tabs>
        <w:adjustRightInd w:val="0"/>
        <w:snapToGrid w:val="0"/>
        <w:spacing w:line="360" w:lineRule="auto"/>
        <w:ind w:firstLine="420" w:firstLineChars="200"/>
        <w:rPr>
          <w:rFonts w:ascii="宋体" w:hAnsi="宋体" w:cs="宋体"/>
          <w:color w:val="auto"/>
          <w:highlight w:val="none"/>
        </w:rPr>
      </w:pPr>
      <w:bookmarkStart w:id="1900" w:name="_Ref3842018"/>
      <w:bookmarkStart w:id="1901" w:name="_Ref4624336"/>
      <w:r>
        <w:rPr>
          <w:rFonts w:hint="eastAsia" w:ascii="宋体" w:hAnsi="宋体" w:cs="宋体"/>
          <w:color w:val="auto"/>
          <w:highlight w:val="none"/>
        </w:rPr>
        <w:t>16.2.2因发包人违约解除合同后</w:t>
      </w:r>
      <w:bookmarkEnd w:id="1900"/>
      <w:r>
        <w:rPr>
          <w:rFonts w:hint="eastAsia" w:ascii="宋体" w:hAnsi="宋体" w:cs="宋体"/>
          <w:color w:val="auto"/>
          <w:highlight w:val="none"/>
        </w:rPr>
        <w:t>承包人的义务</w:t>
      </w:r>
      <w:bookmarkEnd w:id="1901"/>
    </w:p>
    <w:p w14:paraId="127AF53E">
      <w:pPr>
        <w:pStyle w:val="38"/>
        <w:spacing w:after="0" w:afterLines="0"/>
        <w:ind w:left="0" w:firstLine="420" w:firstLineChars="200"/>
        <w:rPr>
          <w:rFonts w:cs="宋体"/>
          <w:color w:val="auto"/>
          <w:kern w:val="2"/>
          <w:sz w:val="21"/>
          <w:szCs w:val="21"/>
          <w:highlight w:val="none"/>
        </w:rPr>
      </w:pPr>
      <w:r>
        <w:rPr>
          <w:rFonts w:hint="eastAsia" w:cs="宋体"/>
          <w:color w:val="auto"/>
          <w:kern w:val="2"/>
          <w:sz w:val="21"/>
          <w:szCs w:val="21"/>
          <w:highlight w:val="none"/>
        </w:rPr>
        <w:t>合同解除后，承包人应按以下约定执行：</w:t>
      </w:r>
    </w:p>
    <w:p w14:paraId="1166AF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（1）除为保护生命、财产、工程安全的工作外，停止所有进一步的工作；承包人因执行该保护工作而产生费用的，由发包人承担；</w:t>
      </w:r>
    </w:p>
    <w:p w14:paraId="38CED30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（2）向发包人移交承包人已获得支付的承包人文件、生产设备、材料和其他工作；</w:t>
      </w:r>
    </w:p>
    <w:p w14:paraId="64152B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（3）从现场运走除为了安全需要以外的所有属于承包人的其他货物，并撤离现场。</w:t>
      </w:r>
    </w:p>
    <w:p w14:paraId="24E4A6B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16.2.3因发包人违约解除合同后的付款</w:t>
      </w:r>
    </w:p>
    <w:p w14:paraId="74E06F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承包人按照本款约定解除合同的，发包人应在解除合同后28天内支付下列款项，并退还履约担保：</w:t>
      </w:r>
    </w:p>
    <w:p w14:paraId="6F76B4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（1）合同解除前所完成工作的价款；</w:t>
      </w:r>
    </w:p>
    <w:p w14:paraId="0612AA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（2）承包人为工程施工订购并已付款的材料、工程设备和其他物品的价款；发包人付款后，该材料、工程设备和其他物品归发包人所有；</w:t>
      </w:r>
    </w:p>
    <w:p w14:paraId="3ED1AF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（3）承包人为完成工程所发生的，而发包人未支付的金额；</w:t>
      </w:r>
    </w:p>
    <w:p w14:paraId="374E8A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（4）承包人撤离施工现场以及遣散承包人人员的款项；</w:t>
      </w:r>
    </w:p>
    <w:p w14:paraId="7D6236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（5）按照合同约定在合同解除前应支付的违约金；</w:t>
      </w:r>
    </w:p>
    <w:p w14:paraId="7F70B39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（6）按照合同约定应当支付给承包人的其他款项；</w:t>
      </w:r>
    </w:p>
    <w:p w14:paraId="0955BC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（7）按照合同约定应返还的质量保证金；</w:t>
      </w:r>
    </w:p>
    <w:p w14:paraId="7D6207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（8）因解除合同给承包人造成的损失。</w:t>
      </w:r>
    </w:p>
    <w:p w14:paraId="7E7B12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71E4048F">
      <w:pPr>
        <w:adjustRightInd w:val="0"/>
        <w:snapToGrid w:val="0"/>
        <w:spacing w:line="360" w:lineRule="auto"/>
        <w:rPr>
          <w:rFonts w:ascii="宋体" w:hAnsi="宋体"/>
          <w:b/>
          <w:color w:val="auto"/>
          <w:sz w:val="24"/>
          <w:highlight w:val="none"/>
        </w:rPr>
      </w:pPr>
      <w:bookmarkStart w:id="1902" w:name="_Toc161228751"/>
      <w:bookmarkStart w:id="1903" w:name="_Toc54862306"/>
      <w:bookmarkStart w:id="1904" w:name="_Ref3841966"/>
      <w:bookmarkStart w:id="1905" w:name="_Toc145081666"/>
      <w:r>
        <w:rPr>
          <w:rFonts w:hint="eastAsia" w:ascii="宋体" w:hAnsi="宋体" w:eastAsia="宋体"/>
          <w:b/>
          <w:color w:val="auto"/>
          <w:sz w:val="24"/>
          <w:highlight w:val="none"/>
        </w:rPr>
        <w:t>16.3合同解除后的事项</w:t>
      </w:r>
      <w:bookmarkEnd w:id="1902"/>
      <w:bookmarkEnd w:id="1903"/>
      <w:bookmarkEnd w:id="1904"/>
      <w:bookmarkEnd w:id="1905"/>
    </w:p>
    <w:p w14:paraId="241EA06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16.3.1结算约定依然有效</w:t>
      </w:r>
    </w:p>
    <w:p w14:paraId="5551332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合同解除后，由发包人或由承包人解除合同的结算及结算后的付款约定仍然有效，直至解除合同的结算工作结清。</w:t>
      </w:r>
    </w:p>
    <w:p w14:paraId="7366931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16.3.2解除合同的争议</w:t>
      </w:r>
    </w:p>
    <w:p w14:paraId="24D5B492">
      <w:pPr>
        <w:adjustRightInd w:val="0"/>
        <w:snapToGrid w:val="0"/>
        <w:spacing w:line="360" w:lineRule="auto"/>
        <w:ind w:firstLine="420" w:firstLineChars="200"/>
        <w:rPr>
          <w:rFonts w:ascii="宋体" w:hAnsi="宋体" w:cs="宋体"/>
          <w:color w:val="auto"/>
          <w:szCs w:val="21"/>
          <w:highlight w:val="none"/>
        </w:rPr>
      </w:pPr>
      <w:bookmarkStart w:id="1906" w:name="_Hlk18988355"/>
      <w:r>
        <w:rPr>
          <w:rFonts w:hint="eastAsia" w:ascii="宋体" w:hAnsi="宋体" w:cs="宋体"/>
          <w:color w:val="auto"/>
          <w:szCs w:val="21"/>
          <w:highlight w:val="none"/>
        </w:rPr>
        <w:t>双方对解除合同或解除合同后的结算有争议的，按照第20条[争议解决]的约定处理。</w:t>
      </w:r>
      <w:bookmarkEnd w:id="1906"/>
    </w:p>
    <w:p w14:paraId="0877FDFD">
      <w:pPr>
        <w:adjustRightInd w:val="0"/>
        <w:snapToGrid w:val="0"/>
        <w:spacing w:line="360" w:lineRule="auto"/>
        <w:rPr>
          <w:rFonts w:ascii="黑体" w:hAnsi="黑体" w:eastAsia="黑体"/>
          <w:color w:val="auto"/>
          <w:sz w:val="24"/>
          <w:highlight w:val="none"/>
        </w:rPr>
      </w:pPr>
      <w:bookmarkStart w:id="1907" w:name="_Ref3840974"/>
      <w:bookmarkStart w:id="1908" w:name="_Toc54862307"/>
      <w:bookmarkStart w:id="1909" w:name="_Toc161228752"/>
      <w:bookmarkStart w:id="1910" w:name="_Ref3840605"/>
      <w:r>
        <w:rPr>
          <w:rFonts w:hint="eastAsia" w:ascii="黑体" w:hAnsi="黑体" w:eastAsia="黑体"/>
          <w:color w:val="auto"/>
          <w:sz w:val="24"/>
          <w:highlight w:val="none"/>
        </w:rPr>
        <w:t>第17条 不可抗力</w:t>
      </w:r>
      <w:bookmarkEnd w:id="1907"/>
      <w:bookmarkEnd w:id="1908"/>
      <w:bookmarkEnd w:id="1909"/>
    </w:p>
    <w:p w14:paraId="02DBBA37">
      <w:pPr>
        <w:adjustRightInd w:val="0"/>
        <w:snapToGrid w:val="0"/>
        <w:spacing w:line="360" w:lineRule="auto"/>
        <w:rPr>
          <w:rFonts w:ascii="宋体" w:hAnsi="宋体"/>
          <w:b/>
          <w:color w:val="auto"/>
          <w:sz w:val="24"/>
          <w:highlight w:val="none"/>
        </w:rPr>
      </w:pPr>
      <w:bookmarkStart w:id="1911" w:name="_Ref531958161"/>
      <w:bookmarkStart w:id="1912" w:name="_Ref531958158"/>
      <w:bookmarkStart w:id="1913" w:name="_Toc54862308"/>
      <w:bookmarkStart w:id="1914" w:name="_Toc161228753"/>
      <w:bookmarkStart w:id="1915" w:name="_Toc145081668"/>
      <w:r>
        <w:rPr>
          <w:rFonts w:hint="eastAsia" w:ascii="宋体" w:hAnsi="宋体" w:eastAsia="宋体"/>
          <w:b/>
          <w:color w:val="auto"/>
          <w:sz w:val="24"/>
          <w:highlight w:val="none"/>
        </w:rPr>
        <w:t>17.1不可抗力的</w:t>
      </w:r>
      <w:bookmarkEnd w:id="1911"/>
      <w:bookmarkEnd w:id="1912"/>
      <w:r>
        <w:rPr>
          <w:rFonts w:hint="eastAsia" w:ascii="宋体" w:hAnsi="宋体" w:eastAsia="宋体"/>
          <w:b/>
          <w:color w:val="auto"/>
          <w:sz w:val="24"/>
          <w:highlight w:val="none"/>
        </w:rPr>
        <w:t>定义</w:t>
      </w:r>
      <w:bookmarkEnd w:id="1913"/>
      <w:bookmarkEnd w:id="1914"/>
      <w:bookmarkEnd w:id="1915"/>
    </w:p>
    <w:p w14:paraId="43E4274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3936A5C3">
      <w:pPr>
        <w:adjustRightInd w:val="0"/>
        <w:snapToGrid w:val="0"/>
        <w:spacing w:line="360" w:lineRule="auto"/>
        <w:rPr>
          <w:rFonts w:ascii="宋体" w:hAnsi="宋体"/>
          <w:b/>
          <w:color w:val="auto"/>
          <w:sz w:val="24"/>
          <w:highlight w:val="none"/>
        </w:rPr>
      </w:pPr>
      <w:bookmarkStart w:id="1916" w:name="_Toc54862309"/>
      <w:bookmarkStart w:id="1917" w:name="_Toc145081669"/>
      <w:bookmarkStart w:id="1918" w:name="_Toc161228754"/>
      <w:r>
        <w:rPr>
          <w:rFonts w:hint="eastAsia" w:ascii="宋体" w:hAnsi="宋体" w:eastAsia="宋体"/>
          <w:b/>
          <w:color w:val="auto"/>
          <w:sz w:val="24"/>
          <w:highlight w:val="none"/>
        </w:rPr>
        <w:t>17.2不可抗力的通知</w:t>
      </w:r>
      <w:bookmarkEnd w:id="1916"/>
      <w:bookmarkEnd w:id="1917"/>
      <w:bookmarkEnd w:id="1918"/>
    </w:p>
    <w:p w14:paraId="49646F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合同一方当事人觉察或发现不可抗力事件发生，使其履行合同义务受到阻碍时，有义务立即通知合同另一方当事人和工程师，书面说明不可抗力和受阻碍的详细情况，并提供必要的证明。</w:t>
      </w:r>
    </w:p>
    <w:p w14:paraId="25CCFD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14:paraId="433D6F24">
      <w:pPr>
        <w:adjustRightInd w:val="0"/>
        <w:snapToGrid w:val="0"/>
        <w:spacing w:line="360" w:lineRule="auto"/>
        <w:rPr>
          <w:rFonts w:ascii="宋体" w:hAnsi="宋体"/>
          <w:b/>
          <w:color w:val="auto"/>
          <w:sz w:val="24"/>
          <w:highlight w:val="none"/>
        </w:rPr>
      </w:pPr>
      <w:bookmarkStart w:id="1919" w:name="_Toc145081670"/>
      <w:bookmarkStart w:id="1920" w:name="_Toc54862310"/>
      <w:bookmarkStart w:id="1921" w:name="_Toc161228755"/>
      <w:r>
        <w:rPr>
          <w:rFonts w:hint="eastAsia" w:ascii="宋体" w:hAnsi="宋体" w:eastAsia="宋体"/>
          <w:b/>
          <w:color w:val="auto"/>
          <w:sz w:val="24"/>
          <w:highlight w:val="none"/>
        </w:rPr>
        <w:t>17.3将损失减至最小的义务</w:t>
      </w:r>
      <w:bookmarkEnd w:id="1919"/>
      <w:bookmarkEnd w:id="1920"/>
      <w:bookmarkEnd w:id="1921"/>
    </w:p>
    <w:p w14:paraId="2FC992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6DCFA834">
      <w:pPr>
        <w:adjustRightInd w:val="0"/>
        <w:snapToGrid w:val="0"/>
        <w:spacing w:line="360" w:lineRule="auto"/>
        <w:rPr>
          <w:rFonts w:ascii="宋体" w:hAnsi="宋体"/>
          <w:b/>
          <w:color w:val="auto"/>
          <w:sz w:val="24"/>
          <w:highlight w:val="none"/>
        </w:rPr>
      </w:pPr>
      <w:bookmarkStart w:id="1922" w:name="_Ref531958170"/>
      <w:bookmarkStart w:id="1923" w:name="_Ref531958172"/>
      <w:bookmarkStart w:id="1924" w:name="_Toc145081671"/>
      <w:bookmarkStart w:id="1925" w:name="_Toc54862311"/>
      <w:bookmarkStart w:id="1926" w:name="_Toc161228756"/>
      <w:bookmarkStart w:id="1927" w:name="_Ref3840916"/>
      <w:r>
        <w:rPr>
          <w:rFonts w:hint="eastAsia" w:ascii="宋体" w:hAnsi="宋体" w:eastAsia="宋体"/>
          <w:b/>
          <w:color w:val="auto"/>
          <w:sz w:val="24"/>
          <w:highlight w:val="none"/>
        </w:rPr>
        <w:t>17.4不可抗力后果</w:t>
      </w:r>
      <w:bookmarkEnd w:id="1922"/>
      <w:bookmarkEnd w:id="1923"/>
      <w:r>
        <w:rPr>
          <w:rFonts w:hint="eastAsia" w:ascii="宋体" w:hAnsi="宋体" w:eastAsia="宋体"/>
          <w:b/>
          <w:color w:val="auto"/>
          <w:sz w:val="24"/>
          <w:highlight w:val="none"/>
        </w:rPr>
        <w:t>的承担</w:t>
      </w:r>
      <w:bookmarkEnd w:id="1924"/>
      <w:bookmarkEnd w:id="1925"/>
      <w:bookmarkEnd w:id="1926"/>
      <w:bookmarkEnd w:id="1927"/>
    </w:p>
    <w:p w14:paraId="281EBBD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不可抗力导致的人员伤亡、财产损失、费用增加和（或）工期延误等后果，由合同当事人按以下原则承担：</w:t>
      </w:r>
    </w:p>
    <w:p w14:paraId="40A16A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（1）永久工程，包括已运至施工现场的材料和工程设备的损害，以及因工程损害造成的第三人人员伤亡和财产损失由发包人承担；</w:t>
      </w:r>
    </w:p>
    <w:p w14:paraId="2792AF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（2）承包人提供的施工设备的损坏由承包人承担；</w:t>
      </w:r>
    </w:p>
    <w:p w14:paraId="7B8CAB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（3）发包人和承包人各自承担其人员伤亡及其他财产损失；</w:t>
      </w:r>
    </w:p>
    <w:p w14:paraId="3BA035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（4）因不可抗力影响承包人履行合同约定的义务，已经引起或将引起工期延误的，应当顺延工期，由此导致承包人停工的费用损失由发包人和承包人合理分担，</w:t>
      </w:r>
      <w:bookmarkStart w:id="1928" w:name="_Hlk51507024"/>
      <w:r>
        <w:rPr>
          <w:rFonts w:hint="eastAsia" w:ascii="宋体" w:hAnsi="宋体" w:cs="宋体"/>
          <w:color w:val="auto"/>
          <w:szCs w:val="21"/>
          <w:highlight w:val="none"/>
        </w:rPr>
        <w:t>停工期间必须支付的现场必要的工人工资</w:t>
      </w:r>
      <w:bookmarkEnd w:id="1928"/>
      <w:r>
        <w:rPr>
          <w:rFonts w:hint="eastAsia" w:ascii="宋体" w:hAnsi="宋体" w:cs="宋体"/>
          <w:color w:val="auto"/>
          <w:szCs w:val="21"/>
          <w:highlight w:val="none"/>
        </w:rPr>
        <w:t>由发包人承担；</w:t>
      </w:r>
    </w:p>
    <w:p w14:paraId="1507D2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（5）因不可抗力引起或将引起工期延误，发包人指示赶工的，由此增加的赶工费用由发包人承担；</w:t>
      </w:r>
    </w:p>
    <w:p w14:paraId="01677C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（6）承包人在停工期间按照工程师或发包人要求照管、清理和修复工程的费用由发包人承担。</w:t>
      </w:r>
    </w:p>
    <w:p w14:paraId="20C121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不可抗力引起的后果及造成的损失由合同当事人按照法律规定及合同约定各自承担。不可抗力发生前已完成的工程应当按照合同约定进行支付。</w:t>
      </w:r>
    </w:p>
    <w:p w14:paraId="156BA5A9">
      <w:pPr>
        <w:adjustRightInd w:val="0"/>
        <w:snapToGrid w:val="0"/>
        <w:spacing w:line="360" w:lineRule="auto"/>
        <w:rPr>
          <w:rFonts w:ascii="宋体" w:hAnsi="宋体"/>
          <w:b/>
          <w:color w:val="auto"/>
          <w:sz w:val="24"/>
          <w:highlight w:val="none"/>
        </w:rPr>
      </w:pPr>
      <w:bookmarkStart w:id="1929" w:name="_Toc54862312"/>
      <w:bookmarkStart w:id="1930" w:name="_Toc161228757"/>
      <w:bookmarkStart w:id="1931" w:name="_Toc145081672"/>
      <w:r>
        <w:rPr>
          <w:rFonts w:hint="eastAsia" w:ascii="宋体" w:hAnsi="宋体" w:eastAsia="宋体"/>
          <w:b/>
          <w:color w:val="auto"/>
          <w:sz w:val="24"/>
          <w:highlight w:val="none"/>
        </w:rPr>
        <w:t>17.5不可抗力影响分包人</w:t>
      </w:r>
      <w:bookmarkEnd w:id="1929"/>
      <w:bookmarkEnd w:id="1930"/>
      <w:bookmarkEnd w:id="1931"/>
    </w:p>
    <w:p w14:paraId="595807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分包人根据分包合同的约定，有权获得更多或者更广的不可抗力而免除某些义务时，承包人不得以分包合同中不可抗力约定向发包人抗辩免除其义务。</w:t>
      </w:r>
    </w:p>
    <w:p w14:paraId="31D6EA3F">
      <w:pPr>
        <w:adjustRightInd w:val="0"/>
        <w:snapToGrid w:val="0"/>
        <w:spacing w:line="360" w:lineRule="auto"/>
        <w:rPr>
          <w:rFonts w:ascii="宋体" w:hAnsi="宋体"/>
          <w:b/>
          <w:color w:val="auto"/>
          <w:sz w:val="24"/>
          <w:highlight w:val="none"/>
        </w:rPr>
      </w:pPr>
      <w:bookmarkStart w:id="1932" w:name="_Ref531958181"/>
      <w:bookmarkStart w:id="1933" w:name="_Ref531958184"/>
      <w:bookmarkStart w:id="1934" w:name="_Toc145081673"/>
      <w:bookmarkStart w:id="1935" w:name="_Ref4538024"/>
      <w:bookmarkStart w:id="1936" w:name="_Toc54862313"/>
      <w:bookmarkStart w:id="1937" w:name="_Ref3840892"/>
      <w:bookmarkStart w:id="1938" w:name="_Toc161228758"/>
      <w:r>
        <w:rPr>
          <w:rFonts w:hint="eastAsia" w:ascii="宋体" w:hAnsi="宋体" w:eastAsia="宋体"/>
          <w:b/>
          <w:color w:val="auto"/>
          <w:sz w:val="24"/>
          <w:highlight w:val="none"/>
        </w:rPr>
        <w:t>17.6因不可抗力解除</w:t>
      </w:r>
      <w:bookmarkEnd w:id="1932"/>
      <w:bookmarkEnd w:id="1933"/>
      <w:r>
        <w:rPr>
          <w:rFonts w:hint="eastAsia" w:ascii="宋体" w:hAnsi="宋体" w:eastAsia="宋体"/>
          <w:b/>
          <w:color w:val="auto"/>
          <w:sz w:val="24"/>
          <w:highlight w:val="none"/>
        </w:rPr>
        <w:t>合同</w:t>
      </w:r>
      <w:bookmarkEnd w:id="1934"/>
      <w:bookmarkEnd w:id="1935"/>
      <w:bookmarkEnd w:id="1936"/>
      <w:bookmarkEnd w:id="1937"/>
      <w:bookmarkEnd w:id="1938"/>
    </w:p>
    <w:p w14:paraId="27A100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5BE134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（1）合同解除前承包人已完成工作的价款；</w:t>
      </w:r>
    </w:p>
    <w:p w14:paraId="10A3BD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08C0A5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（3）发包人指示承包人退货或解除订货合同而产生的费用，或因不能退货或解除合同而产生的损失；</w:t>
      </w:r>
    </w:p>
    <w:p w14:paraId="0E26354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（4）承包人撤离施工现场以及遣散承包人人员的费用；</w:t>
      </w:r>
    </w:p>
    <w:p w14:paraId="79322F2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（5）按照合同约定在合同解除前应支付给承包人的其他款项；</w:t>
      </w:r>
    </w:p>
    <w:p w14:paraId="135E8B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（6）扣减承包人按照合同约定应向发包人支付的款项；</w:t>
      </w:r>
    </w:p>
    <w:p w14:paraId="08C870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（7）双方商定或确定的其他款项。</w:t>
      </w:r>
    </w:p>
    <w:p w14:paraId="0A93E5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除专用合同条件另有约定外，合同解除后，发包人应当在商定或确定上述款项后28天内完成上述款项的支付。</w:t>
      </w:r>
    </w:p>
    <w:p w14:paraId="5BC71A54">
      <w:pPr>
        <w:adjustRightInd w:val="0"/>
        <w:snapToGrid w:val="0"/>
        <w:spacing w:line="360" w:lineRule="auto"/>
        <w:rPr>
          <w:rFonts w:ascii="黑体" w:hAnsi="黑体" w:eastAsia="黑体"/>
          <w:color w:val="auto"/>
          <w:sz w:val="24"/>
          <w:highlight w:val="none"/>
        </w:rPr>
      </w:pPr>
      <w:bookmarkStart w:id="1939" w:name="_Toc161228759"/>
      <w:bookmarkStart w:id="1940" w:name="_Toc54862314"/>
      <w:bookmarkStart w:id="1941" w:name="_Ref11848274"/>
      <w:bookmarkStart w:id="1942" w:name="_Ref11848264"/>
      <w:r>
        <w:rPr>
          <w:rFonts w:hint="eastAsia" w:ascii="黑体" w:hAnsi="黑体" w:eastAsia="黑体"/>
          <w:color w:val="auto"/>
          <w:sz w:val="24"/>
          <w:highlight w:val="none"/>
        </w:rPr>
        <w:t>第18条 保险</w:t>
      </w:r>
      <w:bookmarkEnd w:id="1910"/>
      <w:bookmarkEnd w:id="1939"/>
      <w:bookmarkEnd w:id="1940"/>
      <w:bookmarkEnd w:id="1941"/>
      <w:bookmarkEnd w:id="1942"/>
    </w:p>
    <w:p w14:paraId="59A2D4C7">
      <w:pPr>
        <w:adjustRightInd w:val="0"/>
        <w:snapToGrid w:val="0"/>
        <w:spacing w:line="360" w:lineRule="auto"/>
        <w:rPr>
          <w:rFonts w:ascii="宋体" w:hAnsi="宋体"/>
          <w:b/>
          <w:color w:val="auto"/>
          <w:sz w:val="24"/>
          <w:highlight w:val="none"/>
        </w:rPr>
      </w:pPr>
      <w:bookmarkStart w:id="1943" w:name="_Toc54862315"/>
      <w:bookmarkStart w:id="1944" w:name="_Ref3840730"/>
      <w:bookmarkStart w:id="1945" w:name="_Toc145081675"/>
      <w:bookmarkStart w:id="1946" w:name="_Ref3840734"/>
      <w:bookmarkStart w:id="1947" w:name="_Toc161228760"/>
      <w:bookmarkStart w:id="1948" w:name="_Ref531957911"/>
      <w:bookmarkStart w:id="1949" w:name="_Ref531957914"/>
      <w:bookmarkStart w:id="1950" w:name="_Toc351203616"/>
      <w:r>
        <w:rPr>
          <w:rFonts w:hint="eastAsia" w:ascii="宋体" w:hAnsi="宋体" w:eastAsia="宋体"/>
          <w:b/>
          <w:color w:val="auto"/>
          <w:sz w:val="24"/>
          <w:highlight w:val="none"/>
        </w:rPr>
        <w:t>18.1设计和工程保险</w:t>
      </w:r>
      <w:bookmarkEnd w:id="1943"/>
      <w:bookmarkEnd w:id="1944"/>
      <w:bookmarkEnd w:id="1945"/>
      <w:bookmarkEnd w:id="1946"/>
      <w:bookmarkEnd w:id="1947"/>
    </w:p>
    <w:bookmarkEnd w:id="1948"/>
    <w:bookmarkEnd w:id="1949"/>
    <w:p w14:paraId="55AFA8A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18.1.1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78B7122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18.1.2双方应按照专用合同条件的约定投保第三者责任险，并在缺陷责任期终止证书颁发前维持其持续有效。第三者责任险最低投保额应在专用合同条件内约定。</w:t>
      </w:r>
    </w:p>
    <w:p w14:paraId="54CD816D">
      <w:pPr>
        <w:adjustRightInd w:val="0"/>
        <w:snapToGrid w:val="0"/>
        <w:spacing w:line="360" w:lineRule="auto"/>
        <w:rPr>
          <w:rFonts w:ascii="宋体" w:hAnsi="宋体"/>
          <w:b/>
          <w:color w:val="auto"/>
          <w:sz w:val="24"/>
          <w:highlight w:val="none"/>
        </w:rPr>
      </w:pPr>
      <w:bookmarkStart w:id="1951" w:name="_Toc145081676"/>
      <w:bookmarkStart w:id="1952" w:name="_Ref3840683"/>
      <w:bookmarkStart w:id="1953" w:name="_Toc161228761"/>
      <w:bookmarkStart w:id="1954" w:name="_Toc54862316"/>
      <w:r>
        <w:rPr>
          <w:rFonts w:hint="eastAsia" w:ascii="宋体" w:hAnsi="宋体" w:eastAsia="宋体"/>
          <w:b/>
          <w:color w:val="auto"/>
          <w:sz w:val="24"/>
          <w:highlight w:val="none"/>
        </w:rPr>
        <w:t>18.2工伤和意外伤害保险</w:t>
      </w:r>
      <w:bookmarkEnd w:id="1951"/>
      <w:bookmarkEnd w:id="1952"/>
      <w:bookmarkEnd w:id="1953"/>
      <w:bookmarkEnd w:id="1954"/>
    </w:p>
    <w:p w14:paraId="14FA79B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18.2.1发包人应依照法律规定为其在施工现场的雇用人员办理工伤保险，缴纳工伤保险费；并要求工程师及由发包人为履行合同聘请的第三方在施工现场的雇用人员依法办理工伤保险。</w:t>
      </w:r>
    </w:p>
    <w:p w14:paraId="2F1B14D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18.2.2承包人应依照法律规定为其履行合同雇用的全部人员办理工伤保险，缴纳工伤保险费，并要求分包人及由承包人为履行合同聘请的第三方雇用的全部人员依法办理工伤保险。</w:t>
      </w:r>
    </w:p>
    <w:p w14:paraId="6CB47CD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18.2.3发包人和承包人可以为其施工现场的全部人员办理意外伤害保险并支付保险费，包括其员工及为履行合同聘请的第三方的人员，具体事项由合同当事人在专用合同条件约定。</w:t>
      </w:r>
    </w:p>
    <w:p w14:paraId="0E06F98D">
      <w:pPr>
        <w:adjustRightInd w:val="0"/>
        <w:snapToGrid w:val="0"/>
        <w:spacing w:line="360" w:lineRule="auto"/>
        <w:rPr>
          <w:rFonts w:ascii="宋体" w:hAnsi="宋体"/>
          <w:b/>
          <w:color w:val="auto"/>
          <w:sz w:val="24"/>
          <w:highlight w:val="none"/>
        </w:rPr>
      </w:pPr>
      <w:bookmarkStart w:id="1955" w:name="_Toc145081677"/>
      <w:bookmarkStart w:id="1956" w:name="_Toc54862317"/>
      <w:bookmarkStart w:id="1957" w:name="_Toc161228762"/>
      <w:bookmarkStart w:id="1958" w:name="_Ref3840782"/>
      <w:r>
        <w:rPr>
          <w:rFonts w:hint="eastAsia" w:ascii="宋体" w:hAnsi="宋体" w:eastAsia="宋体"/>
          <w:b/>
          <w:color w:val="auto"/>
          <w:sz w:val="24"/>
          <w:highlight w:val="none"/>
        </w:rPr>
        <w:t>18.3货物保险</w:t>
      </w:r>
      <w:bookmarkEnd w:id="1955"/>
      <w:bookmarkEnd w:id="1956"/>
      <w:bookmarkEnd w:id="1957"/>
      <w:bookmarkEnd w:id="1958"/>
    </w:p>
    <w:p w14:paraId="0593D5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w:t>
      </w:r>
      <w:r>
        <w:rPr>
          <w:rFonts w:hint="eastAsia" w:ascii="宋体" w:hAnsi="宋体" w:cs="宋体"/>
          <w:iCs/>
          <w:color w:val="auto"/>
          <w:szCs w:val="21"/>
          <w:highlight w:val="none"/>
        </w:rPr>
        <w:t>按照</w:t>
      </w:r>
      <w:r>
        <w:rPr>
          <w:rFonts w:hint="eastAsia" w:ascii="宋体" w:hAnsi="宋体" w:cs="宋体"/>
          <w:color w:val="auto"/>
          <w:szCs w:val="21"/>
          <w:highlight w:val="none"/>
        </w:rPr>
        <w:t>专用合同条件的约定为</w:t>
      </w:r>
      <w:r>
        <w:rPr>
          <w:rFonts w:hint="eastAsia" w:ascii="宋体" w:hAnsi="宋体" w:cs="宋体"/>
          <w:iCs/>
          <w:color w:val="auto"/>
          <w:szCs w:val="21"/>
          <w:highlight w:val="none"/>
        </w:rPr>
        <w:t>运抵现场的</w:t>
      </w:r>
      <w:r>
        <w:rPr>
          <w:rFonts w:hint="eastAsia" w:ascii="宋体" w:hAnsi="宋体" w:cs="宋体"/>
          <w:color w:val="auto"/>
          <w:szCs w:val="21"/>
          <w:highlight w:val="none"/>
        </w:rPr>
        <w:t>施工设备、材料、工程设备和临时工程等办理财产保险，保险期限自上述货物运抵现场至其不再为工程所需要为止。</w:t>
      </w:r>
    </w:p>
    <w:p w14:paraId="7815504F">
      <w:pPr>
        <w:adjustRightInd w:val="0"/>
        <w:snapToGrid w:val="0"/>
        <w:spacing w:line="360" w:lineRule="auto"/>
        <w:rPr>
          <w:rFonts w:ascii="宋体" w:hAnsi="宋体"/>
          <w:b/>
          <w:color w:val="auto"/>
          <w:sz w:val="24"/>
          <w:highlight w:val="none"/>
        </w:rPr>
      </w:pPr>
      <w:bookmarkStart w:id="1959" w:name="_Toc161228763"/>
      <w:bookmarkStart w:id="1960" w:name="_Toc54862318"/>
      <w:bookmarkStart w:id="1961" w:name="_Ref4692231"/>
      <w:bookmarkStart w:id="1962" w:name="_Toc145081678"/>
      <w:bookmarkStart w:id="1963" w:name="_Ref4692238"/>
      <w:r>
        <w:rPr>
          <w:rFonts w:hint="eastAsia" w:ascii="宋体" w:hAnsi="宋体" w:eastAsia="宋体"/>
          <w:b/>
          <w:color w:val="auto"/>
          <w:sz w:val="24"/>
          <w:highlight w:val="none"/>
        </w:rPr>
        <w:t>18.4其他保险</w:t>
      </w:r>
      <w:bookmarkEnd w:id="1959"/>
      <w:bookmarkEnd w:id="1960"/>
      <w:bookmarkEnd w:id="1961"/>
      <w:bookmarkEnd w:id="1962"/>
      <w:bookmarkEnd w:id="1963"/>
    </w:p>
    <w:p w14:paraId="38557BB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950"/>
      <w:r>
        <w:rPr>
          <w:rFonts w:hint="eastAsia" w:ascii="宋体" w:hAnsi="宋体" w:cs="宋体"/>
          <w:color w:val="auto"/>
          <w:szCs w:val="21"/>
          <w:highlight w:val="none"/>
        </w:rPr>
        <w:t>保费用包含在合同价格中，但在合同执行过程中，新颁布适用的法律法规规定由承包人投保的强制保险，应根据本合同</w:t>
      </w:r>
      <w:bookmarkStart w:id="1964" w:name="_Toc351203617"/>
      <w:bookmarkStart w:id="1965" w:name="_Toc296346627"/>
      <w:bookmarkStart w:id="1966" w:name="_Toc296503126"/>
      <w:bookmarkStart w:id="1967" w:name="_Toc337558832"/>
      <w:r>
        <w:rPr>
          <w:rFonts w:hint="eastAsia" w:ascii="宋体" w:hAnsi="宋体" w:cs="宋体"/>
          <w:color w:val="auto"/>
          <w:szCs w:val="21"/>
          <w:highlight w:val="none"/>
        </w:rPr>
        <w:t>第13条[变更与调整]的约定增加合同价款。</w:t>
      </w:r>
    </w:p>
    <w:p w14:paraId="6B44F0EE">
      <w:pPr>
        <w:adjustRightInd w:val="0"/>
        <w:snapToGrid w:val="0"/>
        <w:spacing w:line="360" w:lineRule="auto"/>
        <w:rPr>
          <w:rFonts w:ascii="宋体" w:hAnsi="宋体"/>
          <w:b/>
          <w:color w:val="auto"/>
          <w:sz w:val="24"/>
          <w:highlight w:val="none"/>
        </w:rPr>
      </w:pPr>
      <w:bookmarkStart w:id="1968" w:name="_Toc145081679"/>
      <w:bookmarkStart w:id="1969" w:name="_Ref3840659"/>
      <w:bookmarkStart w:id="1970" w:name="_Toc54862319"/>
      <w:bookmarkStart w:id="1971" w:name="_Toc161228764"/>
      <w:r>
        <w:rPr>
          <w:rFonts w:hint="eastAsia" w:ascii="宋体" w:hAnsi="宋体" w:eastAsia="宋体"/>
          <w:b/>
          <w:color w:val="auto"/>
          <w:sz w:val="24"/>
          <w:highlight w:val="none"/>
        </w:rPr>
        <w:t>18.5对各项保险的一般要求</w:t>
      </w:r>
      <w:bookmarkEnd w:id="1968"/>
      <w:bookmarkEnd w:id="1969"/>
      <w:bookmarkEnd w:id="1970"/>
      <w:bookmarkEnd w:id="1971"/>
    </w:p>
    <w:p w14:paraId="0E478D3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18.5.1持续保险</w:t>
      </w:r>
    </w:p>
    <w:p w14:paraId="7F1F4E2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合同当事人应与保险人保持联系，使保险人能够随时了</w:t>
      </w:r>
      <w:bookmarkEnd w:id="1964"/>
      <w:r>
        <w:rPr>
          <w:rFonts w:hint="eastAsia" w:ascii="宋体" w:hAnsi="宋体" w:cs="宋体"/>
          <w:color w:val="auto"/>
          <w:szCs w:val="21"/>
          <w:highlight w:val="none"/>
        </w:rPr>
        <w:t>解</w:t>
      </w:r>
      <w:bookmarkEnd w:id="1965"/>
      <w:bookmarkEnd w:id="1966"/>
      <w:bookmarkEnd w:id="1967"/>
      <w:r>
        <w:rPr>
          <w:rFonts w:hint="eastAsia" w:ascii="宋体" w:hAnsi="宋体" w:cs="宋体"/>
          <w:color w:val="auto"/>
          <w:szCs w:val="21"/>
          <w:highlight w:val="none"/>
        </w:rPr>
        <w:t>工程实施中的变动，并确保按保险合同条款要求持续保险。</w:t>
      </w:r>
    </w:p>
    <w:p w14:paraId="4674A73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72" w:name="_Ref4777650"/>
      <w:r>
        <w:rPr>
          <w:rFonts w:hint="eastAsia" w:ascii="宋体" w:hAnsi="宋体" w:cs="宋体"/>
          <w:color w:val="auto"/>
          <w:kern w:val="0"/>
          <w:szCs w:val="20"/>
          <w:highlight w:val="none"/>
          <w:lang w:bidi="ar"/>
        </w:rPr>
        <w:t>18.5.2保险凭证</w:t>
      </w:r>
      <w:bookmarkEnd w:id="1972"/>
    </w:p>
    <w:p w14:paraId="6DD4A62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合同当事人应及时向另一方当事人提交其已投保的各项保险的凭证和保险单复印件，保险单必须与专用合同条件约定的条件保持一致。</w:t>
      </w:r>
    </w:p>
    <w:p w14:paraId="32B5148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18.5.3未按约定投保的补救</w:t>
      </w:r>
    </w:p>
    <w:p w14:paraId="66AA54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负有投保义务的一方当事人未按合同约定办理保险，或未能使保险持续有效的，则另一方当事人可代为办理，所需费用由负有投保义务的一方当事人承担。</w:t>
      </w:r>
    </w:p>
    <w:p w14:paraId="1CC409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负有投保</w:t>
      </w:r>
      <w:bookmarkStart w:id="1973" w:name="_Toc351203619"/>
      <w:bookmarkStart w:id="1974" w:name="_Toc337558834"/>
      <w:r>
        <w:rPr>
          <w:rFonts w:hint="eastAsia" w:ascii="宋体" w:hAnsi="宋体" w:cs="宋体"/>
          <w:color w:val="auto"/>
          <w:szCs w:val="21"/>
          <w:highlight w:val="none"/>
        </w:rPr>
        <w:t>义务的一方当事人未</w:t>
      </w:r>
      <w:bookmarkEnd w:id="1973"/>
      <w:r>
        <w:rPr>
          <w:rFonts w:hint="eastAsia" w:ascii="宋体" w:hAnsi="宋体" w:cs="宋体"/>
          <w:color w:val="auto"/>
          <w:szCs w:val="21"/>
          <w:highlight w:val="none"/>
        </w:rPr>
        <w:t>按</w:t>
      </w:r>
      <w:bookmarkEnd w:id="1974"/>
      <w:r>
        <w:rPr>
          <w:rFonts w:hint="eastAsia" w:ascii="宋体" w:hAnsi="宋体" w:cs="宋体"/>
          <w:color w:val="auto"/>
          <w:szCs w:val="21"/>
          <w:highlight w:val="none"/>
        </w:rPr>
        <w:t>合同约定办理某项保险，导致受益人未能得到足额赔偿的，由负有投保义务的一方当事人负责按照原应从该项保险得到的保险金数额进行补足。</w:t>
      </w:r>
    </w:p>
    <w:p w14:paraId="2D9B249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75" w:name="_Ref4692685"/>
      <w:r>
        <w:rPr>
          <w:rFonts w:hint="eastAsia" w:ascii="宋体" w:hAnsi="宋体" w:cs="宋体"/>
          <w:color w:val="auto"/>
          <w:kern w:val="0"/>
          <w:szCs w:val="20"/>
          <w:highlight w:val="none"/>
          <w:lang w:bidi="ar"/>
        </w:rPr>
        <w:t>18.5.4通知义务</w:t>
      </w:r>
      <w:bookmarkEnd w:id="1975"/>
    </w:p>
    <w:p w14:paraId="0B9765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除专用合同条件另有约定外，任何一方当事人变更除工伤保险之外的保险合同时，应事先征得另一方当事人同意，并通知工程师。</w:t>
      </w:r>
    </w:p>
    <w:p w14:paraId="2D4AA1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保险事故发生时，投保人应按照保险合同规定的条件和期限及时向保险人报告。发包人和承包人应当在知道保险事故发生后及时通知对方。</w:t>
      </w:r>
    </w:p>
    <w:p w14:paraId="286868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双方按本条规定投保不减少双方在合同下的其他义务。</w:t>
      </w:r>
    </w:p>
    <w:p w14:paraId="246E5F82">
      <w:pPr>
        <w:adjustRightInd w:val="0"/>
        <w:snapToGrid w:val="0"/>
        <w:spacing w:line="360" w:lineRule="auto"/>
        <w:rPr>
          <w:rFonts w:ascii="黑体" w:hAnsi="黑体" w:eastAsia="黑体"/>
          <w:color w:val="auto"/>
          <w:sz w:val="24"/>
          <w:highlight w:val="none"/>
        </w:rPr>
      </w:pPr>
      <w:bookmarkStart w:id="1976" w:name="_Toc161228765"/>
      <w:bookmarkStart w:id="1977" w:name="_Ref11874997"/>
      <w:bookmarkStart w:id="1978" w:name="_Toc54862320"/>
      <w:r>
        <w:rPr>
          <w:rFonts w:hint="eastAsia" w:ascii="黑体" w:hAnsi="黑体" w:eastAsia="黑体"/>
          <w:color w:val="auto"/>
          <w:sz w:val="24"/>
          <w:highlight w:val="none"/>
        </w:rPr>
        <w:t>第19条 索赔</w:t>
      </w:r>
      <w:bookmarkEnd w:id="1882"/>
      <w:bookmarkEnd w:id="1883"/>
      <w:bookmarkEnd w:id="1976"/>
      <w:bookmarkEnd w:id="1977"/>
      <w:bookmarkEnd w:id="1978"/>
    </w:p>
    <w:p w14:paraId="4080860A">
      <w:pPr>
        <w:adjustRightInd w:val="0"/>
        <w:snapToGrid w:val="0"/>
        <w:spacing w:line="360" w:lineRule="auto"/>
        <w:rPr>
          <w:rFonts w:ascii="宋体" w:hAnsi="宋体"/>
          <w:b/>
          <w:color w:val="auto"/>
          <w:sz w:val="24"/>
          <w:highlight w:val="none"/>
        </w:rPr>
      </w:pPr>
      <w:bookmarkStart w:id="1979" w:name="_Ref4798164"/>
      <w:bookmarkStart w:id="1980" w:name="_Ref4798173"/>
      <w:bookmarkStart w:id="1981" w:name="_Toc54862321"/>
      <w:bookmarkStart w:id="1982" w:name="_Toc145081681"/>
      <w:bookmarkStart w:id="1983" w:name="_Toc161228766"/>
      <w:r>
        <w:rPr>
          <w:rFonts w:hint="eastAsia" w:ascii="宋体" w:hAnsi="宋体" w:eastAsia="宋体"/>
          <w:b/>
          <w:color w:val="auto"/>
          <w:sz w:val="24"/>
          <w:highlight w:val="none"/>
        </w:rPr>
        <w:t>19.1索赔</w:t>
      </w:r>
      <w:bookmarkEnd w:id="1979"/>
      <w:bookmarkEnd w:id="1980"/>
      <w:r>
        <w:rPr>
          <w:rFonts w:hint="eastAsia" w:ascii="宋体" w:hAnsi="宋体" w:eastAsia="宋体"/>
          <w:b/>
          <w:color w:val="auto"/>
          <w:sz w:val="24"/>
          <w:highlight w:val="none"/>
        </w:rPr>
        <w:t>的提出</w:t>
      </w:r>
      <w:bookmarkEnd w:id="1981"/>
      <w:bookmarkEnd w:id="1982"/>
      <w:bookmarkEnd w:id="1983"/>
    </w:p>
    <w:p w14:paraId="74604E3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根据合同约定，任意一方认为有权得到追加/减少付款、延长缺陷责任期和（或）延长工期的，应按以下程序向对方提出索赔：</w:t>
      </w:r>
    </w:p>
    <w:p w14:paraId="740982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6E8C91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（2）索赔方应在发出索赔意向通知书后28天内，向对方正式递交索赔报告；索赔报告应详细说明索赔理由以及要求追加的付款金额、延长缺陷责任期和（或）延长的工期，并附必要的记录和证明材料；</w:t>
      </w:r>
    </w:p>
    <w:p w14:paraId="02D3596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（3）索赔事件具有持续影响的，索赔方应每月递交延续索赔通知，说明持续影响的实际情况和记录，列出累计的追加付款金额、延长缺陷责任期和（或）工期延长天数；</w:t>
      </w:r>
    </w:p>
    <w:p w14:paraId="44A63C44">
      <w:pPr>
        <w:adjustRightInd w:val="0"/>
        <w:snapToGrid w:val="0"/>
        <w:spacing w:line="360" w:lineRule="auto"/>
        <w:ind w:firstLine="420" w:firstLineChars="200"/>
        <w:rPr>
          <w:rFonts w:ascii="宋体" w:hAnsi="宋体" w:cs="宋体"/>
          <w:color w:val="auto"/>
          <w:szCs w:val="21"/>
          <w:highlight w:val="none"/>
        </w:rPr>
      </w:pPr>
      <w:bookmarkStart w:id="1984" w:name="_Ref4796178"/>
      <w:r>
        <w:rPr>
          <w:rFonts w:hint="eastAsia" w:ascii="宋体" w:hAnsi="宋体" w:cs="宋体"/>
          <w:color w:val="auto"/>
          <w:szCs w:val="21"/>
          <w:highlight w:val="none"/>
        </w:rPr>
        <w:t>（4）在索赔事件影响结束后28天内，索赔方应向对方递交最终索赔报告，说明最终要求索赔的追加付款金额、延长缺陷责任期和（或）延长的工期，并附必要的记录和证明材料。</w:t>
      </w:r>
      <w:bookmarkEnd w:id="1984"/>
    </w:p>
    <w:p w14:paraId="19EA710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（5）承包人作为索赔方时，其索赔意向通知书、索赔报告及相关索赔文件应向工程师提出；发包人作为索赔方时，其索赔意向通知书、索赔报告及相关索赔文件可自行向承包人提出或由工程师向承包人提出。</w:t>
      </w:r>
    </w:p>
    <w:p w14:paraId="1DA5B9EA">
      <w:pPr>
        <w:adjustRightInd w:val="0"/>
        <w:snapToGrid w:val="0"/>
        <w:spacing w:line="360" w:lineRule="auto"/>
        <w:rPr>
          <w:rFonts w:ascii="宋体" w:hAnsi="宋体"/>
          <w:b/>
          <w:color w:val="auto"/>
          <w:sz w:val="24"/>
          <w:highlight w:val="none"/>
        </w:rPr>
      </w:pPr>
      <w:bookmarkStart w:id="1985" w:name="_Toc161228767"/>
      <w:bookmarkStart w:id="1986" w:name="_Toc54862322"/>
      <w:bookmarkStart w:id="1987" w:name="_Toc145081682"/>
      <w:bookmarkStart w:id="1988" w:name="_Ref4796262"/>
      <w:bookmarkStart w:id="1989" w:name="_Ref4796254"/>
      <w:r>
        <w:rPr>
          <w:rFonts w:hint="eastAsia" w:ascii="宋体" w:hAnsi="宋体" w:eastAsia="宋体"/>
          <w:b/>
          <w:color w:val="auto"/>
          <w:sz w:val="24"/>
          <w:highlight w:val="none"/>
        </w:rPr>
        <w:t>19.2承包人索赔的处理程序</w:t>
      </w:r>
      <w:bookmarkEnd w:id="1985"/>
      <w:bookmarkEnd w:id="1986"/>
      <w:bookmarkEnd w:id="1987"/>
      <w:bookmarkEnd w:id="1988"/>
      <w:bookmarkEnd w:id="1989"/>
    </w:p>
    <w:p w14:paraId="3F0DD8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（1）工程师收到承包人提交的索赔报告后，应及时审查索赔报告的内容、查验承包人的记录和证明材料，必要时工程师可要求承包人提交全部原始记录副本。</w:t>
      </w:r>
    </w:p>
    <w:p w14:paraId="55DD01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4A09EA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（3）承包人接受索赔处理结果的，发包人应在作出索赔处理结果答复后28天内完成支付。承包人不接受索赔处理结果的，按照第20条[争议解决]约定处理。</w:t>
      </w:r>
    </w:p>
    <w:p w14:paraId="7F3A3DA2">
      <w:pPr>
        <w:adjustRightInd w:val="0"/>
        <w:snapToGrid w:val="0"/>
        <w:spacing w:line="360" w:lineRule="auto"/>
        <w:rPr>
          <w:rFonts w:ascii="宋体" w:hAnsi="宋体"/>
          <w:b/>
          <w:color w:val="auto"/>
          <w:sz w:val="24"/>
          <w:highlight w:val="none"/>
        </w:rPr>
      </w:pPr>
      <w:bookmarkStart w:id="1990" w:name="_Toc161228768"/>
      <w:bookmarkStart w:id="1991" w:name="_Toc145081683"/>
      <w:bookmarkStart w:id="1992" w:name="_Toc54862323"/>
      <w:r>
        <w:rPr>
          <w:rFonts w:hint="eastAsia" w:ascii="宋体" w:hAnsi="宋体" w:eastAsia="宋体"/>
          <w:b/>
          <w:color w:val="auto"/>
          <w:sz w:val="24"/>
          <w:highlight w:val="none"/>
        </w:rPr>
        <w:t>19.3发包人索赔的处理程序</w:t>
      </w:r>
      <w:bookmarkEnd w:id="1990"/>
      <w:bookmarkEnd w:id="1991"/>
      <w:bookmarkEnd w:id="1992"/>
    </w:p>
    <w:p w14:paraId="62A253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（1）承包人收到发包人提交的索赔报告后，应及时审查索赔报告的内容、查验发包人证明材料；</w:t>
      </w:r>
    </w:p>
    <w:p w14:paraId="146C5C9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（2）承包人应在收到上述索赔报告或有关索赔的进一步证明材料后42天内，将索赔处理结果答复发包人。承包人在收到索赔通知书或有关索赔的进一步证明材料后的42天内不予答复的，视为认可索赔。</w:t>
      </w:r>
    </w:p>
    <w:p w14:paraId="48228F8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（3）发包人接受索赔处理结果的，发包人可从应支付给承包人的合同价款中扣除赔付的金额或延长缺陷责任期；发包人不接受索赔处理结果的，按第20条[争议解决]约定处理。</w:t>
      </w:r>
    </w:p>
    <w:p w14:paraId="39E65659">
      <w:pPr>
        <w:adjustRightInd w:val="0"/>
        <w:snapToGrid w:val="0"/>
        <w:spacing w:line="360" w:lineRule="auto"/>
        <w:rPr>
          <w:rFonts w:ascii="宋体" w:hAnsi="宋体"/>
          <w:b/>
          <w:color w:val="auto"/>
          <w:sz w:val="24"/>
          <w:highlight w:val="none"/>
        </w:rPr>
      </w:pPr>
      <w:bookmarkStart w:id="1993" w:name="_Toc54862324"/>
      <w:bookmarkStart w:id="1994" w:name="_Toc161228769"/>
      <w:bookmarkStart w:id="1995" w:name="_Toc145081684"/>
      <w:r>
        <w:rPr>
          <w:rFonts w:hint="eastAsia" w:ascii="宋体" w:hAnsi="宋体" w:eastAsia="宋体"/>
          <w:b/>
          <w:color w:val="auto"/>
          <w:sz w:val="24"/>
          <w:highlight w:val="none"/>
        </w:rPr>
        <w:t>19.4提出索赔的期限</w:t>
      </w:r>
      <w:bookmarkEnd w:id="1993"/>
      <w:bookmarkEnd w:id="1994"/>
      <w:bookmarkEnd w:id="1995"/>
    </w:p>
    <w:p w14:paraId="3CFC67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（1）承包人按第14.5款[竣工结算</w:t>
      </w:r>
      <w:bookmarkStart w:id="1996" w:name="_Ref3826634"/>
      <w:bookmarkStart w:id="1997" w:name="_Ref3826629"/>
      <w:r>
        <w:rPr>
          <w:rFonts w:hint="eastAsia" w:ascii="宋体" w:hAnsi="宋体" w:cs="宋体"/>
          <w:color w:val="auto"/>
          <w:szCs w:val="21"/>
          <w:highlight w:val="none"/>
        </w:rPr>
        <w:t>]约定接收竣工付款证书后，应被认为已无权再提出在合同工程接收证书颁发前所发生的任何索赔。</w:t>
      </w:r>
    </w:p>
    <w:p w14:paraId="0369078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（2）承包人按第14.7款[最终结清]提交的最终结清申请单中，只限于提出工程接收证书颁发后发生的索赔。提出索赔的期限均自接受最终结清证书时终止。</w:t>
      </w:r>
      <w:bookmarkEnd w:id="1996"/>
      <w:bookmarkEnd w:id="1997"/>
    </w:p>
    <w:p w14:paraId="1D890107">
      <w:pPr>
        <w:adjustRightInd w:val="0"/>
        <w:snapToGrid w:val="0"/>
        <w:spacing w:line="360" w:lineRule="auto"/>
        <w:rPr>
          <w:rFonts w:ascii="黑体" w:hAnsi="黑体" w:eastAsia="黑体"/>
          <w:color w:val="auto"/>
          <w:sz w:val="24"/>
          <w:highlight w:val="none"/>
        </w:rPr>
      </w:pPr>
      <w:bookmarkStart w:id="1998" w:name="_Toc161228770"/>
      <w:bookmarkStart w:id="1999" w:name="_Ref532142075"/>
      <w:bookmarkStart w:id="2000" w:name="_Toc54862325"/>
      <w:bookmarkStart w:id="2001" w:name="_Ref532197861"/>
      <w:r>
        <w:rPr>
          <w:rFonts w:hint="eastAsia" w:ascii="黑体" w:hAnsi="黑体" w:eastAsia="黑体"/>
          <w:color w:val="auto"/>
          <w:sz w:val="24"/>
          <w:highlight w:val="none"/>
        </w:rPr>
        <w:t>第20条 争议解决</w:t>
      </w:r>
      <w:bookmarkEnd w:id="1998"/>
      <w:bookmarkEnd w:id="1999"/>
      <w:bookmarkEnd w:id="2000"/>
      <w:bookmarkEnd w:id="2001"/>
    </w:p>
    <w:p w14:paraId="31C4E892">
      <w:pPr>
        <w:adjustRightInd w:val="0"/>
        <w:snapToGrid w:val="0"/>
        <w:spacing w:line="360" w:lineRule="auto"/>
        <w:rPr>
          <w:rFonts w:ascii="宋体" w:hAnsi="宋体"/>
          <w:b/>
          <w:color w:val="auto"/>
          <w:sz w:val="24"/>
          <w:highlight w:val="none"/>
        </w:rPr>
      </w:pPr>
      <w:bookmarkStart w:id="2002" w:name="_Ref415507198"/>
      <w:bookmarkStart w:id="2003" w:name="_Toc161228771"/>
      <w:bookmarkStart w:id="2004" w:name="_Toc54862326"/>
      <w:bookmarkStart w:id="2005" w:name="_Toc145081686"/>
      <w:r>
        <w:rPr>
          <w:rFonts w:hint="eastAsia" w:ascii="宋体" w:hAnsi="宋体" w:eastAsia="宋体"/>
          <w:b/>
          <w:color w:val="auto"/>
          <w:sz w:val="24"/>
          <w:highlight w:val="none"/>
        </w:rPr>
        <w:t>20.1和解</w:t>
      </w:r>
      <w:bookmarkEnd w:id="2002"/>
      <w:bookmarkEnd w:id="2003"/>
      <w:bookmarkEnd w:id="2004"/>
      <w:bookmarkEnd w:id="2005"/>
    </w:p>
    <w:p w14:paraId="5C82DA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合同当事人可以就争议自行和解，自行和解达成协议的经双方签字并盖章后作为合同补充文件，双方均应遵照执行。</w:t>
      </w:r>
    </w:p>
    <w:p w14:paraId="59B78084">
      <w:pPr>
        <w:adjustRightInd w:val="0"/>
        <w:snapToGrid w:val="0"/>
        <w:spacing w:line="360" w:lineRule="auto"/>
        <w:rPr>
          <w:rFonts w:ascii="宋体" w:hAnsi="宋体"/>
          <w:b/>
          <w:color w:val="auto"/>
          <w:sz w:val="24"/>
          <w:highlight w:val="none"/>
        </w:rPr>
      </w:pPr>
      <w:bookmarkStart w:id="2006" w:name="_Toc54862327"/>
      <w:bookmarkStart w:id="2007" w:name="_Toc145081687"/>
      <w:bookmarkStart w:id="2008" w:name="_Toc161228772"/>
      <w:r>
        <w:rPr>
          <w:rFonts w:hint="eastAsia" w:ascii="宋体" w:hAnsi="宋体" w:eastAsia="宋体"/>
          <w:b/>
          <w:color w:val="auto"/>
          <w:sz w:val="24"/>
          <w:highlight w:val="none"/>
        </w:rPr>
        <w:t>20.2调解</w:t>
      </w:r>
      <w:bookmarkEnd w:id="2006"/>
      <w:bookmarkEnd w:id="2007"/>
      <w:bookmarkEnd w:id="2008"/>
    </w:p>
    <w:p w14:paraId="0DB171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合同当事人可以就争议请求建设行政主管部门、行业协会或其他第三方进行调解，调解达成协议的，经双方签字盖章后作为合同补充文件，双方均应遵照执行。</w:t>
      </w:r>
    </w:p>
    <w:p w14:paraId="46F37454">
      <w:pPr>
        <w:adjustRightInd w:val="0"/>
        <w:snapToGrid w:val="0"/>
        <w:spacing w:line="360" w:lineRule="auto"/>
        <w:rPr>
          <w:rFonts w:ascii="宋体" w:hAnsi="宋体"/>
          <w:b/>
          <w:color w:val="auto"/>
          <w:sz w:val="24"/>
          <w:highlight w:val="none"/>
        </w:rPr>
      </w:pPr>
      <w:bookmarkStart w:id="2009" w:name="_Ref532221527"/>
      <w:bookmarkStart w:id="2010" w:name="_Toc54862328"/>
      <w:bookmarkStart w:id="2011" w:name="_Ref532221532"/>
      <w:bookmarkStart w:id="2012" w:name="_Toc161228773"/>
      <w:bookmarkStart w:id="2013" w:name="_Toc145081688"/>
      <w:r>
        <w:rPr>
          <w:rFonts w:hint="eastAsia" w:ascii="宋体" w:hAnsi="宋体" w:eastAsia="宋体"/>
          <w:b/>
          <w:color w:val="auto"/>
          <w:sz w:val="24"/>
          <w:highlight w:val="none"/>
        </w:rPr>
        <w:t>20.3争议评审</w:t>
      </w:r>
      <w:bookmarkEnd w:id="2009"/>
      <w:bookmarkEnd w:id="2010"/>
      <w:bookmarkEnd w:id="2011"/>
      <w:bookmarkEnd w:id="2012"/>
      <w:bookmarkEnd w:id="2013"/>
    </w:p>
    <w:p w14:paraId="312990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合同当事人在专用合同条件中约定采取争议评审方式及评审规则解决争议的，按下列约定执行：</w:t>
      </w:r>
    </w:p>
    <w:p w14:paraId="62C7DEB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20.3.1争议评审小组的确定</w:t>
      </w:r>
    </w:p>
    <w:p w14:paraId="0E1036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3F5301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98B00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除专用合同条件另有约定外，争议评审员报酬由发包人和承包人各承担一半。</w:t>
      </w:r>
    </w:p>
    <w:p w14:paraId="7C52110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14" w:name="_Ref532287270"/>
      <w:r>
        <w:rPr>
          <w:rFonts w:hint="eastAsia" w:ascii="宋体" w:hAnsi="宋体" w:cs="宋体"/>
          <w:color w:val="auto"/>
          <w:kern w:val="0"/>
          <w:szCs w:val="20"/>
          <w:highlight w:val="none"/>
          <w:lang w:bidi="ar"/>
        </w:rPr>
        <w:t>20.3.2争议的避免</w:t>
      </w:r>
      <w:bookmarkEnd w:id="2014"/>
    </w:p>
    <w:p w14:paraId="110A09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合同当事人协商一致，可以共同书面请求争议评审小组，就合同履行过程中可能出现争议的情况提供协助或进行非正式讨论，争议评审小组应给出公正的意见或建议。</w:t>
      </w:r>
    </w:p>
    <w:p w14:paraId="409AD7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此类协助或非正式讨论可在任何会议、施工现场视察或其他场合进行，并且除专用合同条件另有约定外，发包人和承包人均应出席。</w:t>
      </w:r>
    </w:p>
    <w:p w14:paraId="19A3E9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14:paraId="7383C9D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15" w:name="_Ref4695594"/>
      <w:r>
        <w:rPr>
          <w:rFonts w:hint="eastAsia" w:ascii="宋体" w:hAnsi="宋体" w:cs="宋体"/>
          <w:color w:val="auto"/>
          <w:kern w:val="0"/>
          <w:szCs w:val="20"/>
          <w:highlight w:val="none"/>
          <w:lang w:bidi="ar"/>
        </w:rPr>
        <w:t>20.3.3争议评审小组的决定</w:t>
      </w:r>
      <w:bookmarkEnd w:id="2015"/>
    </w:p>
    <w:p w14:paraId="2ADE07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030225B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20.3.4争议评审小组决定的效力</w:t>
      </w:r>
    </w:p>
    <w:p w14:paraId="4C92DD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争议评审小组作出的书面决定经合同当事人签字确认后，对双方具有约束力，双方应遵照执行。</w:t>
      </w:r>
    </w:p>
    <w:p w14:paraId="75B895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任何一方当事人不接受争议评审小组决定或不履行争议评审小组决定的，双方可选择采用其他争议解决方式。</w:t>
      </w:r>
    </w:p>
    <w:p w14:paraId="1FF236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任何一方当事人不接受争议评审小组的决定，并不影响暂时执行争议评审小组的决定，直到在后续的采用其他争议解决方式中对争议评审小组的决定进行了改变。</w:t>
      </w:r>
    </w:p>
    <w:p w14:paraId="25069571">
      <w:pPr>
        <w:adjustRightInd w:val="0"/>
        <w:snapToGrid w:val="0"/>
        <w:spacing w:line="360" w:lineRule="auto"/>
        <w:rPr>
          <w:rFonts w:ascii="宋体" w:hAnsi="宋体"/>
          <w:b/>
          <w:color w:val="auto"/>
          <w:sz w:val="24"/>
          <w:highlight w:val="none"/>
        </w:rPr>
      </w:pPr>
      <w:bookmarkStart w:id="2016" w:name="_Ref532221748"/>
      <w:bookmarkStart w:id="2017" w:name="_Toc161228774"/>
      <w:bookmarkStart w:id="2018" w:name="_Toc145081689"/>
      <w:bookmarkStart w:id="2019" w:name="_Ref532221752"/>
      <w:bookmarkStart w:id="2020" w:name="_Toc54862329"/>
      <w:r>
        <w:rPr>
          <w:rFonts w:hint="eastAsia" w:ascii="宋体" w:hAnsi="宋体" w:eastAsia="宋体"/>
          <w:b/>
          <w:color w:val="auto"/>
          <w:sz w:val="24"/>
          <w:highlight w:val="none"/>
        </w:rPr>
        <w:t>20.4仲裁或诉讼</w:t>
      </w:r>
      <w:bookmarkEnd w:id="2016"/>
      <w:bookmarkEnd w:id="2017"/>
      <w:bookmarkEnd w:id="2018"/>
      <w:bookmarkEnd w:id="2019"/>
      <w:bookmarkEnd w:id="2020"/>
    </w:p>
    <w:p w14:paraId="1B19E64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因合同及合同有关事项产生的争议，合同当事人可以在专用合同条件中约定以下一种方式解决争议：</w:t>
      </w:r>
    </w:p>
    <w:p w14:paraId="344C8851">
      <w:pPr>
        <w:numPr>
          <w:ilvl w:val="0"/>
          <w:numId w:val="0"/>
        </w:numPr>
        <w:adjustRightInd w:val="0"/>
        <w:snapToGrid w:val="0"/>
        <w:spacing w:line="360" w:lineRule="auto"/>
        <w:ind w:firstLine="420" w:firstLineChars="200"/>
        <w:rPr>
          <w:rFonts w:hint="eastAsia" w:cs="宋体"/>
          <w:color w:val="auto"/>
          <w:szCs w:val="21"/>
          <w:highlight w:val="none"/>
        </w:rPr>
      </w:pPr>
      <w:r>
        <w:rPr>
          <w:rFonts w:hint="eastAsia" w:ascii="Times New Roman" w:hAnsi="Times New Roman" w:eastAsia="宋体" w:cs="宋体"/>
          <w:color w:val="auto"/>
          <w:kern w:val="2"/>
          <w:sz w:val="21"/>
          <w:szCs w:val="21"/>
          <w:highlight w:val="none"/>
          <w:lang w:val="en-US" w:eastAsia="zh-CN" w:bidi="ar-SA"/>
        </w:rPr>
        <w:t>（1）</w:t>
      </w:r>
      <w:r>
        <w:rPr>
          <w:rFonts w:hint="eastAsia" w:cs="宋体"/>
          <w:color w:val="auto"/>
          <w:kern w:val="2"/>
          <w:sz w:val="21"/>
          <w:szCs w:val="21"/>
          <w:highlight w:val="none"/>
        </w:rPr>
        <w:t>向约定的仲裁委员会申请仲裁；</w:t>
      </w:r>
    </w:p>
    <w:p w14:paraId="151B2B33">
      <w:pPr>
        <w:numPr>
          <w:ilvl w:val="0"/>
          <w:numId w:val="0"/>
        </w:numPr>
        <w:adjustRightInd w:val="0"/>
        <w:snapToGrid w:val="0"/>
        <w:spacing w:line="360" w:lineRule="auto"/>
        <w:ind w:firstLine="420" w:firstLineChars="0"/>
        <w:rPr>
          <w:rFonts w:cs="宋体"/>
          <w:color w:val="auto"/>
          <w:szCs w:val="21"/>
          <w:highlight w:val="none"/>
        </w:rPr>
      </w:pPr>
      <w:r>
        <w:rPr>
          <w:rFonts w:hint="eastAsia" w:cs="宋体"/>
          <w:color w:val="auto"/>
          <w:kern w:val="2"/>
          <w:sz w:val="21"/>
          <w:szCs w:val="21"/>
          <w:highlight w:val="none"/>
        </w:rPr>
        <w:t>（2）向有管辖权的人民法院起诉。</w:t>
      </w:r>
    </w:p>
    <w:p w14:paraId="256E47FE">
      <w:pPr>
        <w:adjustRightInd w:val="0"/>
        <w:snapToGrid w:val="0"/>
        <w:spacing w:line="360" w:lineRule="auto"/>
        <w:rPr>
          <w:rFonts w:ascii="宋体" w:hAnsi="宋体"/>
          <w:b/>
          <w:color w:val="auto"/>
          <w:sz w:val="24"/>
          <w:highlight w:val="none"/>
        </w:rPr>
      </w:pPr>
      <w:bookmarkStart w:id="2021" w:name="_Toc161228775"/>
      <w:bookmarkStart w:id="2022" w:name="_Toc145081690"/>
      <w:bookmarkStart w:id="2023" w:name="_Toc54862330"/>
      <w:r>
        <w:rPr>
          <w:rFonts w:hint="eastAsia" w:ascii="宋体" w:hAnsi="宋体" w:eastAsia="宋体"/>
          <w:b/>
          <w:color w:val="auto"/>
          <w:sz w:val="24"/>
          <w:highlight w:val="none"/>
        </w:rPr>
        <w:t>20.5争议解决条款效力</w:t>
      </w:r>
      <w:bookmarkEnd w:id="2021"/>
      <w:bookmarkEnd w:id="2022"/>
      <w:bookmarkEnd w:id="2023"/>
    </w:p>
    <w:p w14:paraId="6032760E">
      <w:pPr>
        <w:adjustRightInd w:val="0"/>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合同有关争议解决的条款独立存在，合同的不生效、无效、被撤销或者终止的，不影响合同中有关争议解决条款的效力。</w:t>
      </w:r>
    </w:p>
    <w:p w14:paraId="1F33772E">
      <w:pPr>
        <w:rPr>
          <w:rFonts w:hint="eastAsia" w:ascii="宋体" w:hAnsi="宋体"/>
          <w:bCs/>
          <w:color w:val="auto"/>
          <w:kern w:val="0"/>
          <w:szCs w:val="21"/>
          <w:highlight w:val="none"/>
        </w:rPr>
      </w:pPr>
      <w:r>
        <w:rPr>
          <w:rFonts w:hint="eastAsia" w:ascii="宋体" w:hAnsi="宋体"/>
          <w:bCs/>
          <w:color w:val="auto"/>
          <w:kern w:val="0"/>
          <w:szCs w:val="21"/>
          <w:highlight w:val="none"/>
        </w:rPr>
        <w:br w:type="page"/>
      </w:r>
    </w:p>
    <w:p w14:paraId="504824D8">
      <w:pPr>
        <w:pStyle w:val="35"/>
        <w:rPr>
          <w:rFonts w:hint="eastAsia"/>
          <w:color w:val="auto"/>
          <w:highlight w:val="none"/>
        </w:rPr>
      </w:pPr>
    </w:p>
    <w:bookmarkEnd w:id="1029"/>
    <w:bookmarkEnd w:id="1030"/>
    <w:bookmarkEnd w:id="1031"/>
    <w:bookmarkEnd w:id="1032"/>
    <w:bookmarkEnd w:id="1033"/>
    <w:bookmarkEnd w:id="1034"/>
    <w:bookmarkEnd w:id="1035"/>
    <w:bookmarkEnd w:id="1036"/>
    <w:bookmarkEnd w:id="1037"/>
    <w:p w14:paraId="0496837D">
      <w:pPr>
        <w:pStyle w:val="34"/>
        <w:keepNext w:val="0"/>
        <w:keepLines w:val="0"/>
        <w:pageBreakBefore w:val="0"/>
        <w:widowControl/>
        <w:kinsoku/>
        <w:overflowPunct/>
        <w:bidi w:val="0"/>
        <w:adjustRightInd w:val="0"/>
        <w:snapToGrid w:val="0"/>
        <w:spacing w:line="360" w:lineRule="auto"/>
        <w:jc w:val="center"/>
        <w:textAlignment w:val="auto"/>
        <w:outlineLvl w:val="2"/>
        <w:rPr>
          <w:rFonts w:hint="eastAsia" w:ascii="华文中宋" w:hAnsi="华文中宋" w:eastAsia="华文中宋"/>
          <w:b/>
          <w:bCs/>
          <w:color w:val="auto"/>
          <w:kern w:val="44"/>
          <w:sz w:val="44"/>
          <w:szCs w:val="52"/>
          <w:highlight w:val="none"/>
          <w:lang w:val="zh-CN"/>
        </w:rPr>
      </w:pPr>
      <w:bookmarkStart w:id="2024" w:name="_Toc256000166"/>
      <w:bookmarkStart w:id="2025" w:name="_Toc54862331"/>
      <w:bookmarkStart w:id="2026" w:name="_Toc12989"/>
      <w:bookmarkStart w:id="2027" w:name="_Toc12256"/>
      <w:bookmarkStart w:id="2028" w:name="_Toc256000492"/>
      <w:bookmarkStart w:id="2029" w:name="_Toc3400"/>
      <w:r>
        <w:rPr>
          <w:rFonts w:hint="eastAsia" w:ascii="华文中宋" w:hAnsi="华文中宋" w:eastAsia="华文中宋"/>
          <w:b/>
          <w:bCs/>
          <w:color w:val="auto"/>
          <w:kern w:val="44"/>
          <w:sz w:val="44"/>
          <w:szCs w:val="52"/>
          <w:highlight w:val="none"/>
          <w:lang w:val="zh-CN" w:eastAsia="zh-CN"/>
        </w:rPr>
        <w:t>第三部分 专用合同条件</w:t>
      </w:r>
      <w:bookmarkEnd w:id="2024"/>
      <w:bookmarkEnd w:id="2025"/>
      <w:bookmarkEnd w:id="2026"/>
      <w:bookmarkEnd w:id="2027"/>
      <w:bookmarkEnd w:id="2028"/>
      <w:bookmarkEnd w:id="2029"/>
    </w:p>
    <w:p w14:paraId="48AFA534">
      <w:pPr>
        <w:pStyle w:val="43"/>
        <w:snapToGrid/>
        <w:spacing w:after="0" w:afterLines="0"/>
        <w:rPr>
          <w:rFonts w:hint="eastAsia" w:cs="宋体"/>
          <w:b w:val="0"/>
          <w:bCs/>
          <w:color w:val="auto"/>
          <w:sz w:val="21"/>
          <w:szCs w:val="21"/>
          <w:highlight w:val="none"/>
        </w:rPr>
      </w:pPr>
      <w:bookmarkStart w:id="2030" w:name="_Toc26273"/>
      <w:bookmarkStart w:id="2031" w:name="_Toc22757"/>
      <w:bookmarkStart w:id="2032" w:name="_Toc54862332"/>
      <w:bookmarkStart w:id="2033" w:name="_Toc31880"/>
      <w:r>
        <w:rPr>
          <w:rFonts w:hint="eastAsia" w:cs="宋体"/>
          <w:b w:val="0"/>
          <w:bCs/>
          <w:color w:val="auto"/>
          <w:sz w:val="21"/>
          <w:szCs w:val="21"/>
          <w:highlight w:val="none"/>
        </w:rPr>
        <w:t>第1条 一般约定</w:t>
      </w:r>
      <w:bookmarkEnd w:id="2030"/>
      <w:bookmarkEnd w:id="2031"/>
      <w:bookmarkEnd w:id="2032"/>
      <w:bookmarkEnd w:id="2033"/>
    </w:p>
    <w:p w14:paraId="7659D67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 词语定义和解释</w:t>
      </w:r>
    </w:p>
    <w:p w14:paraId="23BBB3C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1.1.1 合同</w:t>
      </w:r>
    </w:p>
    <w:p w14:paraId="0CF97DD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1.1.1.10 其他合同文件：</w:t>
      </w:r>
      <w:r>
        <w:rPr>
          <w:rFonts w:hint="eastAsia" w:ascii="宋体" w:hAnsi="宋体" w:cs="宋体"/>
          <w:color w:val="auto"/>
          <w:kern w:val="0"/>
          <w:sz w:val="21"/>
          <w:szCs w:val="21"/>
          <w:highlight w:val="none"/>
          <w:u w:val="single"/>
        </w:rPr>
        <w:t>履行合同过程中各方书面盖章确认的对合同内容有实质性影响的施工组织设计、补充条款、设计变更、会议纪要、施工现场统一管理协议、和解调解协议、有关工程洽商及监理人发布的变更指示、工程签证、工程会议纪要及备忘录等</w:t>
      </w:r>
      <w:r>
        <w:rPr>
          <w:rFonts w:hint="eastAsia" w:ascii="宋体" w:hAnsi="宋体" w:cs="宋体"/>
          <w:color w:val="auto"/>
          <w:sz w:val="21"/>
          <w:szCs w:val="21"/>
          <w:highlight w:val="none"/>
        </w:rPr>
        <w:t>。</w:t>
      </w:r>
    </w:p>
    <w:p w14:paraId="5908A0E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 工程和设备</w:t>
      </w:r>
    </w:p>
    <w:p w14:paraId="0D5E693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1.1.3.5 单位/区段工程的范围：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D7D087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1.1.3.9 作为施工场所组成部分的其他场所包括：</w:t>
      </w:r>
      <w:r>
        <w:rPr>
          <w:rFonts w:hint="eastAsia" w:ascii="宋体" w:hAnsi="宋体" w:cs="宋体"/>
          <w:color w:val="auto"/>
          <w:kern w:val="0"/>
          <w:sz w:val="21"/>
          <w:szCs w:val="21"/>
          <w:highlight w:val="none"/>
          <w:u w:val="single"/>
        </w:rPr>
        <w:t>为修建临时施工道路租用土地、修建现场围墙占用的公共人行道、占路、占用公共场地等</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费用包含在总价中</w:t>
      </w:r>
      <w:r>
        <w:rPr>
          <w:rFonts w:hint="eastAsia" w:ascii="宋体" w:hAnsi="宋体" w:cs="宋体"/>
          <w:color w:val="auto"/>
          <w:sz w:val="21"/>
          <w:szCs w:val="21"/>
          <w:highlight w:val="none"/>
        </w:rPr>
        <w:t>。</w:t>
      </w:r>
    </w:p>
    <w:p w14:paraId="4969F13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1.1.3.10 永久占地包括：</w:t>
      </w:r>
      <w:r>
        <w:rPr>
          <w:rFonts w:hint="eastAsia" w:ascii="宋体" w:hAnsi="宋体" w:cs="宋体"/>
          <w:color w:val="auto"/>
          <w:kern w:val="0"/>
          <w:sz w:val="21"/>
          <w:szCs w:val="21"/>
          <w:highlight w:val="none"/>
          <w:u w:val="single"/>
        </w:rPr>
        <w:t xml:space="preserve">依据设计图纸确定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0317B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1.1.3.11 临时占地包括：</w:t>
      </w:r>
      <w:r>
        <w:rPr>
          <w:rFonts w:hint="eastAsia" w:ascii="宋体" w:hAnsi="宋体" w:cs="宋体"/>
          <w:color w:val="auto"/>
          <w:kern w:val="0"/>
          <w:sz w:val="21"/>
          <w:szCs w:val="21"/>
          <w:highlight w:val="none"/>
          <w:u w:val="single"/>
        </w:rPr>
        <w:t>建设临时工程的用地或用于施工所需场地，临建用地、仓储、组装用地、居住生活用地，临时占路、占人行道、占公共用场地等</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费用包含在总价中</w:t>
      </w:r>
      <w:r>
        <w:rPr>
          <w:rFonts w:hint="eastAsia" w:ascii="宋体" w:hAnsi="宋体" w:cs="宋体"/>
          <w:color w:val="auto"/>
          <w:sz w:val="21"/>
          <w:szCs w:val="21"/>
          <w:highlight w:val="none"/>
        </w:rPr>
        <w:t>。</w:t>
      </w:r>
    </w:p>
    <w:p w14:paraId="470DFF3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1.2 语言文字</w:t>
      </w:r>
    </w:p>
    <w:p w14:paraId="6121389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本合同除使用汉语外，还使用</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语言。</w:t>
      </w:r>
    </w:p>
    <w:p w14:paraId="759C69C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 法律</w:t>
      </w:r>
    </w:p>
    <w:p w14:paraId="1ED554A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w:t>
      </w:r>
      <w:r>
        <w:rPr>
          <w:rFonts w:hint="eastAsia" w:ascii="宋体" w:hAnsi="宋体" w:cs="宋体"/>
          <w:color w:val="auto"/>
          <w:kern w:val="0"/>
          <w:sz w:val="21"/>
          <w:szCs w:val="21"/>
          <w:highlight w:val="none"/>
          <w:u w:val="single"/>
        </w:rPr>
        <w:t>《中华人民共和国建筑法》、《中华人民共和国民法典》、《中华人民共和国招投标法》、《建筑工程施工发包与承包计价管理办法》、《建设工程价款结算暂行办法》等相关法律法规及部门规章、地方政府规章</w:t>
      </w:r>
      <w:r>
        <w:rPr>
          <w:rFonts w:hint="eastAsia" w:ascii="宋体" w:hAnsi="宋体" w:cs="宋体"/>
          <w:color w:val="auto"/>
          <w:sz w:val="21"/>
          <w:szCs w:val="21"/>
          <w:highlight w:val="none"/>
        </w:rPr>
        <w:t>。</w:t>
      </w:r>
    </w:p>
    <w:p w14:paraId="6BD96BB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 标准和规范</w:t>
      </w:r>
    </w:p>
    <w:p w14:paraId="18B87B8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1.4.1 适用于本合同的标准、规范（名称）包括：</w:t>
      </w:r>
      <w:r>
        <w:rPr>
          <w:rFonts w:hint="eastAsia" w:ascii="宋体" w:hAnsi="宋体" w:cs="宋体"/>
          <w:color w:val="auto"/>
          <w:kern w:val="0"/>
          <w:sz w:val="21"/>
          <w:szCs w:val="21"/>
          <w:highlight w:val="none"/>
          <w:u w:val="single"/>
        </w:rPr>
        <w:t>国家现行的《建筑工程质量检验评定标准》、国家现行的各专业施工及验收规范等规定执行</w:t>
      </w:r>
      <w:r>
        <w:rPr>
          <w:rFonts w:hint="eastAsia" w:ascii="宋体" w:hAnsi="宋体" w:cs="宋体"/>
          <w:color w:val="auto"/>
          <w:sz w:val="21"/>
          <w:szCs w:val="21"/>
          <w:highlight w:val="none"/>
        </w:rPr>
        <w:t>。</w:t>
      </w:r>
    </w:p>
    <w:p w14:paraId="0B823BE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1.4.2 发包人提供的国外标准、规范的名称：</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；发包人提供的国外标准、规范的份数：</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；发包人提供的国外标准、规范的时间：</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FD070B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1.4.3 没有成文规范、标准规定的约定：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D59572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1.4.4 发包人对于工程的技术标准、功能要求：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7406B9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 合同文件的优先顺序</w:t>
      </w:r>
    </w:p>
    <w:p w14:paraId="4FF539D5">
      <w:pPr>
        <w:spacing w:line="360" w:lineRule="auto"/>
        <w:rPr>
          <w:rFonts w:hint="eastAsia" w:ascii="宋体" w:hAnsi="宋体" w:cs="宋体"/>
          <w:color w:val="auto"/>
          <w:kern w:val="0"/>
          <w:sz w:val="21"/>
          <w:szCs w:val="21"/>
          <w:highlight w:val="none"/>
          <w:u w:val="single"/>
        </w:rPr>
      </w:pPr>
      <w:r>
        <w:rPr>
          <w:rFonts w:hint="eastAsia" w:ascii="宋体" w:hAnsi="宋体" w:cs="宋体"/>
          <w:color w:val="auto"/>
          <w:sz w:val="21"/>
          <w:szCs w:val="21"/>
          <w:highlight w:val="none"/>
        </w:rPr>
        <w:t>合同文件组成及优先顺序为：</w:t>
      </w:r>
    </w:p>
    <w:p w14:paraId="7BDD3471">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（1）协议书；</w:t>
      </w:r>
    </w:p>
    <w:p w14:paraId="0A31A42C">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（2）专用合同条款及其附件；</w:t>
      </w:r>
    </w:p>
    <w:p w14:paraId="390031D1">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（3）技术标准和要求；</w:t>
      </w:r>
    </w:p>
    <w:p w14:paraId="2A7EB641">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（4）图纸；</w:t>
      </w:r>
    </w:p>
    <w:p w14:paraId="6E1FA7AB">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（5）通用合同条款；</w:t>
      </w:r>
    </w:p>
    <w:p w14:paraId="46882628">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（6）招标文件；</w:t>
      </w:r>
    </w:p>
    <w:p w14:paraId="03BF56D6">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（7）中标通知书；</w:t>
      </w:r>
    </w:p>
    <w:p w14:paraId="3BE1A39C">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（8）投标文件</w:t>
      </w:r>
    </w:p>
    <w:p w14:paraId="6E688971">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（9）已标价工程量清单或预算书；</w:t>
      </w:r>
    </w:p>
    <w:p w14:paraId="2B0B45F0">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（10）其他合同文件 。</w:t>
      </w:r>
    </w:p>
    <w:p w14:paraId="2B5C37DD">
      <w:pPr>
        <w:spacing w:line="360" w:lineRule="auto"/>
        <w:ind w:firstLine="6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在合同订立及履行过程中形成的工程洽商、变更等书面协议或文件均构成合同文件组成部分。</w:t>
      </w:r>
    </w:p>
    <w:p w14:paraId="26CBA65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6EC168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 文件的提供和照管</w:t>
      </w:r>
    </w:p>
    <w:p w14:paraId="7172D16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1.6.1 发包人文件的提供</w:t>
      </w:r>
    </w:p>
    <w:p w14:paraId="679A5F6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发包人文件的提供期限、名称、数量和形式：</w:t>
      </w:r>
      <w:r>
        <w:rPr>
          <w:rFonts w:hint="eastAsia" w:ascii="宋体" w:hAnsi="宋体" w:cs="宋体"/>
          <w:color w:val="auto"/>
          <w:kern w:val="0"/>
          <w:sz w:val="21"/>
          <w:szCs w:val="21"/>
          <w:highlight w:val="none"/>
          <w:u w:val="single"/>
        </w:rPr>
        <w:t>发包人提供项目前期工作相关资料包括项目立项、项目规划、环境保护、气象水文、地质条件以及进行工程设计、现场施工等工程实施所需的文件</w:t>
      </w:r>
      <w:r>
        <w:rPr>
          <w:rFonts w:hint="eastAsia" w:ascii="宋体" w:hAnsi="宋体" w:cs="宋体"/>
          <w:color w:val="auto"/>
          <w:sz w:val="21"/>
          <w:szCs w:val="21"/>
          <w:highlight w:val="none"/>
        </w:rPr>
        <w:t>。</w:t>
      </w:r>
    </w:p>
    <w:p w14:paraId="4C3846D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1.6.2 承包人文件的提供</w:t>
      </w:r>
    </w:p>
    <w:p w14:paraId="4153EE7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承包人文件的内容、提供期限、名称、数量和形式：</w:t>
      </w:r>
      <w:r>
        <w:rPr>
          <w:rFonts w:hint="eastAsia" w:ascii="宋体" w:hAnsi="宋体" w:cs="宋体"/>
          <w:color w:val="auto"/>
          <w:sz w:val="21"/>
          <w:szCs w:val="21"/>
          <w:highlight w:val="none"/>
          <w:u w:val="single"/>
          <w:lang w:val="en-US" w:eastAsia="zh-CN"/>
        </w:rPr>
        <w:t>（1）设计单位按照发包人要求提供相应数量的施工图；（2）</w:t>
      </w:r>
      <w:r>
        <w:rPr>
          <w:rFonts w:hint="eastAsia" w:ascii="宋体" w:hAnsi="宋体" w:cs="宋体"/>
          <w:color w:val="auto"/>
          <w:kern w:val="0"/>
          <w:sz w:val="21"/>
          <w:szCs w:val="21"/>
          <w:highlight w:val="none"/>
          <w:u w:val="single"/>
        </w:rPr>
        <w:t>施工组织设计、总进度计划、主要材料供应计划、专项施工方案、月进度计划及工程进展汇报等</w:t>
      </w:r>
      <w:r>
        <w:rPr>
          <w:rFonts w:hint="eastAsia" w:ascii="宋体" w:hAnsi="宋体" w:cs="宋体"/>
          <w:color w:val="auto"/>
          <w:sz w:val="21"/>
          <w:szCs w:val="21"/>
          <w:highlight w:val="none"/>
        </w:rPr>
        <w:t>。</w:t>
      </w:r>
    </w:p>
    <w:p w14:paraId="6D34C42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1.6.4 文件的照管</w:t>
      </w:r>
    </w:p>
    <w:p w14:paraId="2C395DE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关于现场文件准备的约定：</w:t>
      </w:r>
      <w:r>
        <w:rPr>
          <w:rFonts w:hint="eastAsia" w:ascii="宋体" w:hAnsi="宋体" w:cs="宋体"/>
          <w:color w:val="auto"/>
          <w:sz w:val="21"/>
          <w:szCs w:val="21"/>
          <w:highlight w:val="none"/>
          <w:u w:val="single"/>
        </w:rPr>
        <w:t>承包人应在施工现场保留一套完整的图纸和承包文件，供发包人、监理人及有关人员进行工程检查、使用</w:t>
      </w:r>
      <w:r>
        <w:rPr>
          <w:rFonts w:hint="eastAsia" w:ascii="宋体" w:hAnsi="宋体" w:cs="宋体"/>
          <w:color w:val="auto"/>
          <w:sz w:val="21"/>
          <w:szCs w:val="21"/>
          <w:highlight w:val="none"/>
        </w:rPr>
        <w:t>。</w:t>
      </w:r>
    </w:p>
    <w:p w14:paraId="12AEFA5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1.7 联络</w:t>
      </w:r>
    </w:p>
    <w:p w14:paraId="3996F45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1.7.2 发包人指定的送达方式（包括电子传输方式）： </w:t>
      </w:r>
      <w:r>
        <w:rPr>
          <w:rFonts w:hint="eastAsia" w:ascii="宋体" w:hAnsi="宋体" w:cs="宋体"/>
          <w:color w:val="auto"/>
          <w:sz w:val="21"/>
          <w:szCs w:val="21"/>
          <w:highlight w:val="none"/>
          <w:u w:val="single"/>
        </w:rPr>
        <w:t xml:space="preserve"> 书面或电子传输  </w:t>
      </w:r>
      <w:r>
        <w:rPr>
          <w:rFonts w:hint="eastAsia" w:ascii="宋体" w:hAnsi="宋体" w:cs="宋体"/>
          <w:color w:val="auto"/>
          <w:sz w:val="21"/>
          <w:szCs w:val="21"/>
          <w:highlight w:val="none"/>
        </w:rPr>
        <w:t>。</w:t>
      </w:r>
    </w:p>
    <w:p w14:paraId="6718062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发包人的送达地址：</w:t>
      </w:r>
      <w:r>
        <w:rPr>
          <w:rFonts w:hint="eastAsia" w:ascii="宋体" w:hAnsi="宋体" w:cs="宋体"/>
          <w:color w:val="auto"/>
          <w:sz w:val="21"/>
          <w:szCs w:val="21"/>
          <w:highlight w:val="none"/>
          <w:u w:val="single"/>
        </w:rPr>
        <w:t xml:space="preserve">施工现场，发包人项目部               </w:t>
      </w:r>
      <w:r>
        <w:rPr>
          <w:rFonts w:hint="eastAsia" w:ascii="宋体" w:hAnsi="宋体" w:cs="宋体"/>
          <w:color w:val="auto"/>
          <w:sz w:val="21"/>
          <w:szCs w:val="21"/>
          <w:highlight w:val="none"/>
        </w:rPr>
        <w:t>。</w:t>
      </w:r>
    </w:p>
    <w:p w14:paraId="589CC49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承包人指定的送达方式（包括电子传输方式）： </w:t>
      </w:r>
      <w:r>
        <w:rPr>
          <w:rFonts w:hint="eastAsia" w:ascii="宋体" w:hAnsi="宋体" w:cs="宋体"/>
          <w:color w:val="auto"/>
          <w:sz w:val="21"/>
          <w:szCs w:val="21"/>
          <w:highlight w:val="none"/>
          <w:u w:val="single"/>
        </w:rPr>
        <w:t xml:space="preserve">   书面或电子传输  </w:t>
      </w:r>
      <w:r>
        <w:rPr>
          <w:rFonts w:hint="eastAsia" w:ascii="宋体" w:hAnsi="宋体" w:cs="宋体"/>
          <w:color w:val="auto"/>
          <w:sz w:val="21"/>
          <w:szCs w:val="21"/>
          <w:highlight w:val="none"/>
        </w:rPr>
        <w:t>。</w:t>
      </w:r>
    </w:p>
    <w:p w14:paraId="6E8261C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承包人的送达地址：</w:t>
      </w:r>
      <w:r>
        <w:rPr>
          <w:rFonts w:hint="eastAsia" w:ascii="宋体" w:hAnsi="宋体" w:cs="宋体"/>
          <w:color w:val="auto"/>
          <w:sz w:val="21"/>
          <w:szCs w:val="21"/>
          <w:highlight w:val="none"/>
          <w:u w:val="single"/>
        </w:rPr>
        <w:t xml:space="preserve">施工现场，发包人项目部            </w:t>
      </w:r>
      <w:r>
        <w:rPr>
          <w:rFonts w:hint="eastAsia" w:ascii="宋体" w:hAnsi="宋体" w:cs="宋体"/>
          <w:color w:val="auto"/>
          <w:sz w:val="21"/>
          <w:szCs w:val="21"/>
          <w:highlight w:val="none"/>
        </w:rPr>
        <w:t>。</w:t>
      </w:r>
    </w:p>
    <w:p w14:paraId="70E674D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1.10 知识产权</w:t>
      </w:r>
    </w:p>
    <w:p w14:paraId="5EC7710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1.10.1 由发包人（或以发包人名义）编制的《发包人要求》和其他文件的著作权归属：</w:t>
      </w:r>
      <w:r>
        <w:rPr>
          <w:rFonts w:hint="eastAsia" w:ascii="宋体" w:hAnsi="宋体" w:cs="宋体"/>
          <w:color w:val="auto"/>
          <w:sz w:val="21"/>
          <w:szCs w:val="21"/>
          <w:highlight w:val="none"/>
          <w:u w:val="single"/>
        </w:rPr>
        <w:t xml:space="preserve">   发包人           </w:t>
      </w:r>
      <w:r>
        <w:rPr>
          <w:rFonts w:hint="eastAsia" w:ascii="宋体" w:hAnsi="宋体" w:cs="宋体"/>
          <w:color w:val="auto"/>
          <w:sz w:val="21"/>
          <w:szCs w:val="21"/>
          <w:highlight w:val="none"/>
        </w:rPr>
        <w:t>。</w:t>
      </w:r>
    </w:p>
    <w:p w14:paraId="59E4AA3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1.10.2 由承包人（或以承包人名义）为实施工程所编制的文件、承包人完成的设计工作成果和建造完成的建筑物的知识产权归属：</w:t>
      </w:r>
      <w:r>
        <w:rPr>
          <w:rFonts w:hint="eastAsia" w:ascii="宋体" w:hAnsi="宋体" w:cs="宋体"/>
          <w:color w:val="auto"/>
          <w:sz w:val="21"/>
          <w:szCs w:val="21"/>
          <w:highlight w:val="none"/>
          <w:u w:val="single"/>
        </w:rPr>
        <w:t xml:space="preserve"> 发包人     </w:t>
      </w:r>
      <w:r>
        <w:rPr>
          <w:rFonts w:hint="eastAsia" w:ascii="宋体" w:hAnsi="宋体" w:cs="宋体"/>
          <w:color w:val="auto"/>
          <w:sz w:val="21"/>
          <w:szCs w:val="21"/>
          <w:highlight w:val="none"/>
        </w:rPr>
        <w:t>。</w:t>
      </w:r>
    </w:p>
    <w:p w14:paraId="13C409F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1.10.4 承包人在投标文件中采用的专利、专有技术、技术秘密的使用费的承担方式</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2B2F873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1.11 保密</w:t>
      </w:r>
    </w:p>
    <w:p w14:paraId="7DBBD5B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双方订立的商业保密协议（名称）：</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，作为本合同附件。</w:t>
      </w:r>
    </w:p>
    <w:p w14:paraId="7DBEF46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双方订立的技术保密协议（名称）：</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，作为本合同附件。</w:t>
      </w:r>
    </w:p>
    <w:p w14:paraId="79B08CA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 责任限制</w:t>
      </w:r>
    </w:p>
    <w:p w14:paraId="58DAF4F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承包人对发包人赔偿责任的最高限额</w:t>
      </w:r>
      <w:r>
        <w:rPr>
          <w:rFonts w:hint="eastAsia" w:ascii="宋体" w:hAnsi="宋体" w:cs="宋体"/>
          <w:color w:val="auto"/>
          <w:sz w:val="21"/>
          <w:szCs w:val="21"/>
          <w:highlight w:val="none"/>
        </w:rPr>
        <w:t>为</w:t>
      </w:r>
      <w:r>
        <w:rPr>
          <w:rFonts w:hint="eastAsia" w:ascii="宋体" w:hAnsi="宋体" w:cs="宋体"/>
          <w:color w:val="auto"/>
          <w:sz w:val="21"/>
          <w:szCs w:val="21"/>
          <w:highlight w:val="none"/>
          <w:u w:val="single"/>
        </w:rPr>
        <w:t xml:space="preserve">  合同价</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20E1E5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1.14 建筑信息模型技术的应用</w:t>
      </w:r>
    </w:p>
    <w:p w14:paraId="64013D9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关于建筑信息模型技术的开发、使用、存储、传输、交付及费用约定如下：</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0707EC13">
      <w:pPr>
        <w:pStyle w:val="43"/>
        <w:snapToGrid/>
        <w:spacing w:after="0" w:afterLines="0"/>
        <w:rPr>
          <w:rFonts w:hint="eastAsia" w:cs="宋体"/>
          <w:b w:val="0"/>
          <w:bCs/>
          <w:color w:val="auto"/>
          <w:sz w:val="21"/>
          <w:szCs w:val="21"/>
          <w:highlight w:val="none"/>
        </w:rPr>
      </w:pPr>
      <w:bookmarkStart w:id="2034" w:name="_Toc1312"/>
      <w:bookmarkStart w:id="2035" w:name="_Toc54862333"/>
      <w:bookmarkStart w:id="2036" w:name="_Toc5977"/>
      <w:bookmarkStart w:id="2037" w:name="_Toc7541"/>
      <w:r>
        <w:rPr>
          <w:rFonts w:hint="eastAsia" w:cs="宋体"/>
          <w:b w:val="0"/>
          <w:bCs/>
          <w:color w:val="auto"/>
          <w:sz w:val="21"/>
          <w:szCs w:val="21"/>
          <w:highlight w:val="none"/>
        </w:rPr>
        <w:t>第2条 发包人</w:t>
      </w:r>
      <w:bookmarkEnd w:id="2034"/>
      <w:bookmarkEnd w:id="2035"/>
      <w:bookmarkEnd w:id="2036"/>
      <w:bookmarkEnd w:id="2037"/>
    </w:p>
    <w:p w14:paraId="596245B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2.2 提供施工现场和工作条件</w:t>
      </w:r>
    </w:p>
    <w:p w14:paraId="17BD272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2.2.1 提供施工现场</w:t>
      </w:r>
    </w:p>
    <w:p w14:paraId="566B6D33">
      <w:pPr>
        <w:spacing w:line="360" w:lineRule="auto"/>
        <w:ind w:firstLine="600"/>
        <w:rPr>
          <w:rFonts w:hint="eastAsia" w:ascii="宋体" w:hAnsi="宋体" w:cs="宋体"/>
          <w:color w:val="auto"/>
          <w:sz w:val="21"/>
          <w:szCs w:val="21"/>
          <w:highlight w:val="none"/>
        </w:rPr>
      </w:pPr>
      <w:bookmarkStart w:id="2038" w:name="OLE_LINK7"/>
      <w:r>
        <w:rPr>
          <w:rFonts w:hint="eastAsia" w:ascii="宋体" w:hAnsi="宋体" w:cs="宋体"/>
          <w:color w:val="auto"/>
          <w:sz w:val="21"/>
          <w:szCs w:val="21"/>
          <w:highlight w:val="none"/>
        </w:rPr>
        <w:t>关于发包人提供施工现场的范围和期限</w:t>
      </w:r>
      <w:bookmarkEnd w:id="2038"/>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开工前七日 </w:t>
      </w:r>
      <w:r>
        <w:rPr>
          <w:rFonts w:hint="eastAsia" w:ascii="宋体" w:hAnsi="宋体" w:cs="宋体"/>
          <w:color w:val="auto"/>
          <w:sz w:val="21"/>
          <w:szCs w:val="21"/>
          <w:highlight w:val="none"/>
        </w:rPr>
        <w:t>。</w:t>
      </w:r>
    </w:p>
    <w:p w14:paraId="279D4B3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2.2.2 提供工作条件</w:t>
      </w:r>
    </w:p>
    <w:p w14:paraId="490CDB5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关于发包人应负责提供的工作条件包括：</w:t>
      </w:r>
      <w:r>
        <w:rPr>
          <w:rFonts w:hint="eastAsia" w:ascii="宋体" w:hAnsi="宋体" w:cs="宋体"/>
          <w:color w:val="auto"/>
          <w:sz w:val="21"/>
          <w:szCs w:val="21"/>
          <w:highlight w:val="none"/>
          <w:u w:val="single"/>
        </w:rPr>
        <w:t>1、开工前七日，发包人应以书面形式将本工程的水准点、坐标控制点提供给承包人以及提供满足工程要求的“四通一平”现场。2、发包人协调处理施工现场周围地下管线和</w:t>
      </w:r>
      <w:r>
        <w:rPr>
          <w:rFonts w:hint="eastAsia" w:ascii="宋体" w:hAnsi="宋体" w:cs="宋体"/>
          <w:color w:val="auto"/>
          <w:sz w:val="21"/>
          <w:szCs w:val="21"/>
          <w:highlight w:val="none"/>
          <w:u w:val="single"/>
          <w:lang w:val="en-US" w:eastAsia="zh-CN"/>
        </w:rPr>
        <w:t>邻</w:t>
      </w:r>
      <w:r>
        <w:rPr>
          <w:rFonts w:hint="eastAsia" w:ascii="宋体" w:hAnsi="宋体" w:cs="宋体"/>
          <w:color w:val="auto"/>
          <w:sz w:val="21"/>
          <w:szCs w:val="21"/>
          <w:highlight w:val="none"/>
          <w:u w:val="single"/>
        </w:rPr>
        <w:t xml:space="preserve">近建筑物、构筑物、古树名木的保护工作，并承担相关费用；3、发包人指定施工用水、用电安装计量表位置、配电箱及管线的位置（不超施工现场50m），承包人从发包人指定的施工用水、用电部位上安装计量表、配电箱及管线 </w:t>
      </w:r>
      <w:r>
        <w:rPr>
          <w:rFonts w:hint="eastAsia" w:ascii="宋体" w:hAnsi="宋体" w:cs="宋体"/>
          <w:color w:val="auto"/>
          <w:sz w:val="21"/>
          <w:szCs w:val="21"/>
          <w:highlight w:val="none"/>
        </w:rPr>
        <w:t>。</w:t>
      </w:r>
    </w:p>
    <w:p w14:paraId="2F3518E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2.3 提供基础资料</w:t>
      </w:r>
    </w:p>
    <w:p w14:paraId="6EDD77D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关于发包人应提供的基础资料的范围和期限：</w:t>
      </w:r>
      <w:r>
        <w:rPr>
          <w:rFonts w:hint="eastAsia" w:ascii="宋体" w:hAnsi="宋体" w:cs="宋体"/>
          <w:color w:val="auto"/>
          <w:sz w:val="21"/>
          <w:szCs w:val="21"/>
          <w:highlight w:val="none"/>
          <w:u w:val="single"/>
        </w:rPr>
        <w:t xml:space="preserve"> 开工前七日 </w:t>
      </w:r>
      <w:r>
        <w:rPr>
          <w:rFonts w:hint="eastAsia" w:ascii="宋体" w:hAnsi="宋体" w:cs="宋体"/>
          <w:color w:val="auto"/>
          <w:sz w:val="21"/>
          <w:szCs w:val="21"/>
          <w:highlight w:val="none"/>
        </w:rPr>
        <w:t>。</w:t>
      </w:r>
    </w:p>
    <w:p w14:paraId="4F15B33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2.5 支付合同价款</w:t>
      </w:r>
    </w:p>
    <w:p w14:paraId="02BEB0B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2.5.2 发包人提供资金来源证明及资金安排的期限要求：</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0CD220A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2.5.3 发包人提供支付担保的形式、期限、金额（或比例）：</w:t>
      </w:r>
      <w:r>
        <w:rPr>
          <w:rFonts w:hint="eastAsia" w:ascii="宋体" w:hAnsi="宋体" w:cs="宋体"/>
          <w:color w:val="auto"/>
          <w:sz w:val="21"/>
          <w:szCs w:val="21"/>
          <w:highlight w:val="none"/>
          <w:u w:val="single"/>
        </w:rPr>
        <w:t xml:space="preserve"> </w:t>
      </w:r>
      <w:bookmarkStart w:id="2039" w:name="OLE_LINK11"/>
      <w:r>
        <w:rPr>
          <w:rFonts w:hint="eastAsia" w:ascii="宋体" w:hAnsi="宋体" w:cs="宋体"/>
          <w:color w:val="auto"/>
          <w:sz w:val="21"/>
          <w:szCs w:val="21"/>
          <w:highlight w:val="none"/>
          <w:u w:val="single"/>
        </w:rPr>
        <w:t>执行通用合同条款</w:t>
      </w:r>
      <w:bookmarkEnd w:id="2039"/>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075E23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2.7 其他义务</w:t>
      </w:r>
    </w:p>
    <w:p w14:paraId="38E3F77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发包人应履行的其他义务：</w:t>
      </w:r>
      <w:r>
        <w:rPr>
          <w:rFonts w:hint="eastAsia" w:ascii="宋体" w:hAnsi="宋体" w:cs="宋体"/>
          <w:color w:val="auto"/>
          <w:sz w:val="21"/>
          <w:szCs w:val="21"/>
          <w:highlight w:val="none"/>
          <w:u w:val="single"/>
        </w:rPr>
        <w:t xml:space="preserve"> 法律规定和（或）合同约定必须由发包方负责办理的工程建设项目履行的各类审批、核准或备案手续，发包方应按时办理。法律规定和（或）合同约定由承包方负责的有关施工证件和批件，发包方应给予必要的协助。发包方应按合同约定向承包方及时支付合同价款。专用合同条款对发包方工程款支付担保有约定的，从其约定。</w:t>
      </w:r>
    </w:p>
    <w:p w14:paraId="23F53EBB">
      <w:pPr>
        <w:pStyle w:val="43"/>
        <w:snapToGrid/>
        <w:spacing w:after="0" w:afterLines="0"/>
        <w:rPr>
          <w:rFonts w:hint="eastAsia" w:cs="宋体"/>
          <w:b w:val="0"/>
          <w:bCs/>
          <w:color w:val="auto"/>
          <w:sz w:val="21"/>
          <w:szCs w:val="21"/>
          <w:highlight w:val="none"/>
        </w:rPr>
      </w:pPr>
      <w:bookmarkStart w:id="2040" w:name="_Toc13036"/>
      <w:bookmarkStart w:id="2041" w:name="_Toc18337"/>
      <w:bookmarkStart w:id="2042" w:name="_Toc54862334"/>
      <w:bookmarkStart w:id="2043" w:name="_Toc31505"/>
      <w:r>
        <w:rPr>
          <w:rFonts w:hint="eastAsia" w:cs="宋体"/>
          <w:b w:val="0"/>
          <w:bCs/>
          <w:color w:val="auto"/>
          <w:sz w:val="21"/>
          <w:szCs w:val="21"/>
          <w:highlight w:val="none"/>
        </w:rPr>
        <w:t>第3条 发包人的管理</w:t>
      </w:r>
      <w:bookmarkEnd w:id="2040"/>
      <w:bookmarkEnd w:id="2041"/>
      <w:bookmarkEnd w:id="2042"/>
      <w:bookmarkEnd w:id="2043"/>
    </w:p>
    <w:p w14:paraId="4D6CE2CA">
      <w:pPr>
        <w:spacing w:line="360" w:lineRule="auto"/>
        <w:ind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3.1 发包人代表</w:t>
      </w:r>
    </w:p>
    <w:p w14:paraId="77DDB55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FF2802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A55900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5CE832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D9AF4E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发包人代表的电子邮箱：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A1A663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发包人代表的通信地址：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29F770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80ACEF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发包人代表的职责：</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785EF95">
      <w:pPr>
        <w:spacing w:line="360" w:lineRule="auto"/>
        <w:ind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3.2 发包人人员</w:t>
      </w:r>
    </w:p>
    <w:p w14:paraId="6DBCDDA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发包人人员姓名：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541114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发包人人员职务：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2734C6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发包人人员职责：</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9B6903D">
      <w:pPr>
        <w:spacing w:line="360" w:lineRule="auto"/>
        <w:ind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3.3 工程师</w:t>
      </w:r>
    </w:p>
    <w:p w14:paraId="6220185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3.3.1 工程师名称：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；工程师监督管理范围、内容：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；工程师权限：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9C53EE0">
      <w:pPr>
        <w:spacing w:line="360" w:lineRule="auto"/>
        <w:ind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3.6 商定或确定</w:t>
      </w:r>
    </w:p>
    <w:p w14:paraId="386493A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3.6.2 关于商定时间限制的具体约定：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9FFD4E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3.6.3 关于商定或确定效力的具体约定：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；关于对工程师的确定提出异议的具体约定：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4CD46D1">
      <w:pPr>
        <w:spacing w:line="360" w:lineRule="auto"/>
        <w:ind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3.7 会议</w:t>
      </w:r>
    </w:p>
    <w:p w14:paraId="2C1A1C4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3.7.1 关于召开会议的具体约定：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7176263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3.7.2 关于保存和提供会议纪要的具体约定：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734F1D34">
      <w:pPr>
        <w:pStyle w:val="43"/>
        <w:snapToGrid/>
        <w:spacing w:after="0" w:afterLines="0"/>
        <w:rPr>
          <w:rFonts w:hint="eastAsia" w:cs="宋体"/>
          <w:b w:val="0"/>
          <w:bCs/>
          <w:color w:val="auto"/>
          <w:sz w:val="21"/>
          <w:szCs w:val="21"/>
          <w:highlight w:val="none"/>
        </w:rPr>
      </w:pPr>
      <w:bookmarkStart w:id="2044" w:name="_Toc31776"/>
      <w:bookmarkStart w:id="2045" w:name="_Toc9199"/>
      <w:bookmarkStart w:id="2046" w:name="_Toc54862335"/>
      <w:bookmarkStart w:id="2047" w:name="_Toc32416"/>
      <w:r>
        <w:rPr>
          <w:rFonts w:hint="eastAsia" w:cs="宋体"/>
          <w:b w:val="0"/>
          <w:bCs/>
          <w:color w:val="auto"/>
          <w:sz w:val="21"/>
          <w:szCs w:val="21"/>
          <w:highlight w:val="none"/>
        </w:rPr>
        <w:t>第4条 承包人</w:t>
      </w:r>
      <w:bookmarkEnd w:id="2044"/>
      <w:bookmarkEnd w:id="2045"/>
      <w:bookmarkEnd w:id="2046"/>
      <w:bookmarkEnd w:id="2047"/>
    </w:p>
    <w:p w14:paraId="7EF3135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4.1 承包人的一般义务</w:t>
      </w:r>
    </w:p>
    <w:p w14:paraId="103923B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承包人应履行的其他义务：</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1BB63C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4.2 履约担保</w:t>
      </w:r>
    </w:p>
    <w:p w14:paraId="7CED6A8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承包人是否提供履约担保：</w:t>
      </w:r>
      <w:r>
        <w:rPr>
          <w:rFonts w:hint="eastAsia" w:ascii="宋体" w:hAnsi="宋体" w:cs="宋体"/>
          <w:color w:val="auto"/>
          <w:sz w:val="21"/>
          <w:szCs w:val="21"/>
          <w:highlight w:val="none"/>
          <w:u w:val="single"/>
        </w:rPr>
        <w:t xml:space="preserve">  是  </w:t>
      </w:r>
      <w:r>
        <w:rPr>
          <w:rFonts w:hint="eastAsia" w:ascii="宋体" w:hAnsi="宋体" w:cs="宋体"/>
          <w:color w:val="auto"/>
          <w:sz w:val="21"/>
          <w:szCs w:val="21"/>
          <w:highlight w:val="none"/>
        </w:rPr>
        <w:t>。</w:t>
      </w:r>
    </w:p>
    <w:p w14:paraId="49766EE2">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履约担保的方式、金额及期限</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承包人应在合同签订后为履行合同向发包人提供担保额度为</w:t>
      </w:r>
      <w:r>
        <w:rPr>
          <w:rFonts w:hint="eastAsia" w:cs="宋体"/>
          <w:color w:val="auto"/>
          <w:sz w:val="21"/>
          <w:szCs w:val="21"/>
          <w:highlight w:val="none"/>
          <w:u w:val="single"/>
        </w:rPr>
        <w:t>中标金额10%</w:t>
      </w:r>
      <w:r>
        <w:rPr>
          <w:rFonts w:hint="eastAsia" w:ascii="宋体" w:hAnsi="宋体" w:cs="宋体"/>
          <w:color w:val="auto"/>
          <w:sz w:val="21"/>
          <w:szCs w:val="21"/>
          <w:highlight w:val="none"/>
          <w:u w:val="single"/>
        </w:rPr>
        <w:t>的现金履约保证金。在收到预付款后，承包人用同等金额的保函替换履约保证金，同时发包人退还承包人已缴纳的现金履约保证金。</w:t>
      </w:r>
    </w:p>
    <w:p w14:paraId="3D900F4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 工程总承包项目经理</w:t>
      </w:r>
    </w:p>
    <w:p w14:paraId="783A220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4.3.1 工程总承包项目经理姓名：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5E82A1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执业资格或职称类型：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6851E1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执业资格证或职称证号码：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536B5F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4792B7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电子邮箱：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8BB1A5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4B6C36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承包人未提交劳动合同，以及没有为工程总承包项目经理缴纳社会保险证明的违约责任：</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8E07BB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4.3.2 工程总承包项目经理每月在现场的时间要求：</w:t>
      </w:r>
      <w:r>
        <w:rPr>
          <w:rFonts w:hint="eastAsia" w:ascii="宋体" w:hAnsi="宋体" w:cs="宋体"/>
          <w:color w:val="auto"/>
          <w:sz w:val="21"/>
          <w:szCs w:val="21"/>
          <w:highlight w:val="none"/>
          <w:u w:val="single"/>
        </w:rPr>
        <w:t xml:space="preserve"> 不少于22日 </w:t>
      </w:r>
      <w:r>
        <w:rPr>
          <w:rFonts w:hint="eastAsia" w:ascii="宋体" w:hAnsi="宋体" w:cs="宋体"/>
          <w:color w:val="auto"/>
          <w:sz w:val="21"/>
          <w:szCs w:val="21"/>
          <w:highlight w:val="none"/>
        </w:rPr>
        <w:t>。</w:t>
      </w:r>
    </w:p>
    <w:p w14:paraId="32808CC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工程总承包项目经理未经批准擅自离开施工现场的违约责任：</w:t>
      </w:r>
      <w:r>
        <w:rPr>
          <w:rFonts w:hint="eastAsia" w:ascii="宋体" w:hAnsi="宋体" w:cs="宋体"/>
          <w:color w:val="auto"/>
          <w:sz w:val="21"/>
          <w:szCs w:val="21"/>
          <w:highlight w:val="none"/>
          <w:u w:val="single"/>
        </w:rPr>
        <w:t xml:space="preserve"> 承包人承担每次1000</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 xml:space="preserve">元的违约责任 </w:t>
      </w:r>
      <w:r>
        <w:rPr>
          <w:rFonts w:hint="eastAsia" w:ascii="宋体" w:hAnsi="宋体" w:cs="宋体"/>
          <w:color w:val="auto"/>
          <w:sz w:val="21"/>
          <w:szCs w:val="21"/>
          <w:highlight w:val="none"/>
        </w:rPr>
        <w:t>。</w:t>
      </w:r>
    </w:p>
    <w:p w14:paraId="28321BB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4.3.3 承包人对工程总承包项目经理的授权范围:</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13824DD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4.3.4 承包人擅自更换工程总承包项目经理的违约责任：</w:t>
      </w:r>
      <w:r>
        <w:rPr>
          <w:rFonts w:hint="eastAsia" w:ascii="宋体" w:hAnsi="宋体" w:cs="宋体"/>
          <w:color w:val="auto"/>
          <w:sz w:val="21"/>
          <w:szCs w:val="21"/>
          <w:highlight w:val="none"/>
          <w:u w:val="single"/>
        </w:rPr>
        <w:t xml:space="preserve"> 承包人承担每次5000元的违约责任 </w:t>
      </w:r>
      <w:r>
        <w:rPr>
          <w:rFonts w:hint="eastAsia" w:ascii="宋体" w:hAnsi="宋体" w:cs="宋体"/>
          <w:color w:val="auto"/>
          <w:sz w:val="21"/>
          <w:szCs w:val="21"/>
          <w:highlight w:val="none"/>
        </w:rPr>
        <w:t>。</w:t>
      </w:r>
    </w:p>
    <w:p w14:paraId="6ECAF68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4.3.5 承包人无正当理由拒绝更换工程总承包项目经理的违约责任:</w:t>
      </w:r>
      <w:r>
        <w:rPr>
          <w:rFonts w:hint="eastAsia" w:ascii="宋体" w:hAnsi="宋体" w:cs="宋体"/>
          <w:color w:val="auto"/>
          <w:sz w:val="21"/>
          <w:szCs w:val="21"/>
          <w:highlight w:val="none"/>
          <w:u w:val="single"/>
        </w:rPr>
        <w:t xml:space="preserve"> 承包人承担5000元的违约责任 </w:t>
      </w:r>
      <w:r>
        <w:rPr>
          <w:rFonts w:hint="eastAsia" w:ascii="宋体" w:hAnsi="宋体" w:cs="宋体"/>
          <w:color w:val="auto"/>
          <w:sz w:val="21"/>
          <w:szCs w:val="21"/>
          <w:highlight w:val="none"/>
        </w:rPr>
        <w:t>。</w:t>
      </w:r>
    </w:p>
    <w:p w14:paraId="30A4E2F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4.4 承包人人员</w:t>
      </w:r>
    </w:p>
    <w:p w14:paraId="596A3FD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4.4.1 人员安排</w:t>
      </w:r>
    </w:p>
    <w:p w14:paraId="6BD4D5E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承包人提交项目管理机构及施工现场人员安排的报告的期限：</w:t>
      </w:r>
      <w:r>
        <w:rPr>
          <w:rFonts w:hint="eastAsia" w:ascii="宋体" w:hAnsi="宋体" w:cs="宋体"/>
          <w:color w:val="auto"/>
          <w:sz w:val="21"/>
          <w:szCs w:val="21"/>
          <w:highlight w:val="none"/>
          <w:u w:val="single"/>
        </w:rPr>
        <w:t xml:space="preserve"> 进场后28天内   </w:t>
      </w:r>
      <w:r>
        <w:rPr>
          <w:rFonts w:hint="eastAsia" w:ascii="宋体" w:hAnsi="宋体" w:cs="宋体"/>
          <w:color w:val="auto"/>
          <w:sz w:val="21"/>
          <w:szCs w:val="21"/>
          <w:highlight w:val="none"/>
        </w:rPr>
        <w:t>。</w:t>
      </w:r>
    </w:p>
    <w:p w14:paraId="7B9A6AA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承包人提交关键人员信息及注册执业资格等证明其具备担任关键人员能力的相关文件的期限：</w:t>
      </w:r>
      <w:r>
        <w:rPr>
          <w:rFonts w:hint="eastAsia" w:ascii="宋体" w:hAnsi="宋体" w:cs="宋体"/>
          <w:color w:val="auto"/>
          <w:sz w:val="21"/>
          <w:szCs w:val="21"/>
          <w:highlight w:val="none"/>
          <w:u w:val="single"/>
        </w:rPr>
        <w:t xml:space="preserve"> 进场后28天内  </w:t>
      </w:r>
      <w:r>
        <w:rPr>
          <w:rFonts w:hint="eastAsia" w:ascii="宋体" w:hAnsi="宋体" w:cs="宋体"/>
          <w:color w:val="auto"/>
          <w:sz w:val="21"/>
          <w:szCs w:val="21"/>
          <w:highlight w:val="none"/>
        </w:rPr>
        <w:t>。</w:t>
      </w:r>
    </w:p>
    <w:p w14:paraId="6E2D917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4.4.2 关键人员更换</w:t>
      </w:r>
    </w:p>
    <w:p w14:paraId="37E9201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承包人擅自更换关键人员的违约责任：</w:t>
      </w:r>
      <w:r>
        <w:rPr>
          <w:rFonts w:hint="eastAsia" w:ascii="宋体" w:hAnsi="宋体" w:cs="宋体"/>
          <w:color w:val="auto"/>
          <w:sz w:val="21"/>
          <w:szCs w:val="21"/>
          <w:highlight w:val="none"/>
          <w:u w:val="single"/>
        </w:rPr>
        <w:t>发包人或监理人发出整改意见，逾期未整改的视为承包人违约，依法承担违约责任</w:t>
      </w:r>
      <w:r>
        <w:rPr>
          <w:rFonts w:hint="eastAsia" w:ascii="宋体" w:hAnsi="宋体" w:cs="宋体"/>
          <w:color w:val="auto"/>
          <w:sz w:val="21"/>
          <w:szCs w:val="21"/>
          <w:highlight w:val="none"/>
        </w:rPr>
        <w:t>。</w:t>
      </w:r>
    </w:p>
    <w:p w14:paraId="0E9E630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承包人无正当理由拒绝撤换关键人员的违约责任：</w:t>
      </w:r>
      <w:r>
        <w:rPr>
          <w:rFonts w:hint="eastAsia" w:ascii="宋体" w:hAnsi="宋体" w:cs="宋体"/>
          <w:color w:val="auto"/>
          <w:sz w:val="21"/>
          <w:szCs w:val="21"/>
          <w:highlight w:val="none"/>
          <w:u w:val="single"/>
        </w:rPr>
        <w:t xml:space="preserve">发包人或监理人发出整改意见，逾期未整改的视为承包人违约，依法承担违约责任   </w:t>
      </w:r>
      <w:r>
        <w:rPr>
          <w:rFonts w:hint="eastAsia" w:ascii="宋体" w:hAnsi="宋体" w:cs="宋体"/>
          <w:color w:val="auto"/>
          <w:sz w:val="21"/>
          <w:szCs w:val="21"/>
          <w:highlight w:val="none"/>
        </w:rPr>
        <w:t>。</w:t>
      </w:r>
    </w:p>
    <w:p w14:paraId="6B3F6A7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4.4.3 现场管理关键人员在岗要求</w:t>
      </w:r>
    </w:p>
    <w:p w14:paraId="51137D6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承包人现场管理关键人员离开施工现场的批准要求：</w:t>
      </w:r>
      <w:r>
        <w:rPr>
          <w:rFonts w:hint="eastAsia" w:ascii="宋体" w:hAnsi="宋体" w:cs="宋体"/>
          <w:color w:val="auto"/>
          <w:sz w:val="21"/>
          <w:szCs w:val="21"/>
          <w:highlight w:val="none"/>
          <w:u w:val="single"/>
        </w:rPr>
        <w:t xml:space="preserve">实行请假制度，经项目经理批准  </w:t>
      </w:r>
      <w:r>
        <w:rPr>
          <w:rFonts w:hint="eastAsia" w:ascii="宋体" w:hAnsi="宋体" w:cs="宋体"/>
          <w:color w:val="auto"/>
          <w:sz w:val="21"/>
          <w:szCs w:val="21"/>
          <w:highlight w:val="none"/>
        </w:rPr>
        <w:t>。</w:t>
      </w:r>
    </w:p>
    <w:p w14:paraId="699DC64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承包人现场管理关键人员擅自离开施工现场的违约责任：</w:t>
      </w:r>
      <w:r>
        <w:rPr>
          <w:rFonts w:hint="eastAsia" w:ascii="宋体" w:hAnsi="宋体" w:cs="宋体"/>
          <w:color w:val="auto"/>
          <w:sz w:val="21"/>
          <w:szCs w:val="21"/>
          <w:highlight w:val="none"/>
          <w:u w:val="single"/>
        </w:rPr>
        <w:t xml:space="preserve">发包人或监理人发出整改意见，逾期未整改的视为承包人违约，依法承担违约责任 </w:t>
      </w:r>
      <w:r>
        <w:rPr>
          <w:rFonts w:hint="eastAsia" w:ascii="宋体" w:hAnsi="宋体" w:cs="宋体"/>
          <w:color w:val="auto"/>
          <w:sz w:val="21"/>
          <w:szCs w:val="21"/>
          <w:highlight w:val="none"/>
        </w:rPr>
        <w:t>。</w:t>
      </w:r>
    </w:p>
    <w:p w14:paraId="57FFB65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4.5 分包</w:t>
      </w:r>
    </w:p>
    <w:p w14:paraId="2702805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4.5.1 一般约定</w:t>
      </w:r>
    </w:p>
    <w:p w14:paraId="5D24A95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禁止分包的工程包括：</w:t>
      </w:r>
      <w:r>
        <w:rPr>
          <w:rFonts w:hint="eastAsia" w:ascii="宋体" w:hAnsi="宋体" w:cs="宋体"/>
          <w:color w:val="auto"/>
          <w:sz w:val="21"/>
          <w:szCs w:val="21"/>
          <w:highlight w:val="none"/>
          <w:u w:val="single"/>
        </w:rPr>
        <w:t xml:space="preserve"> 法律法规禁止分包的工程            </w:t>
      </w:r>
      <w:r>
        <w:rPr>
          <w:rFonts w:hint="eastAsia" w:ascii="宋体" w:hAnsi="宋体" w:cs="宋体"/>
          <w:color w:val="auto"/>
          <w:sz w:val="21"/>
          <w:szCs w:val="21"/>
          <w:highlight w:val="none"/>
        </w:rPr>
        <w:t>。</w:t>
      </w:r>
    </w:p>
    <w:p w14:paraId="4D2D375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4.5.2 分包的确定</w:t>
      </w:r>
    </w:p>
    <w:p w14:paraId="117E4D3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允许分包的工程包括：</w:t>
      </w:r>
      <w:r>
        <w:rPr>
          <w:rFonts w:hint="eastAsia" w:ascii="宋体" w:hAnsi="宋体" w:cs="宋体"/>
          <w:color w:val="auto"/>
          <w:sz w:val="21"/>
          <w:szCs w:val="21"/>
          <w:highlight w:val="none"/>
          <w:u w:val="single"/>
        </w:rPr>
        <w:t xml:space="preserve"> 按照国家相关法律法规执行 </w:t>
      </w:r>
      <w:r>
        <w:rPr>
          <w:rFonts w:hint="eastAsia" w:ascii="宋体" w:hAnsi="宋体" w:cs="宋体"/>
          <w:color w:val="auto"/>
          <w:sz w:val="21"/>
          <w:szCs w:val="21"/>
          <w:highlight w:val="none"/>
        </w:rPr>
        <w:t>。</w:t>
      </w:r>
    </w:p>
    <w:p w14:paraId="17C2F86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其他关于分包的约定：</w:t>
      </w:r>
      <w:r>
        <w:rPr>
          <w:rFonts w:hint="eastAsia" w:ascii="宋体" w:hAnsi="宋体" w:cs="宋体"/>
          <w:color w:val="auto"/>
          <w:sz w:val="21"/>
          <w:szCs w:val="21"/>
          <w:highlight w:val="none"/>
          <w:u w:val="single"/>
        </w:rPr>
        <w:t xml:space="preserve"> 法律法规允许分包的工程  </w:t>
      </w:r>
      <w:r>
        <w:rPr>
          <w:rFonts w:hint="eastAsia" w:ascii="宋体" w:hAnsi="宋体" w:cs="宋体"/>
          <w:color w:val="auto"/>
          <w:sz w:val="21"/>
          <w:szCs w:val="21"/>
          <w:highlight w:val="none"/>
        </w:rPr>
        <w:t>。</w:t>
      </w:r>
    </w:p>
    <w:p w14:paraId="3C51F6D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4.5.5 分包合同价款支付</w:t>
      </w:r>
    </w:p>
    <w:p w14:paraId="6EC7256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关于分包合同价款支付的约定：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8A9879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4.6 联合体</w:t>
      </w:r>
    </w:p>
    <w:p w14:paraId="4A1CFA0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4.6.2 联合体各成员的分工、费用收取、发票开具等事项：</w:t>
      </w:r>
      <w:r>
        <w:rPr>
          <w:rFonts w:hint="eastAsia" w:ascii="宋体" w:hAnsi="宋体" w:cs="宋体"/>
          <w:color w:val="auto"/>
          <w:sz w:val="21"/>
          <w:szCs w:val="21"/>
          <w:highlight w:val="none"/>
          <w:u w:val="single"/>
        </w:rPr>
        <w:t>联合体各成员分工承担的工作内容必须与适用法律规定的该成员的资质资格相适应，并应具有相应的项目管理体系和项目管理能力，且不应根据其就承包工作的分工而减免对发包人的任何合同责任。 发包人向联合体牵头方支付合同款项，再由牵头方向成员方支付，联合体成员分别向发包人开具发票</w:t>
      </w:r>
      <w:r>
        <w:rPr>
          <w:rFonts w:hint="eastAsia" w:ascii="宋体" w:hAnsi="宋体" w:cs="宋体"/>
          <w:color w:val="auto"/>
          <w:sz w:val="21"/>
          <w:szCs w:val="21"/>
          <w:highlight w:val="none"/>
        </w:rPr>
        <w:t>。</w:t>
      </w:r>
    </w:p>
    <w:p w14:paraId="754B605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4.7 承包人现场查勘</w:t>
      </w:r>
    </w:p>
    <w:p w14:paraId="725D6DE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4.7.1 双方当事人对现场查勘的责任承担的约定：</w:t>
      </w:r>
      <w:r>
        <w:rPr>
          <w:rFonts w:hint="eastAsia" w:ascii="宋体" w:hAnsi="宋体" w:cs="宋体"/>
          <w:color w:val="auto"/>
          <w:sz w:val="21"/>
          <w:szCs w:val="21"/>
          <w:highlight w:val="none"/>
          <w:u w:val="single"/>
        </w:rPr>
        <w:t xml:space="preserve"> 承包人自行勘察，风险由承包 人自行承担 </w:t>
      </w:r>
      <w:r>
        <w:rPr>
          <w:rFonts w:hint="eastAsia" w:ascii="宋体" w:hAnsi="宋体" w:cs="宋体"/>
          <w:color w:val="auto"/>
          <w:sz w:val="21"/>
          <w:szCs w:val="21"/>
          <w:highlight w:val="none"/>
        </w:rPr>
        <w:t>。</w:t>
      </w:r>
    </w:p>
    <w:p w14:paraId="7A1451C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4.8 不可预见的困难</w:t>
      </w:r>
    </w:p>
    <w:p w14:paraId="14A19C2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不可预见的困难包括：</w:t>
      </w:r>
      <w:r>
        <w:rPr>
          <w:rFonts w:hint="eastAsia" w:ascii="宋体" w:hAnsi="宋体" w:cs="宋体"/>
          <w:color w:val="auto"/>
          <w:sz w:val="21"/>
          <w:szCs w:val="21"/>
          <w:highlight w:val="none"/>
          <w:u w:val="single"/>
        </w:rPr>
        <w:t xml:space="preserve"> （1）台风、龙卷风、暴雨、洪水、连续三天以上的大雨、战争或冲突、政府公布的疫情  ；（2）日气温超过38℃的高温大于3天；日气温低于-15℃ ；（3）其</w:t>
      </w:r>
      <w:r>
        <w:rPr>
          <w:rFonts w:hint="eastAsia" w:ascii="宋体" w:hAnsi="宋体" w:cs="宋体"/>
          <w:color w:val="auto"/>
          <w:sz w:val="21"/>
          <w:szCs w:val="21"/>
          <w:highlight w:val="none"/>
          <w:u w:val="single"/>
          <w:lang w:val="en-US" w:eastAsia="zh-CN"/>
        </w:rPr>
        <w:t>他</w:t>
      </w:r>
      <w:r>
        <w:rPr>
          <w:rFonts w:hint="eastAsia" w:ascii="宋体" w:hAnsi="宋体" w:cs="宋体"/>
          <w:color w:val="auto"/>
          <w:sz w:val="21"/>
          <w:szCs w:val="21"/>
          <w:highlight w:val="none"/>
          <w:u w:val="single"/>
        </w:rPr>
        <w:t xml:space="preserve">异常恶劣气候灾害。承包人应在上述情形发生后第一时间通知发包人和监理人，发包人根据工程实际情况予以确认工期顺延 </w:t>
      </w:r>
      <w:r>
        <w:rPr>
          <w:rFonts w:hint="eastAsia" w:ascii="宋体" w:hAnsi="宋体" w:cs="宋体"/>
          <w:color w:val="auto"/>
          <w:sz w:val="21"/>
          <w:szCs w:val="21"/>
          <w:highlight w:val="none"/>
        </w:rPr>
        <w:t>。</w:t>
      </w:r>
    </w:p>
    <w:p w14:paraId="2B5D0305">
      <w:pPr>
        <w:pStyle w:val="43"/>
        <w:snapToGrid/>
        <w:spacing w:after="0" w:afterLines="0"/>
        <w:rPr>
          <w:rFonts w:hint="eastAsia" w:cs="宋体"/>
          <w:b w:val="0"/>
          <w:bCs/>
          <w:color w:val="auto"/>
          <w:sz w:val="21"/>
          <w:szCs w:val="21"/>
          <w:highlight w:val="none"/>
        </w:rPr>
      </w:pPr>
      <w:bookmarkStart w:id="2048" w:name="_Toc14721"/>
      <w:bookmarkStart w:id="2049" w:name="_Toc54862336"/>
      <w:bookmarkStart w:id="2050" w:name="_Toc2408"/>
      <w:bookmarkStart w:id="2051" w:name="_Toc6147"/>
      <w:r>
        <w:rPr>
          <w:rFonts w:hint="eastAsia" w:cs="宋体"/>
          <w:b w:val="0"/>
          <w:bCs/>
          <w:color w:val="auto"/>
          <w:sz w:val="21"/>
          <w:szCs w:val="21"/>
          <w:highlight w:val="none"/>
        </w:rPr>
        <w:t>第5条 设计</w:t>
      </w:r>
      <w:bookmarkEnd w:id="2048"/>
      <w:bookmarkEnd w:id="2049"/>
      <w:bookmarkEnd w:id="2050"/>
      <w:bookmarkEnd w:id="2051"/>
    </w:p>
    <w:p w14:paraId="2922087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5.2 承包人文件审查</w:t>
      </w:r>
    </w:p>
    <w:p w14:paraId="1880DB0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5.2.1 承包人文件审查的期限：</w:t>
      </w:r>
      <w:r>
        <w:rPr>
          <w:rFonts w:hint="eastAsia" w:ascii="宋体" w:hAnsi="宋体" w:cs="宋体"/>
          <w:color w:val="auto"/>
          <w:sz w:val="21"/>
          <w:szCs w:val="21"/>
          <w:highlight w:val="none"/>
          <w:u w:val="single"/>
        </w:rPr>
        <w:t xml:space="preserve"> 按照建设主管部门或发包人要求 </w:t>
      </w:r>
      <w:r>
        <w:rPr>
          <w:rFonts w:hint="eastAsia" w:ascii="宋体" w:hAnsi="宋体" w:cs="宋体"/>
          <w:color w:val="auto"/>
          <w:sz w:val="21"/>
          <w:szCs w:val="21"/>
          <w:highlight w:val="none"/>
        </w:rPr>
        <w:t>。</w:t>
      </w:r>
    </w:p>
    <w:p w14:paraId="0CE2E64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5.2.2 审查会议的审查形式和时间安排为：</w:t>
      </w:r>
      <w:r>
        <w:rPr>
          <w:rFonts w:hint="eastAsia" w:ascii="宋体" w:hAnsi="宋体" w:cs="宋体"/>
          <w:color w:val="auto"/>
          <w:sz w:val="21"/>
          <w:szCs w:val="21"/>
          <w:highlight w:val="none"/>
          <w:u w:val="single"/>
        </w:rPr>
        <w:t xml:space="preserve"> 满足工程进度要求</w:t>
      </w:r>
      <w:r>
        <w:rPr>
          <w:rFonts w:hint="eastAsia" w:ascii="宋体" w:hAnsi="宋体" w:cs="宋体"/>
          <w:color w:val="auto"/>
          <w:sz w:val="21"/>
          <w:szCs w:val="21"/>
          <w:highlight w:val="none"/>
        </w:rPr>
        <w:t>，审查会议的相关费用由</w:t>
      </w:r>
      <w:r>
        <w:rPr>
          <w:rFonts w:hint="eastAsia" w:ascii="宋体" w:hAnsi="宋体" w:cs="宋体"/>
          <w:color w:val="auto"/>
          <w:sz w:val="21"/>
          <w:szCs w:val="21"/>
          <w:highlight w:val="none"/>
          <w:u w:val="single"/>
        </w:rPr>
        <w:t xml:space="preserve">  承包人(只含承包方施工图审查及专项方案论证） </w:t>
      </w:r>
      <w:r>
        <w:rPr>
          <w:rFonts w:hint="eastAsia" w:ascii="宋体" w:hAnsi="宋体" w:cs="宋体"/>
          <w:color w:val="auto"/>
          <w:sz w:val="21"/>
          <w:szCs w:val="21"/>
          <w:highlight w:val="none"/>
        </w:rPr>
        <w:t>承担。</w:t>
      </w:r>
    </w:p>
    <w:p w14:paraId="11AE8C6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5.2.3 关于第三方审查单位的约定：</w:t>
      </w:r>
      <w:r>
        <w:rPr>
          <w:rFonts w:hint="eastAsia" w:ascii="宋体" w:hAnsi="宋体" w:cs="宋体"/>
          <w:color w:val="auto"/>
          <w:sz w:val="21"/>
          <w:szCs w:val="21"/>
          <w:highlight w:val="none"/>
          <w:u w:val="single"/>
        </w:rPr>
        <w:t xml:space="preserve"> 经发包人同意 </w:t>
      </w:r>
      <w:r>
        <w:rPr>
          <w:rFonts w:hint="eastAsia" w:ascii="宋体" w:hAnsi="宋体" w:cs="宋体"/>
          <w:color w:val="auto"/>
          <w:sz w:val="21"/>
          <w:szCs w:val="21"/>
          <w:highlight w:val="none"/>
        </w:rPr>
        <w:t>。</w:t>
      </w:r>
    </w:p>
    <w:p w14:paraId="427A297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5.3 培训</w:t>
      </w:r>
    </w:p>
    <w:p w14:paraId="62293F5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培训的时长为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，承包人应为培训提供的人员、设施和其</w:t>
      </w:r>
      <w:r>
        <w:rPr>
          <w:rFonts w:hint="eastAsia" w:ascii="宋体" w:hAnsi="宋体" w:cs="宋体"/>
          <w:color w:val="auto"/>
          <w:sz w:val="21"/>
          <w:szCs w:val="21"/>
          <w:highlight w:val="none"/>
          <w:lang w:val="en-US" w:eastAsia="zh-CN"/>
        </w:rPr>
        <w:t>他</w:t>
      </w:r>
      <w:r>
        <w:rPr>
          <w:rFonts w:hint="eastAsia" w:ascii="宋体" w:hAnsi="宋体" w:cs="宋体"/>
          <w:color w:val="auto"/>
          <w:sz w:val="21"/>
          <w:szCs w:val="21"/>
          <w:highlight w:val="none"/>
        </w:rPr>
        <w:t>必要条件为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29AF00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5.4 竣工文件</w:t>
      </w:r>
    </w:p>
    <w:p w14:paraId="2417B3A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5.4.1 竣工文件的形式、提供的份数、技术标准以及其</w:t>
      </w:r>
      <w:r>
        <w:rPr>
          <w:rFonts w:hint="eastAsia" w:ascii="宋体" w:hAnsi="宋体" w:cs="宋体"/>
          <w:color w:val="auto"/>
          <w:sz w:val="21"/>
          <w:szCs w:val="21"/>
          <w:highlight w:val="none"/>
          <w:lang w:val="en-US" w:eastAsia="zh-CN"/>
        </w:rPr>
        <w:t>他</w:t>
      </w:r>
      <w:r>
        <w:rPr>
          <w:rFonts w:hint="eastAsia" w:ascii="宋体" w:hAnsi="宋体" w:cs="宋体"/>
          <w:color w:val="auto"/>
          <w:sz w:val="21"/>
          <w:szCs w:val="21"/>
          <w:highlight w:val="none"/>
        </w:rPr>
        <w:t>相关要求：</w:t>
      </w:r>
      <w:r>
        <w:rPr>
          <w:rFonts w:hint="eastAsia" w:ascii="宋体" w:hAnsi="宋体" w:cs="宋体"/>
          <w:color w:val="auto"/>
          <w:sz w:val="21"/>
          <w:szCs w:val="21"/>
          <w:highlight w:val="none"/>
          <w:u w:val="single"/>
        </w:rPr>
        <w:t xml:space="preserve"> 合同工程保修证书签发后，承包方负责组织编制竣工图或委托其他单位编制竣工图，并向发包方提交四套竣工资料及一套电子版（施工单位自留两份工程资料） </w:t>
      </w:r>
      <w:r>
        <w:rPr>
          <w:rFonts w:hint="eastAsia" w:ascii="宋体" w:hAnsi="宋体" w:cs="宋体"/>
          <w:color w:val="auto"/>
          <w:sz w:val="21"/>
          <w:szCs w:val="21"/>
          <w:highlight w:val="none"/>
        </w:rPr>
        <w:t>。</w:t>
      </w:r>
    </w:p>
    <w:p w14:paraId="5278C87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5.4.3 关于竣工文件的其他约定：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F7C2F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5.5 操作和维修手册</w:t>
      </w:r>
    </w:p>
    <w:p w14:paraId="64A6C46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5.5.3 对最终操作和维修手册的约定：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F0D5F11">
      <w:pPr>
        <w:pStyle w:val="43"/>
        <w:snapToGrid/>
        <w:spacing w:after="0" w:afterLines="0"/>
        <w:rPr>
          <w:rFonts w:hint="eastAsia" w:cs="宋体"/>
          <w:b w:val="0"/>
          <w:bCs/>
          <w:color w:val="auto"/>
          <w:sz w:val="21"/>
          <w:szCs w:val="21"/>
          <w:highlight w:val="none"/>
        </w:rPr>
      </w:pPr>
      <w:bookmarkStart w:id="2052" w:name="_Toc54862337"/>
      <w:bookmarkStart w:id="2053" w:name="_Toc2189"/>
      <w:bookmarkStart w:id="2054" w:name="_Toc15385"/>
      <w:bookmarkStart w:id="2055" w:name="_Toc6104"/>
      <w:r>
        <w:rPr>
          <w:rFonts w:hint="eastAsia" w:cs="宋体"/>
          <w:b w:val="0"/>
          <w:bCs/>
          <w:color w:val="auto"/>
          <w:sz w:val="21"/>
          <w:szCs w:val="21"/>
          <w:highlight w:val="none"/>
        </w:rPr>
        <w:t>第6条 材料、工程设备</w:t>
      </w:r>
      <w:bookmarkEnd w:id="2052"/>
      <w:bookmarkEnd w:id="2053"/>
      <w:bookmarkEnd w:id="2054"/>
      <w:bookmarkEnd w:id="2055"/>
    </w:p>
    <w:p w14:paraId="33CF39A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6.1 实施方法</w:t>
      </w:r>
    </w:p>
    <w:p w14:paraId="186E704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双方当事人约定的实施方法、设备、设施和材料：</w:t>
      </w:r>
      <w:r>
        <w:rPr>
          <w:rFonts w:hint="eastAsia" w:ascii="宋体" w:hAnsi="宋体" w:cs="宋体"/>
          <w:color w:val="auto"/>
          <w:sz w:val="21"/>
          <w:szCs w:val="21"/>
          <w:highlight w:val="none"/>
          <w:u w:val="single"/>
        </w:rPr>
        <w:t xml:space="preserve">  承包方应按照合同及采购合同附件约定条款，采购工程设备、材料、成品和半成品、备品备件、专用工具等合同工程所需全部货物 </w:t>
      </w:r>
      <w:r>
        <w:rPr>
          <w:rFonts w:hint="eastAsia" w:ascii="宋体" w:hAnsi="宋体" w:cs="宋体"/>
          <w:color w:val="auto"/>
          <w:sz w:val="21"/>
          <w:szCs w:val="21"/>
          <w:highlight w:val="none"/>
        </w:rPr>
        <w:t>。</w:t>
      </w:r>
    </w:p>
    <w:p w14:paraId="5CCB78C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6.2 材料和工程设备</w:t>
      </w:r>
    </w:p>
    <w:p w14:paraId="7266703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6.2.1 发包人提供的材料和工程设备</w:t>
      </w:r>
    </w:p>
    <w:p w14:paraId="2E0A202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发包人提供的材料和工程设备验收后，由</w:t>
      </w:r>
      <w:r>
        <w:rPr>
          <w:rFonts w:hint="eastAsia" w:ascii="宋体" w:hAnsi="宋体" w:cs="宋体"/>
          <w:color w:val="auto"/>
          <w:sz w:val="21"/>
          <w:szCs w:val="21"/>
          <w:highlight w:val="none"/>
          <w:u w:val="single"/>
        </w:rPr>
        <w:t xml:space="preserve">  承包人  </w:t>
      </w:r>
      <w:r>
        <w:rPr>
          <w:rFonts w:hint="eastAsia" w:ascii="宋体" w:hAnsi="宋体" w:cs="宋体"/>
          <w:color w:val="auto"/>
          <w:sz w:val="21"/>
          <w:szCs w:val="21"/>
          <w:highlight w:val="none"/>
        </w:rPr>
        <w:t>负责接收、运输和保管。</w:t>
      </w:r>
    </w:p>
    <w:p w14:paraId="116BA30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6.2.3 </w:t>
      </w:r>
      <w:bookmarkStart w:id="2056" w:name="OLE_LINK17"/>
      <w:r>
        <w:rPr>
          <w:rFonts w:hint="eastAsia" w:ascii="宋体" w:hAnsi="宋体" w:cs="宋体"/>
          <w:color w:val="auto"/>
          <w:sz w:val="21"/>
          <w:szCs w:val="21"/>
          <w:highlight w:val="none"/>
        </w:rPr>
        <w:t>材料和工程设备的保管</w:t>
      </w:r>
      <w:bookmarkEnd w:id="2056"/>
    </w:p>
    <w:p w14:paraId="27A07A6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发包人供应的材料和工程设备的保管费用由</w:t>
      </w:r>
      <w:r>
        <w:rPr>
          <w:rFonts w:hint="eastAsia" w:ascii="宋体" w:hAnsi="宋体" w:cs="宋体"/>
          <w:color w:val="auto"/>
          <w:sz w:val="21"/>
          <w:szCs w:val="21"/>
          <w:highlight w:val="none"/>
          <w:u w:val="single"/>
        </w:rPr>
        <w:t xml:space="preserve"> 发包人 </w:t>
      </w:r>
      <w:r>
        <w:rPr>
          <w:rFonts w:hint="eastAsia" w:ascii="宋体" w:hAnsi="宋体" w:cs="宋体"/>
          <w:color w:val="auto"/>
          <w:sz w:val="21"/>
          <w:szCs w:val="21"/>
          <w:highlight w:val="none"/>
        </w:rPr>
        <w:t>承担。</w:t>
      </w:r>
    </w:p>
    <w:p w14:paraId="73545A7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承包人提交保管、维护方案的时间：</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114AF5C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发包人提供的库房、堆场、设施和设备：</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A6028E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6.3 样品</w:t>
      </w:r>
    </w:p>
    <w:p w14:paraId="71CD2E1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6.3.1 样品的报送与封存</w:t>
      </w:r>
    </w:p>
    <w:p w14:paraId="22964FB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需要承包人报送样品的材料或工程设备，样品种类、名称、规格、数量：</w:t>
      </w:r>
      <w:r>
        <w:rPr>
          <w:rFonts w:hint="eastAsia" w:ascii="宋体" w:hAnsi="宋体" w:cs="宋体"/>
          <w:color w:val="auto"/>
          <w:sz w:val="21"/>
          <w:szCs w:val="21"/>
          <w:highlight w:val="none"/>
          <w:u w:val="single"/>
        </w:rPr>
        <w:t xml:space="preserve">   按管理部门和发包人需求确定      </w:t>
      </w:r>
      <w:r>
        <w:rPr>
          <w:rFonts w:hint="eastAsia" w:ascii="宋体" w:hAnsi="宋体" w:cs="宋体"/>
          <w:color w:val="auto"/>
          <w:sz w:val="21"/>
          <w:szCs w:val="21"/>
          <w:highlight w:val="none"/>
        </w:rPr>
        <w:t>。</w:t>
      </w:r>
    </w:p>
    <w:p w14:paraId="2FF3797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6.4 质量检查</w:t>
      </w:r>
    </w:p>
    <w:p w14:paraId="6E855CB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6.4.1 工程质量要求</w:t>
      </w:r>
    </w:p>
    <w:p w14:paraId="69375C1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工程质量的特殊标准或要求：</w:t>
      </w:r>
      <w:r>
        <w:rPr>
          <w:rFonts w:hint="eastAsia" w:ascii="宋体" w:hAnsi="宋体" w:cs="宋体"/>
          <w:color w:val="auto"/>
          <w:sz w:val="21"/>
          <w:szCs w:val="21"/>
          <w:highlight w:val="none"/>
          <w:u w:val="single"/>
        </w:rPr>
        <w:t xml:space="preserve">  符合现行国家有关工程施工质量验收规范  </w:t>
      </w:r>
      <w:r>
        <w:rPr>
          <w:rFonts w:hint="eastAsia" w:ascii="宋体" w:hAnsi="宋体" w:cs="宋体"/>
          <w:color w:val="auto"/>
          <w:sz w:val="21"/>
          <w:szCs w:val="21"/>
          <w:highlight w:val="none"/>
        </w:rPr>
        <w:t>。</w:t>
      </w:r>
    </w:p>
    <w:p w14:paraId="5378ECA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6.4.2 质量检查</w:t>
      </w:r>
    </w:p>
    <w:p w14:paraId="4121257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除通用合同条件已列明的质量检查的地点外，发包人有权进行质量检查的其他地点：</w:t>
      </w:r>
      <w:r>
        <w:rPr>
          <w:rFonts w:hint="eastAsia" w:ascii="宋体" w:hAnsi="宋体" w:cs="宋体"/>
          <w:color w:val="auto"/>
          <w:sz w:val="21"/>
          <w:szCs w:val="21"/>
          <w:highlight w:val="none"/>
          <w:u w:val="single"/>
        </w:rPr>
        <w:t xml:space="preserve">  设备供应商生产地  </w:t>
      </w:r>
      <w:r>
        <w:rPr>
          <w:rFonts w:hint="eastAsia" w:ascii="宋体" w:hAnsi="宋体" w:cs="宋体"/>
          <w:color w:val="auto"/>
          <w:sz w:val="21"/>
          <w:szCs w:val="21"/>
          <w:highlight w:val="none"/>
        </w:rPr>
        <w:t>。</w:t>
      </w:r>
    </w:p>
    <w:p w14:paraId="6E119BE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6.4.3 隐蔽工程检查</w:t>
      </w:r>
    </w:p>
    <w:p w14:paraId="215860A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关于隐蔽工程和中间验收的特别约定：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AD2B6D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6.5 由承包人试验和检验</w:t>
      </w:r>
    </w:p>
    <w:p w14:paraId="3BF761E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6.5.1 试验设备与试验人员</w:t>
      </w:r>
    </w:p>
    <w:p w14:paraId="0D8F1122">
      <w:pPr>
        <w:spacing w:line="360" w:lineRule="auto"/>
        <w:ind w:firstLine="600"/>
        <w:rPr>
          <w:rFonts w:hint="eastAsia" w:ascii="宋体" w:hAnsi="宋体" w:cs="宋体"/>
          <w:color w:val="auto"/>
          <w:sz w:val="21"/>
          <w:szCs w:val="21"/>
          <w:highlight w:val="none"/>
        </w:rPr>
      </w:pPr>
      <w:bookmarkStart w:id="2057" w:name="OLE_LINK18"/>
      <w:r>
        <w:rPr>
          <w:rFonts w:hint="eastAsia" w:ascii="宋体" w:hAnsi="宋体" w:cs="宋体"/>
          <w:color w:val="auto"/>
          <w:sz w:val="21"/>
          <w:szCs w:val="21"/>
          <w:highlight w:val="none"/>
        </w:rPr>
        <w:t>试验的内容</w:t>
      </w:r>
      <w:bookmarkEnd w:id="2057"/>
      <w:r>
        <w:rPr>
          <w:rFonts w:hint="eastAsia" w:ascii="宋体" w:hAnsi="宋体" w:cs="宋体"/>
          <w:color w:val="auto"/>
          <w:sz w:val="21"/>
          <w:szCs w:val="21"/>
          <w:highlight w:val="none"/>
        </w:rPr>
        <w:t>、时间和地点：</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2D1E7C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试验所需要的试验设备、取样装置、试验场所和试验条件：</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3F99652F">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试验和检验费用的计价原</w:t>
      </w:r>
      <w:r>
        <w:rPr>
          <w:rFonts w:hint="eastAsia" w:ascii="宋体" w:hAnsi="宋体" w:cs="宋体"/>
          <w:color w:val="auto"/>
          <w:sz w:val="21"/>
          <w:szCs w:val="21"/>
          <w:highlight w:val="none"/>
        </w:rPr>
        <w:t>则：</w:t>
      </w:r>
      <w:r>
        <w:rPr>
          <w:rFonts w:hint="eastAsia" w:ascii="宋体" w:hAnsi="宋体" w:cs="宋体"/>
          <w:color w:val="auto"/>
          <w:sz w:val="21"/>
          <w:szCs w:val="21"/>
          <w:highlight w:val="none"/>
          <w:u w:val="single"/>
        </w:rPr>
        <w:t xml:space="preserve">  常规试验、检测费包含在合同内价内</w:t>
      </w:r>
      <w:r>
        <w:rPr>
          <w:rFonts w:hint="eastAsia" w:ascii="宋体" w:hAnsi="宋体" w:cs="宋体"/>
          <w:color w:val="auto"/>
          <w:sz w:val="21"/>
          <w:szCs w:val="21"/>
          <w:highlight w:val="none"/>
        </w:rPr>
        <w:t>。</w:t>
      </w:r>
    </w:p>
    <w:p w14:paraId="76212700">
      <w:pPr>
        <w:pStyle w:val="43"/>
        <w:snapToGrid/>
        <w:spacing w:after="0" w:afterLines="0"/>
        <w:rPr>
          <w:rFonts w:hint="eastAsia" w:cs="宋体"/>
          <w:color w:val="auto"/>
          <w:sz w:val="21"/>
          <w:szCs w:val="21"/>
          <w:highlight w:val="none"/>
        </w:rPr>
      </w:pPr>
      <w:bookmarkStart w:id="2058" w:name="_Toc54862338"/>
      <w:bookmarkStart w:id="2059" w:name="_Toc14053"/>
      <w:bookmarkStart w:id="2060" w:name="_Toc32403"/>
      <w:bookmarkStart w:id="2061" w:name="_Toc10699"/>
      <w:r>
        <w:rPr>
          <w:rFonts w:hint="eastAsia" w:cs="宋体"/>
          <w:color w:val="auto"/>
          <w:sz w:val="21"/>
          <w:szCs w:val="21"/>
          <w:highlight w:val="none"/>
        </w:rPr>
        <w:t>第7条 施工</w:t>
      </w:r>
      <w:bookmarkEnd w:id="2058"/>
      <w:bookmarkEnd w:id="2059"/>
      <w:bookmarkEnd w:id="2060"/>
      <w:bookmarkEnd w:id="2061"/>
    </w:p>
    <w:p w14:paraId="72A1D24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 交通运输</w:t>
      </w:r>
    </w:p>
    <w:p w14:paraId="19F9B9F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7.1.1 出入现场的权利</w:t>
      </w:r>
    </w:p>
    <w:p w14:paraId="63A4170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w:t>
      </w:r>
      <w:bookmarkStart w:id="2062" w:name="OLE_LINK19"/>
      <w:r>
        <w:rPr>
          <w:rFonts w:hint="eastAsia" w:ascii="宋体" w:hAnsi="宋体" w:cs="宋体"/>
          <w:color w:val="auto"/>
          <w:sz w:val="21"/>
          <w:szCs w:val="21"/>
          <w:highlight w:val="none"/>
        </w:rPr>
        <w:t>出入现场的权利</w:t>
      </w:r>
      <w:bookmarkEnd w:id="2062"/>
      <w:r>
        <w:rPr>
          <w:rFonts w:hint="eastAsia" w:ascii="宋体" w:hAnsi="宋体" w:cs="宋体"/>
          <w:color w:val="auto"/>
          <w:sz w:val="21"/>
          <w:szCs w:val="21"/>
          <w:highlight w:val="none"/>
        </w:rPr>
        <w:t>的约定：</w:t>
      </w:r>
      <w:r>
        <w:rPr>
          <w:rFonts w:hint="eastAsia" w:ascii="宋体" w:hAnsi="宋体" w:cs="宋体"/>
          <w:color w:val="auto"/>
          <w:sz w:val="21"/>
          <w:szCs w:val="21"/>
          <w:highlight w:val="none"/>
          <w:u w:val="single"/>
        </w:rPr>
        <w:t xml:space="preserve"> 发包人负责取得出入施工现场所需的批准手续和全部权利，以及取得因施工所需修建道路及其他基础设施的权利并承担相应手续费用和建设费用 </w:t>
      </w:r>
      <w:r>
        <w:rPr>
          <w:rFonts w:hint="eastAsia" w:ascii="宋体" w:hAnsi="宋体" w:cs="宋体"/>
          <w:color w:val="auto"/>
          <w:sz w:val="21"/>
          <w:szCs w:val="21"/>
          <w:highlight w:val="none"/>
        </w:rPr>
        <w:t>。</w:t>
      </w:r>
    </w:p>
    <w:p w14:paraId="065AF8A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7.1.2 场外交通</w:t>
      </w:r>
    </w:p>
    <w:p w14:paraId="347B8E6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关于场外交通的特别约定：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120E6A6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7.1.3 场内交通</w:t>
      </w:r>
    </w:p>
    <w:p w14:paraId="59A4022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关于场内交通的特别约定：</w:t>
      </w:r>
      <w:r>
        <w:rPr>
          <w:rFonts w:hint="eastAsia" w:ascii="宋体" w:hAnsi="宋体" w:cs="宋体"/>
          <w:color w:val="auto"/>
          <w:sz w:val="21"/>
          <w:szCs w:val="21"/>
          <w:highlight w:val="none"/>
          <w:u w:val="single"/>
        </w:rPr>
        <w:t xml:space="preserve"> 承包人可利用场内已有道路、通道及交通设施，但对其通往施工范围道路不负责对其的加固、改造、修复、重建等所有费用 </w:t>
      </w:r>
      <w:r>
        <w:rPr>
          <w:rFonts w:hint="eastAsia" w:ascii="宋体" w:hAnsi="宋体" w:cs="宋体"/>
          <w:color w:val="auto"/>
          <w:sz w:val="21"/>
          <w:szCs w:val="21"/>
          <w:highlight w:val="none"/>
        </w:rPr>
        <w:t>。</w:t>
      </w:r>
    </w:p>
    <w:p w14:paraId="01DD6DE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关于场内交通与场外交通边界的约定：</w:t>
      </w:r>
      <w:r>
        <w:rPr>
          <w:rFonts w:hint="eastAsia" w:ascii="宋体" w:hAnsi="宋体" w:cs="宋体"/>
          <w:color w:val="auto"/>
          <w:sz w:val="21"/>
          <w:szCs w:val="21"/>
          <w:highlight w:val="none"/>
          <w:u w:val="single"/>
        </w:rPr>
        <w:t xml:space="preserve"> 施工红线范围内为场内交通 </w:t>
      </w:r>
      <w:r>
        <w:rPr>
          <w:rFonts w:hint="eastAsia" w:ascii="宋体" w:hAnsi="宋体" w:cs="宋体"/>
          <w:color w:val="auto"/>
          <w:sz w:val="21"/>
          <w:szCs w:val="21"/>
          <w:highlight w:val="none"/>
        </w:rPr>
        <w:t>。</w:t>
      </w:r>
    </w:p>
    <w:p w14:paraId="2F13913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7.1.4 超大件和超重件的运输</w:t>
      </w:r>
    </w:p>
    <w:p w14:paraId="60BD265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 xml:space="preserve"> 发包人 </w:t>
      </w:r>
      <w:r>
        <w:rPr>
          <w:rFonts w:hint="eastAsia" w:ascii="宋体" w:hAnsi="宋体" w:cs="宋体"/>
          <w:color w:val="auto"/>
          <w:sz w:val="21"/>
          <w:szCs w:val="21"/>
          <w:highlight w:val="none"/>
        </w:rPr>
        <w:t>承担。</w:t>
      </w:r>
    </w:p>
    <w:p w14:paraId="3380CAD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7.2 施工设备和临时设施</w:t>
      </w:r>
    </w:p>
    <w:p w14:paraId="12BA9DE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7.2.1 </w:t>
      </w:r>
      <w:bookmarkStart w:id="2063" w:name="OLE_LINK20"/>
      <w:r>
        <w:rPr>
          <w:rFonts w:hint="eastAsia" w:ascii="宋体" w:hAnsi="宋体" w:cs="宋体"/>
          <w:color w:val="auto"/>
          <w:sz w:val="21"/>
          <w:szCs w:val="21"/>
          <w:highlight w:val="none"/>
        </w:rPr>
        <w:t>承包人提供的施工设备</w:t>
      </w:r>
      <w:bookmarkEnd w:id="2063"/>
      <w:r>
        <w:rPr>
          <w:rFonts w:hint="eastAsia" w:ascii="宋体" w:hAnsi="宋体" w:cs="宋体"/>
          <w:color w:val="auto"/>
          <w:sz w:val="21"/>
          <w:szCs w:val="21"/>
          <w:highlight w:val="none"/>
        </w:rPr>
        <w:t>和临时设施</w:t>
      </w:r>
    </w:p>
    <w:p w14:paraId="6FE6370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临时设施的费用和临时占地手续和费用承担的特别约定：</w:t>
      </w:r>
      <w:r>
        <w:rPr>
          <w:rFonts w:hint="eastAsia" w:ascii="宋体" w:hAnsi="宋体" w:cs="宋体"/>
          <w:color w:val="auto"/>
          <w:sz w:val="21"/>
          <w:szCs w:val="21"/>
          <w:highlight w:val="none"/>
          <w:u w:val="single"/>
        </w:rPr>
        <w:t xml:space="preserve"> 临时设施费</w:t>
      </w:r>
      <w:r>
        <w:rPr>
          <w:rFonts w:hint="eastAsia" w:ascii="宋体" w:hAnsi="宋体" w:cs="宋体"/>
          <w:color w:val="auto"/>
          <w:sz w:val="21"/>
          <w:szCs w:val="21"/>
          <w:highlight w:val="none"/>
          <w:u w:val="single"/>
          <w:lang w:val="en-US" w:eastAsia="zh-CN"/>
        </w:rPr>
        <w:t>计取给承包人后，</w:t>
      </w:r>
      <w:r>
        <w:rPr>
          <w:rFonts w:hint="eastAsia" w:ascii="宋体" w:hAnsi="宋体" w:cs="宋体"/>
          <w:color w:val="auto"/>
          <w:sz w:val="21"/>
          <w:szCs w:val="21"/>
          <w:highlight w:val="none"/>
          <w:u w:val="single"/>
        </w:rPr>
        <w:t>承包人范围内的临时设施及临时用地费用由</w:t>
      </w:r>
      <w:r>
        <w:rPr>
          <w:rFonts w:hint="eastAsia" w:ascii="宋体" w:hAnsi="宋体" w:cs="宋体"/>
          <w:color w:val="auto"/>
          <w:sz w:val="21"/>
          <w:szCs w:val="21"/>
          <w:highlight w:val="none"/>
          <w:u w:val="single"/>
          <w:lang w:val="en-US" w:eastAsia="zh-CN"/>
        </w:rPr>
        <w:t>承</w:t>
      </w:r>
      <w:r>
        <w:rPr>
          <w:rFonts w:hint="eastAsia" w:ascii="宋体" w:hAnsi="宋体" w:cs="宋体"/>
          <w:color w:val="auto"/>
          <w:sz w:val="21"/>
          <w:szCs w:val="21"/>
          <w:highlight w:val="none"/>
          <w:u w:val="single"/>
        </w:rPr>
        <w:t>包人承担，发包人范围内的临时设施及临时用地费用由发包人承担 ，临时占地手续</w:t>
      </w:r>
      <w:r>
        <w:rPr>
          <w:rFonts w:hint="eastAsia" w:ascii="宋体" w:hAnsi="宋体" w:cs="宋体"/>
          <w:color w:val="auto"/>
          <w:sz w:val="21"/>
          <w:szCs w:val="21"/>
          <w:highlight w:val="none"/>
          <w:u w:val="single"/>
        </w:rPr>
        <w:t>由使用方自行办</w:t>
      </w:r>
      <w:r>
        <w:rPr>
          <w:rFonts w:hint="eastAsia" w:ascii="宋体" w:hAnsi="宋体" w:cs="宋体"/>
          <w:color w:val="auto"/>
          <w:sz w:val="21"/>
          <w:szCs w:val="21"/>
          <w:highlight w:val="none"/>
          <w:u w:val="single"/>
        </w:rPr>
        <w:t xml:space="preserve">理 </w:t>
      </w:r>
      <w:r>
        <w:rPr>
          <w:rFonts w:hint="eastAsia" w:ascii="宋体" w:hAnsi="宋体" w:cs="宋体"/>
          <w:color w:val="auto"/>
          <w:sz w:val="21"/>
          <w:szCs w:val="21"/>
          <w:highlight w:val="none"/>
        </w:rPr>
        <w:t>。</w:t>
      </w:r>
    </w:p>
    <w:p w14:paraId="63639BA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7.2.2 发包人提供的施工设备和临时设施</w:t>
      </w:r>
    </w:p>
    <w:p w14:paraId="453A4C4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发包人提供的施工设备或临时设施范围：</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7B2BC0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7.3 现场合作</w:t>
      </w:r>
    </w:p>
    <w:p w14:paraId="077845E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关于现场合作费用的特别约定：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3DC20B9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7.4 测量放线</w:t>
      </w:r>
    </w:p>
    <w:p w14:paraId="51CFB6A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7.4.1 </w:t>
      </w:r>
      <w:bookmarkStart w:id="2064" w:name="OLE_LINK21"/>
      <w:r>
        <w:rPr>
          <w:rFonts w:hint="eastAsia" w:ascii="宋体" w:hAnsi="宋体" w:cs="宋体"/>
          <w:color w:val="auto"/>
          <w:sz w:val="21"/>
          <w:szCs w:val="21"/>
          <w:highlight w:val="none"/>
        </w:rPr>
        <w:t>关于测量放线的特别约定</w:t>
      </w:r>
      <w:bookmarkEnd w:id="2064"/>
      <w:r>
        <w:rPr>
          <w:rFonts w:hint="eastAsia" w:ascii="宋体" w:hAnsi="宋体" w:cs="宋体"/>
          <w:color w:val="auto"/>
          <w:sz w:val="21"/>
          <w:szCs w:val="21"/>
          <w:highlight w:val="none"/>
        </w:rPr>
        <w:t>的技术规范：</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。施工控制网资料的告知期限：</w:t>
      </w:r>
      <w:r>
        <w:rPr>
          <w:rFonts w:hint="eastAsia" w:ascii="宋体" w:hAnsi="宋体" w:cs="宋体"/>
          <w:color w:val="auto"/>
          <w:sz w:val="21"/>
          <w:szCs w:val="21"/>
          <w:highlight w:val="none"/>
          <w:u w:val="single"/>
        </w:rPr>
        <w:t xml:space="preserve"> 发包人通过监理人向承包人提供测量基准点、基准线和水准点及其书面资料的期限为开工前七天内  </w:t>
      </w:r>
      <w:r>
        <w:rPr>
          <w:rFonts w:hint="eastAsia" w:ascii="宋体" w:hAnsi="宋体" w:cs="宋体"/>
          <w:color w:val="auto"/>
          <w:sz w:val="21"/>
          <w:szCs w:val="21"/>
          <w:highlight w:val="none"/>
        </w:rPr>
        <w:t>。</w:t>
      </w:r>
    </w:p>
    <w:p w14:paraId="4C5B507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7.5 </w:t>
      </w:r>
      <w:bookmarkStart w:id="2065" w:name="OLE_LINK22"/>
      <w:r>
        <w:rPr>
          <w:rFonts w:hint="eastAsia" w:ascii="宋体" w:hAnsi="宋体" w:cs="宋体"/>
          <w:color w:val="auto"/>
          <w:sz w:val="21"/>
          <w:szCs w:val="21"/>
          <w:highlight w:val="none"/>
        </w:rPr>
        <w:t>现场劳动用工</w:t>
      </w:r>
      <w:bookmarkEnd w:id="2065"/>
    </w:p>
    <w:p w14:paraId="63558E2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7.5.2 合同当事人对建筑工人工资清偿事宜和违约责任的约定：</w:t>
      </w:r>
      <w:r>
        <w:rPr>
          <w:rFonts w:hint="eastAsia" w:ascii="宋体" w:hAnsi="宋体" w:cs="宋体"/>
          <w:color w:val="auto"/>
          <w:sz w:val="21"/>
          <w:szCs w:val="21"/>
          <w:highlight w:val="none"/>
          <w:u w:val="single"/>
        </w:rPr>
        <w:t xml:space="preserve"> 农民工工资管理应按照国家、省、市相关主管部门最新要求执行 </w:t>
      </w:r>
      <w:r>
        <w:rPr>
          <w:rFonts w:hint="eastAsia" w:ascii="宋体" w:hAnsi="宋体" w:cs="宋体"/>
          <w:color w:val="auto"/>
          <w:sz w:val="21"/>
          <w:szCs w:val="21"/>
          <w:highlight w:val="none"/>
        </w:rPr>
        <w:t>。</w:t>
      </w:r>
    </w:p>
    <w:p w14:paraId="39BB099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7.6 安全文明施工</w:t>
      </w:r>
    </w:p>
    <w:p w14:paraId="3EDC491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7.6.1 安全生产要求</w:t>
      </w:r>
    </w:p>
    <w:p w14:paraId="51D4E5FE">
      <w:pPr>
        <w:spacing w:line="360" w:lineRule="auto"/>
        <w:ind w:left="124" w:leftChars="59"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合同当事人对安全施工的要求：</w:t>
      </w:r>
      <w:r>
        <w:rPr>
          <w:rFonts w:hint="eastAsia" w:ascii="宋体" w:hAnsi="宋体" w:cs="宋体"/>
          <w:color w:val="auto"/>
          <w:sz w:val="21"/>
          <w:szCs w:val="21"/>
          <w:highlight w:val="none"/>
          <w:u w:val="single"/>
        </w:rPr>
        <w:t xml:space="preserve"> 承包方应遵守执行《中华人民共和国安全生产法》、《建设工程安全生产管理条例》、《生产安全事故调查报告和调查处理条例》等国家法律、法规和行业安全标准。并按规定建立健全安全管理责任体系，严格控制分包方安全准入管理，与分包方签订安全协议 </w:t>
      </w:r>
      <w:r>
        <w:rPr>
          <w:rFonts w:hint="eastAsia" w:ascii="宋体" w:hAnsi="宋体" w:cs="宋体"/>
          <w:color w:val="auto"/>
          <w:sz w:val="21"/>
          <w:szCs w:val="21"/>
          <w:highlight w:val="none"/>
        </w:rPr>
        <w:t>。</w:t>
      </w:r>
    </w:p>
    <w:p w14:paraId="7EE7032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7.6.3 文明施工</w:t>
      </w:r>
    </w:p>
    <w:p w14:paraId="3B67386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合同当事人对文明施工的要求：</w:t>
      </w:r>
      <w:r>
        <w:rPr>
          <w:rFonts w:hint="eastAsia" w:ascii="宋体" w:hAnsi="宋体" w:cs="宋体"/>
          <w:color w:val="auto"/>
          <w:sz w:val="21"/>
          <w:szCs w:val="21"/>
          <w:highlight w:val="none"/>
          <w:u w:val="single"/>
        </w:rPr>
        <w:t xml:space="preserve"> 承包方必须采取一切必要措施和手段强化施工安全健康文明管理，努力提高安全健康与文明施工水平，确定严格的安全施工秩序以保证施工人员在施工中的安全与健康 </w:t>
      </w:r>
      <w:r>
        <w:rPr>
          <w:rFonts w:hint="eastAsia" w:ascii="宋体" w:hAnsi="宋体" w:cs="宋体"/>
          <w:color w:val="auto"/>
          <w:sz w:val="21"/>
          <w:szCs w:val="21"/>
          <w:highlight w:val="none"/>
        </w:rPr>
        <w:t>。</w:t>
      </w:r>
    </w:p>
    <w:p w14:paraId="2042A66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7.9 临时性公用设施</w:t>
      </w:r>
    </w:p>
    <w:p w14:paraId="59451AD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关于临时性公用设施的特别约定：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743F773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7.10 现场安保</w:t>
      </w:r>
    </w:p>
    <w:p w14:paraId="63605B1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承包人现场安保义务的特别约定：</w:t>
      </w:r>
      <w:r>
        <w:rPr>
          <w:rFonts w:hint="eastAsia" w:ascii="宋体" w:hAnsi="宋体" w:cs="宋体"/>
          <w:color w:val="auto"/>
          <w:sz w:val="21"/>
          <w:szCs w:val="21"/>
          <w:highlight w:val="none"/>
          <w:u w:val="single"/>
        </w:rPr>
        <w:t xml:space="preserve"> </w:t>
      </w:r>
      <w:bookmarkStart w:id="2066" w:name="OLE_LINK28"/>
      <w:r>
        <w:rPr>
          <w:rFonts w:hint="eastAsia" w:ascii="宋体" w:hAnsi="宋体" w:cs="宋体"/>
          <w:color w:val="auto"/>
          <w:sz w:val="21"/>
          <w:szCs w:val="21"/>
          <w:highlight w:val="none"/>
          <w:u w:val="single"/>
        </w:rPr>
        <w:t>执行通用合同条款</w:t>
      </w:r>
      <w:bookmarkEnd w:id="2066"/>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728B0E8">
      <w:pPr>
        <w:pStyle w:val="43"/>
        <w:snapToGrid/>
        <w:spacing w:after="0" w:afterLines="0"/>
        <w:rPr>
          <w:rFonts w:hint="eastAsia" w:cs="宋体"/>
          <w:b w:val="0"/>
          <w:bCs/>
          <w:color w:val="auto"/>
          <w:sz w:val="21"/>
          <w:szCs w:val="21"/>
          <w:highlight w:val="none"/>
        </w:rPr>
      </w:pPr>
      <w:bookmarkStart w:id="2067" w:name="_Toc20294"/>
      <w:bookmarkStart w:id="2068" w:name="_Toc13970"/>
      <w:bookmarkStart w:id="2069" w:name="_Toc31665"/>
      <w:bookmarkStart w:id="2070" w:name="_Toc54862339"/>
      <w:r>
        <w:rPr>
          <w:rFonts w:hint="eastAsia" w:cs="宋体"/>
          <w:b w:val="0"/>
          <w:bCs/>
          <w:color w:val="auto"/>
          <w:sz w:val="21"/>
          <w:szCs w:val="21"/>
          <w:highlight w:val="none"/>
        </w:rPr>
        <w:t>第8条 工期和进度</w:t>
      </w:r>
      <w:bookmarkEnd w:id="2067"/>
      <w:bookmarkEnd w:id="2068"/>
      <w:bookmarkEnd w:id="2069"/>
      <w:bookmarkEnd w:id="2070"/>
    </w:p>
    <w:p w14:paraId="289CCD4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8.1 开始工作</w:t>
      </w:r>
    </w:p>
    <w:p w14:paraId="202EEE1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8.1.1 </w:t>
      </w:r>
      <w:bookmarkStart w:id="2071" w:name="OLE_LINK26"/>
      <w:r>
        <w:rPr>
          <w:rFonts w:hint="eastAsia" w:ascii="宋体" w:hAnsi="宋体" w:cs="宋体"/>
          <w:color w:val="auto"/>
          <w:sz w:val="21"/>
          <w:szCs w:val="21"/>
          <w:highlight w:val="none"/>
        </w:rPr>
        <w:t>开始准备工作</w:t>
      </w:r>
      <w:bookmarkEnd w:id="2071"/>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监理</w:t>
      </w:r>
      <w:r>
        <w:rPr>
          <w:rFonts w:hint="eastAsia" w:ascii="宋体" w:hAnsi="宋体" w:cs="宋体"/>
          <w:color w:val="auto"/>
          <w:sz w:val="21"/>
          <w:szCs w:val="21"/>
          <w:highlight w:val="none"/>
          <w:u w:val="single"/>
        </w:rPr>
        <w:t>人书面通知</w:t>
      </w:r>
      <w:r>
        <w:rPr>
          <w:rFonts w:hint="eastAsia" w:ascii="宋体" w:hAnsi="宋体" w:cs="宋体"/>
          <w:color w:val="auto"/>
          <w:sz w:val="21"/>
          <w:szCs w:val="21"/>
          <w:highlight w:val="none"/>
          <w:u w:val="single"/>
        </w:rPr>
        <w:t xml:space="preserve">为准    </w:t>
      </w:r>
      <w:r>
        <w:rPr>
          <w:rFonts w:hint="eastAsia" w:ascii="宋体" w:hAnsi="宋体" w:cs="宋体"/>
          <w:color w:val="auto"/>
          <w:sz w:val="21"/>
          <w:szCs w:val="21"/>
          <w:highlight w:val="none"/>
        </w:rPr>
        <w:t>。</w:t>
      </w:r>
    </w:p>
    <w:p w14:paraId="41560CA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8.1.2 发包人可在计划开始工作之日起84日后发出开始工作通知的特殊情形：</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E20E43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8.2 竣工日期</w:t>
      </w:r>
    </w:p>
    <w:p w14:paraId="398E710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竣工日期的约定：</w:t>
      </w:r>
      <w:r>
        <w:rPr>
          <w:rFonts w:hint="eastAsia" w:ascii="宋体" w:hAnsi="宋体" w:cs="宋体"/>
          <w:color w:val="auto"/>
          <w:sz w:val="21"/>
          <w:szCs w:val="21"/>
          <w:highlight w:val="none"/>
          <w:u w:val="single"/>
        </w:rPr>
        <w:t xml:space="preserve">  执行专用条款  </w:t>
      </w:r>
      <w:r>
        <w:rPr>
          <w:rFonts w:hint="eastAsia" w:ascii="宋体" w:hAnsi="宋体" w:cs="宋体"/>
          <w:color w:val="auto"/>
          <w:sz w:val="21"/>
          <w:szCs w:val="21"/>
          <w:highlight w:val="none"/>
        </w:rPr>
        <w:t>。</w:t>
      </w:r>
    </w:p>
    <w:p w14:paraId="6E2C2C0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8.3 </w:t>
      </w:r>
      <w:bookmarkStart w:id="2072" w:name="OLE_LINK27"/>
      <w:r>
        <w:rPr>
          <w:rFonts w:hint="eastAsia" w:ascii="宋体" w:hAnsi="宋体" w:cs="宋体"/>
          <w:color w:val="auto"/>
          <w:sz w:val="21"/>
          <w:szCs w:val="21"/>
          <w:highlight w:val="none"/>
        </w:rPr>
        <w:t>项目实施计划</w:t>
      </w:r>
      <w:bookmarkEnd w:id="2072"/>
    </w:p>
    <w:p w14:paraId="43B9064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8.3.1 项目实施计划的内容</w:t>
      </w:r>
    </w:p>
    <w:p w14:paraId="69350BC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项目实施计划的内容：</w:t>
      </w:r>
      <w:r>
        <w:rPr>
          <w:rFonts w:hint="eastAsia" w:ascii="宋体" w:hAnsi="宋体" w:cs="宋体"/>
          <w:color w:val="auto"/>
          <w:sz w:val="21"/>
          <w:szCs w:val="21"/>
          <w:highlight w:val="none"/>
          <w:u w:val="single"/>
        </w:rPr>
        <w:t xml:space="preserve">  详见施工组织设计 </w:t>
      </w:r>
      <w:r>
        <w:rPr>
          <w:rFonts w:hint="eastAsia" w:ascii="宋体" w:hAnsi="宋体" w:cs="宋体"/>
          <w:color w:val="auto"/>
          <w:sz w:val="21"/>
          <w:szCs w:val="21"/>
          <w:highlight w:val="none"/>
        </w:rPr>
        <w:t>。</w:t>
      </w:r>
    </w:p>
    <w:p w14:paraId="2A60530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8.3.2 项目实施计划的提交和修改</w:t>
      </w:r>
    </w:p>
    <w:p w14:paraId="14E6C76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项目实施计划的提交及修改期限：</w:t>
      </w:r>
      <w:r>
        <w:rPr>
          <w:rFonts w:hint="eastAsia" w:ascii="宋体" w:hAnsi="宋体" w:cs="宋体"/>
          <w:color w:val="auto"/>
          <w:sz w:val="21"/>
          <w:szCs w:val="21"/>
          <w:highlight w:val="none"/>
          <w:u w:val="single"/>
        </w:rPr>
        <w:t xml:space="preserve"> 开工后14天 </w:t>
      </w:r>
      <w:r>
        <w:rPr>
          <w:rFonts w:hint="eastAsia" w:ascii="宋体" w:hAnsi="宋体" w:cs="宋体"/>
          <w:color w:val="auto"/>
          <w:sz w:val="21"/>
          <w:szCs w:val="21"/>
          <w:highlight w:val="none"/>
        </w:rPr>
        <w:t>。</w:t>
      </w:r>
    </w:p>
    <w:p w14:paraId="36FFDF3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8.4 </w:t>
      </w:r>
      <w:bookmarkStart w:id="2073" w:name="OLE_LINK29"/>
      <w:r>
        <w:rPr>
          <w:rFonts w:hint="eastAsia" w:ascii="宋体" w:hAnsi="宋体" w:cs="宋体"/>
          <w:color w:val="auto"/>
          <w:sz w:val="21"/>
          <w:szCs w:val="21"/>
          <w:highlight w:val="none"/>
        </w:rPr>
        <w:t>项目进度计划</w:t>
      </w:r>
      <w:bookmarkEnd w:id="2073"/>
    </w:p>
    <w:p w14:paraId="06F3CA4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8.4.1 工程师在收到进度计划后确认或</w:t>
      </w:r>
      <w:bookmarkStart w:id="2074" w:name="OLE_LINK30"/>
      <w:r>
        <w:rPr>
          <w:rFonts w:hint="eastAsia" w:ascii="宋体" w:hAnsi="宋体" w:cs="宋体"/>
          <w:color w:val="auto"/>
          <w:sz w:val="21"/>
          <w:szCs w:val="21"/>
          <w:highlight w:val="none"/>
        </w:rPr>
        <w:t>提出修改意见</w:t>
      </w:r>
      <w:bookmarkEnd w:id="2074"/>
      <w:r>
        <w:rPr>
          <w:rFonts w:hint="eastAsia" w:ascii="宋体" w:hAnsi="宋体" w:cs="宋体"/>
          <w:color w:val="auto"/>
          <w:sz w:val="21"/>
          <w:szCs w:val="21"/>
          <w:highlight w:val="none"/>
        </w:rPr>
        <w:t>的期限：</w:t>
      </w:r>
      <w:r>
        <w:rPr>
          <w:rFonts w:hint="eastAsia" w:ascii="宋体" w:hAnsi="宋体" w:cs="宋体"/>
          <w:color w:val="auto"/>
          <w:sz w:val="21"/>
          <w:szCs w:val="21"/>
          <w:highlight w:val="none"/>
          <w:u w:val="single"/>
        </w:rPr>
        <w:t xml:space="preserve">  收到施工进度计划后七日内   </w:t>
      </w:r>
      <w:r>
        <w:rPr>
          <w:rFonts w:hint="eastAsia" w:ascii="宋体" w:hAnsi="宋体" w:cs="宋体"/>
          <w:color w:val="auto"/>
          <w:sz w:val="21"/>
          <w:szCs w:val="21"/>
          <w:highlight w:val="none"/>
        </w:rPr>
        <w:t>。</w:t>
      </w:r>
    </w:p>
    <w:p w14:paraId="156B647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8.4.2 进度计划的具体要求：</w:t>
      </w:r>
      <w:r>
        <w:rPr>
          <w:rFonts w:hint="eastAsia" w:ascii="宋体" w:hAnsi="宋体" w:cs="宋体"/>
          <w:color w:val="auto"/>
          <w:sz w:val="21"/>
          <w:szCs w:val="21"/>
          <w:highlight w:val="none"/>
          <w:u w:val="single"/>
        </w:rPr>
        <w:t xml:space="preserve">  开工后28天内报送  </w:t>
      </w:r>
      <w:r>
        <w:rPr>
          <w:rFonts w:hint="eastAsia" w:ascii="宋体" w:hAnsi="宋体" w:cs="宋体"/>
          <w:color w:val="auto"/>
          <w:sz w:val="21"/>
          <w:szCs w:val="21"/>
          <w:highlight w:val="none"/>
        </w:rPr>
        <w:t>。</w:t>
      </w:r>
    </w:p>
    <w:p w14:paraId="6E04DD6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关键路径及关键路径变化的确定原则：</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ECFB91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承包人提交项目进度计划的份数和时间：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 xml:space="preserve">份，开工后28天内提供 </w:t>
      </w:r>
      <w:r>
        <w:rPr>
          <w:rFonts w:hint="eastAsia" w:ascii="宋体" w:hAnsi="宋体" w:cs="宋体"/>
          <w:color w:val="auto"/>
          <w:sz w:val="21"/>
          <w:szCs w:val="21"/>
          <w:highlight w:val="none"/>
        </w:rPr>
        <w:t>。</w:t>
      </w:r>
    </w:p>
    <w:p w14:paraId="7E7CB44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8.4.3 进度计划的修订</w:t>
      </w:r>
    </w:p>
    <w:p w14:paraId="588B4E0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承包人提交修订项目进度计划申请报告的期限：</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份，</w:t>
      </w:r>
      <w:r>
        <w:rPr>
          <w:rFonts w:hint="eastAsia" w:ascii="宋体" w:hAnsi="宋体" w:cs="宋体"/>
          <w:color w:val="auto"/>
          <w:sz w:val="21"/>
          <w:szCs w:val="21"/>
          <w:highlight w:val="none"/>
          <w:u w:val="single"/>
        </w:rPr>
        <w:t>开工后7日提供</w:t>
      </w:r>
      <w:r>
        <w:rPr>
          <w:rFonts w:hint="eastAsia" w:ascii="宋体" w:hAnsi="宋体" w:cs="宋体"/>
          <w:color w:val="auto"/>
          <w:sz w:val="21"/>
          <w:szCs w:val="21"/>
          <w:highlight w:val="none"/>
        </w:rPr>
        <w:t>。</w:t>
      </w:r>
    </w:p>
    <w:p w14:paraId="6CE73E2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发包人批复修订项目进度计划申请报告的期限：</w:t>
      </w:r>
      <w:r>
        <w:rPr>
          <w:rFonts w:hint="eastAsia" w:ascii="宋体" w:hAnsi="宋体" w:cs="宋体"/>
          <w:color w:val="auto"/>
          <w:sz w:val="21"/>
          <w:szCs w:val="21"/>
          <w:highlight w:val="none"/>
          <w:u w:val="single"/>
        </w:rPr>
        <w:t>承包人提供修订项目进度计划7天内</w:t>
      </w:r>
      <w:r>
        <w:rPr>
          <w:rFonts w:hint="eastAsia" w:ascii="宋体" w:hAnsi="宋体" w:cs="宋体"/>
          <w:color w:val="auto"/>
          <w:sz w:val="21"/>
          <w:szCs w:val="21"/>
          <w:highlight w:val="none"/>
        </w:rPr>
        <w:t>。</w:t>
      </w:r>
    </w:p>
    <w:p w14:paraId="3215309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承包人答复发包人提出修订合同计划的期限：</w:t>
      </w:r>
      <w:r>
        <w:rPr>
          <w:rFonts w:hint="eastAsia" w:ascii="宋体" w:hAnsi="宋体" w:cs="宋体"/>
          <w:color w:val="auto"/>
          <w:sz w:val="21"/>
          <w:szCs w:val="21"/>
          <w:highlight w:val="none"/>
          <w:u w:val="single"/>
        </w:rPr>
        <w:t>收到施工进度修订计划后7天内</w:t>
      </w:r>
      <w:r>
        <w:rPr>
          <w:rFonts w:hint="eastAsia" w:ascii="宋体" w:hAnsi="宋体" w:cs="宋体"/>
          <w:color w:val="auto"/>
          <w:sz w:val="21"/>
          <w:szCs w:val="21"/>
          <w:highlight w:val="none"/>
        </w:rPr>
        <w:t>。</w:t>
      </w:r>
    </w:p>
    <w:p w14:paraId="741FB3B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8.5 进度报告</w:t>
      </w:r>
    </w:p>
    <w:p w14:paraId="6819016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进度报告的具体要求：</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794B48D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8.7 工期延误</w:t>
      </w:r>
    </w:p>
    <w:p w14:paraId="74DD04D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8.7.3 行政审批迟延</w:t>
      </w:r>
    </w:p>
    <w:p w14:paraId="551555F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行政审批报送的职责分工：</w:t>
      </w:r>
      <w:r>
        <w:rPr>
          <w:rFonts w:hint="eastAsia" w:ascii="宋体" w:hAnsi="宋体" w:cs="宋体"/>
          <w:color w:val="auto"/>
          <w:sz w:val="21"/>
          <w:szCs w:val="21"/>
          <w:highlight w:val="none"/>
          <w:u w:val="single"/>
        </w:rPr>
        <w:t xml:space="preserve"> </w:t>
      </w:r>
      <w:bookmarkStart w:id="2075" w:name="OLE_LINK32"/>
      <w:r>
        <w:rPr>
          <w:rFonts w:hint="eastAsia" w:ascii="宋体" w:hAnsi="宋体" w:cs="宋体"/>
          <w:color w:val="auto"/>
          <w:sz w:val="21"/>
          <w:szCs w:val="21"/>
          <w:highlight w:val="none"/>
          <w:u w:val="single"/>
        </w:rPr>
        <w:t>执行通用合同条款</w:t>
      </w:r>
      <w:bookmarkEnd w:id="2075"/>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46C104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8.7.4 异常恶劣的气候条件</w:t>
      </w:r>
    </w:p>
    <w:p w14:paraId="681EE48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双方约定视为异常恶劣的气候条件的情形：</w:t>
      </w:r>
    </w:p>
    <w:p w14:paraId="3F488CD8">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50年一遇及以上的风、雨、雪、洪水，且对工程进度造成实质性影响，同时需要提供政府气象部门的相关证明材料。由于异常恶劣气候的条件导致工期延误的，承包人有权要求发包人延长工期。</w:t>
      </w:r>
    </w:p>
    <w:p w14:paraId="7065AA4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8.8 工期提前</w:t>
      </w:r>
    </w:p>
    <w:p w14:paraId="270CA58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8.8.2 承包人提前竣工的奖励：</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42000E4">
      <w:pPr>
        <w:pStyle w:val="43"/>
        <w:snapToGrid/>
        <w:spacing w:after="0" w:afterLines="0"/>
        <w:rPr>
          <w:rFonts w:hint="eastAsia" w:cs="宋体"/>
          <w:b w:val="0"/>
          <w:bCs/>
          <w:color w:val="auto"/>
          <w:sz w:val="21"/>
          <w:szCs w:val="21"/>
          <w:highlight w:val="none"/>
        </w:rPr>
      </w:pPr>
      <w:bookmarkStart w:id="2076" w:name="_Toc4784272"/>
      <w:bookmarkEnd w:id="2076"/>
      <w:bookmarkStart w:id="2077" w:name="_Toc4784273"/>
      <w:bookmarkEnd w:id="2077"/>
      <w:bookmarkStart w:id="2078" w:name="_Toc3776"/>
      <w:bookmarkStart w:id="2079" w:name="_Toc921"/>
      <w:bookmarkStart w:id="2080" w:name="_Toc24014"/>
      <w:bookmarkStart w:id="2081" w:name="_Toc54862341"/>
      <w:r>
        <w:rPr>
          <w:rFonts w:hint="eastAsia" w:cs="宋体"/>
          <w:b w:val="0"/>
          <w:bCs/>
          <w:color w:val="auto"/>
          <w:sz w:val="21"/>
          <w:szCs w:val="21"/>
          <w:highlight w:val="none"/>
        </w:rPr>
        <w:t>第10条 验收和工程接收</w:t>
      </w:r>
      <w:bookmarkEnd w:id="2078"/>
      <w:bookmarkEnd w:id="2079"/>
      <w:bookmarkEnd w:id="2080"/>
      <w:bookmarkEnd w:id="2081"/>
    </w:p>
    <w:p w14:paraId="0203661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10.1 竣工验收</w:t>
      </w:r>
    </w:p>
    <w:p w14:paraId="7D82896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10.1.2 关于竣工验收程序的约定：</w:t>
      </w:r>
      <w:r>
        <w:rPr>
          <w:rFonts w:hint="eastAsia" w:ascii="宋体" w:hAnsi="宋体" w:cs="宋体"/>
          <w:color w:val="auto"/>
          <w:sz w:val="21"/>
          <w:szCs w:val="21"/>
          <w:highlight w:val="none"/>
          <w:u w:val="single"/>
        </w:rPr>
        <w:t xml:space="preserve"> （1）承包人向监理人报送竣工验收申请报告，监理人应在收到竣工验收申请报告后14天内完成审查并报送发包人。监理人审查后认为尚不具备验收条件的，应书面通知承包人在竣工验收前承包人还需完成的工作内容，承包人应在完成监理人通知的全部工作内容后，再次提交竣工验收申请报告。（2）监理人审查后认为已具备竣工验收条件的，应将竣工验收申请报告提交发包人，发包人应在收到经监理人审核的竣工验收申请报告后28天内审批完毕并组织发包人、监理人、承包人、设计人等相关单位完成竣工验收。（3）竣工验收合格的，发包人、应在验收合格后14天内向承包人签发工程接收证书。（4）竣工验收不合格的，监理人应按照验收意见发出指示，书面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5）工程未经验收或验收不合格，发包人、擅自使用的，应在转移占有工程后7天内向承包人颁发工程接收证书；发包人逾期不颁发工程接收证书的，自转移占有后第15天起视为已颁发工程接收证书 </w:t>
      </w:r>
      <w:r>
        <w:rPr>
          <w:rFonts w:hint="eastAsia" w:ascii="宋体" w:hAnsi="宋体" w:cs="宋体"/>
          <w:color w:val="auto"/>
          <w:sz w:val="21"/>
          <w:szCs w:val="21"/>
          <w:highlight w:val="none"/>
        </w:rPr>
        <w:t>。</w:t>
      </w:r>
    </w:p>
    <w:p w14:paraId="6FD67A9D">
      <w:pPr>
        <w:spacing w:line="360" w:lineRule="auto"/>
        <w:ind w:firstLine="600"/>
        <w:rPr>
          <w:rFonts w:hint="eastAsia" w:ascii="宋体" w:hAnsi="宋体" w:cs="宋体"/>
          <w:color w:val="auto"/>
          <w:sz w:val="21"/>
          <w:szCs w:val="21"/>
          <w:highlight w:val="none"/>
        </w:rPr>
      </w:pPr>
      <w:bookmarkStart w:id="2082" w:name="_Hlk46406260"/>
      <w:r>
        <w:rPr>
          <w:rFonts w:hint="eastAsia" w:ascii="宋体" w:hAnsi="宋体" w:cs="宋体"/>
          <w:color w:val="auto"/>
          <w:sz w:val="21"/>
          <w:szCs w:val="21"/>
          <w:highlight w:val="none"/>
        </w:rPr>
        <w:t>发包人不按照合同约定组织竣工验收、颁发工程接</w:t>
      </w:r>
      <w:r>
        <w:rPr>
          <w:rFonts w:hint="eastAsia" w:ascii="宋体" w:hAnsi="宋体" w:cs="宋体"/>
          <w:color w:val="auto"/>
          <w:sz w:val="21"/>
          <w:szCs w:val="21"/>
          <w:highlight w:val="none"/>
          <w:lang w:val="en-US" w:eastAsia="zh-CN"/>
        </w:rPr>
        <w:t>收</w:t>
      </w:r>
      <w:r>
        <w:rPr>
          <w:rFonts w:hint="eastAsia" w:ascii="宋体" w:hAnsi="宋体" w:cs="宋体"/>
          <w:color w:val="auto"/>
          <w:sz w:val="21"/>
          <w:szCs w:val="21"/>
          <w:highlight w:val="none"/>
        </w:rPr>
        <w:t>证书的违约金的计算方式：</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F8A996F">
      <w:pPr>
        <w:spacing w:line="360" w:lineRule="auto"/>
        <w:ind w:firstLine="6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本款新增</w:t>
      </w:r>
    </w:p>
    <w:p w14:paraId="6D096B53">
      <w:pPr>
        <w:spacing w:line="360" w:lineRule="auto"/>
        <w:ind w:firstLine="6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10.1.3竣工资料应满足国家及发包人有关档案验收的规定，所有资料均应有电子文档，竣工结算资料应满足国家要求，并随竣工资料一并提交。</w:t>
      </w:r>
    </w:p>
    <w:bookmarkEnd w:id="2082"/>
    <w:p w14:paraId="53AD68B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10.3</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工程的接收</w:t>
      </w:r>
    </w:p>
    <w:p w14:paraId="2E70826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10.3.1工程接收的先后顺序、时间安排和其他要求：</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2728930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10.3.2 接受工程时承包人需提交竣工验收资料的类别、内容、份数和提交时间：</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63636D6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10.3.3 发包人逾期接收工程的违约责任：</w:t>
      </w:r>
      <w:r>
        <w:rPr>
          <w:rFonts w:hint="eastAsia" w:ascii="宋体" w:hAnsi="宋体" w:cs="宋体"/>
          <w:color w:val="auto"/>
          <w:sz w:val="21"/>
          <w:szCs w:val="21"/>
          <w:highlight w:val="none"/>
          <w:u w:val="single"/>
        </w:rPr>
        <w:t xml:space="preserve"> 执行</w:t>
      </w:r>
      <w:r>
        <w:rPr>
          <w:rFonts w:hint="eastAsia" w:ascii="宋体" w:hAnsi="宋体" w:cs="宋体"/>
          <w:color w:val="auto"/>
          <w:sz w:val="21"/>
          <w:szCs w:val="21"/>
          <w:highlight w:val="none"/>
          <w:u w:val="single"/>
        </w:rPr>
        <w:t xml:space="preserve">通用合同条款 </w:t>
      </w:r>
      <w:r>
        <w:rPr>
          <w:rFonts w:hint="eastAsia" w:ascii="宋体" w:hAnsi="宋体" w:cs="宋体"/>
          <w:color w:val="auto"/>
          <w:sz w:val="21"/>
          <w:szCs w:val="21"/>
          <w:highlight w:val="none"/>
        </w:rPr>
        <w:t>。</w:t>
      </w:r>
    </w:p>
    <w:p w14:paraId="6E2E533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10.3.4 承包人无正当理由不移交工程的违约责任：</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5A96DCF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10.4 接收证书</w:t>
      </w:r>
    </w:p>
    <w:p w14:paraId="5D99E16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10.4.1 工程接收证书颁发时间：</w:t>
      </w:r>
      <w:r>
        <w:rPr>
          <w:rFonts w:hint="eastAsia" w:ascii="宋体" w:hAnsi="宋体" w:cs="宋体"/>
          <w:color w:val="auto"/>
          <w:sz w:val="21"/>
          <w:szCs w:val="21"/>
          <w:highlight w:val="none"/>
          <w:u w:val="single"/>
        </w:rPr>
        <w:t xml:space="preserve"> 竣工验收合格后7日内 </w:t>
      </w:r>
      <w:r>
        <w:rPr>
          <w:rFonts w:hint="eastAsia" w:ascii="宋体" w:hAnsi="宋体" w:cs="宋体"/>
          <w:color w:val="auto"/>
          <w:sz w:val="21"/>
          <w:szCs w:val="21"/>
          <w:highlight w:val="none"/>
        </w:rPr>
        <w:t>。</w:t>
      </w:r>
    </w:p>
    <w:p w14:paraId="201A20D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10.5 竣工退场</w:t>
      </w:r>
    </w:p>
    <w:p w14:paraId="4264CD3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10.5.1 竣工退场的相关约定：</w:t>
      </w:r>
      <w:r>
        <w:rPr>
          <w:rFonts w:hint="eastAsia" w:ascii="宋体" w:hAnsi="宋体" w:cs="宋体"/>
          <w:color w:val="auto"/>
          <w:sz w:val="21"/>
          <w:szCs w:val="21"/>
          <w:highlight w:val="none"/>
          <w:u w:val="single"/>
        </w:rPr>
        <w:t xml:space="preserve"> 工程移交后30日内 </w:t>
      </w:r>
      <w:r>
        <w:rPr>
          <w:rFonts w:hint="eastAsia" w:ascii="宋体" w:hAnsi="宋体" w:cs="宋体"/>
          <w:color w:val="auto"/>
          <w:sz w:val="21"/>
          <w:szCs w:val="21"/>
          <w:highlight w:val="none"/>
        </w:rPr>
        <w:t>。</w:t>
      </w:r>
    </w:p>
    <w:p w14:paraId="5A12798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10.5.3人员撤离</w:t>
      </w:r>
    </w:p>
    <w:p w14:paraId="33F2C3C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工程师同意需在缺陷责任期内继续工作和使用的人员、施工设备和临时工程的内容：</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210C497">
      <w:pPr>
        <w:pStyle w:val="43"/>
        <w:snapToGrid/>
        <w:spacing w:after="0" w:afterLines="0"/>
        <w:rPr>
          <w:rFonts w:hint="eastAsia" w:cs="宋体"/>
          <w:b w:val="0"/>
          <w:bCs/>
          <w:color w:val="auto"/>
          <w:sz w:val="21"/>
          <w:szCs w:val="21"/>
          <w:highlight w:val="none"/>
        </w:rPr>
      </w:pPr>
      <w:bookmarkStart w:id="2083" w:name="_Toc5441"/>
      <w:bookmarkStart w:id="2084" w:name="_Toc16150"/>
      <w:bookmarkStart w:id="2085" w:name="_Toc16074"/>
      <w:bookmarkStart w:id="2086" w:name="_Toc54862342"/>
      <w:r>
        <w:rPr>
          <w:rFonts w:hint="eastAsia" w:cs="宋体"/>
          <w:b w:val="0"/>
          <w:bCs/>
          <w:color w:val="auto"/>
          <w:sz w:val="21"/>
          <w:szCs w:val="21"/>
          <w:highlight w:val="none"/>
        </w:rPr>
        <w:t>第11条 缺陷责任与保修</w:t>
      </w:r>
      <w:bookmarkEnd w:id="2083"/>
      <w:bookmarkEnd w:id="2084"/>
      <w:bookmarkEnd w:id="2085"/>
      <w:bookmarkEnd w:id="2086"/>
    </w:p>
    <w:p w14:paraId="1E4F7CF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11.2 缺陷责任期</w:t>
      </w:r>
    </w:p>
    <w:p w14:paraId="07362D7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缺陷责任期的期限：</w:t>
      </w:r>
      <w:r>
        <w:rPr>
          <w:rFonts w:hint="eastAsia" w:ascii="宋体" w:hAnsi="宋体" w:cs="宋体"/>
          <w:color w:val="auto"/>
          <w:sz w:val="21"/>
          <w:szCs w:val="21"/>
          <w:highlight w:val="none"/>
          <w:u w:val="single"/>
        </w:rPr>
        <w:t xml:space="preserve">   12个月（竣工验收合格之日起）  </w:t>
      </w:r>
      <w:r>
        <w:rPr>
          <w:rFonts w:hint="eastAsia" w:ascii="宋体" w:hAnsi="宋体" w:cs="宋体"/>
          <w:color w:val="auto"/>
          <w:sz w:val="21"/>
          <w:szCs w:val="21"/>
          <w:highlight w:val="none"/>
        </w:rPr>
        <w:t>。</w:t>
      </w:r>
    </w:p>
    <w:p w14:paraId="192C048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 缺陷调查</w:t>
      </w:r>
    </w:p>
    <w:p w14:paraId="46D5682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11.3.4 修复通知</w:t>
      </w:r>
    </w:p>
    <w:p w14:paraId="163326D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承包人收到保修通知并到达工程现场的合理时间：</w:t>
      </w:r>
      <w:r>
        <w:rPr>
          <w:rFonts w:hint="eastAsia" w:ascii="宋体" w:hAnsi="宋体" w:cs="宋体"/>
          <w:color w:val="auto"/>
          <w:sz w:val="21"/>
          <w:szCs w:val="21"/>
          <w:highlight w:val="none"/>
          <w:u w:val="single"/>
        </w:rPr>
        <w:t xml:space="preserve"> 承包人收到书面通知后的5日内到达现场，并在约定的时间内安排维修人员到场维修，达到合格标准 </w:t>
      </w:r>
      <w:r>
        <w:rPr>
          <w:rFonts w:hint="eastAsia" w:ascii="宋体" w:hAnsi="宋体" w:cs="宋体"/>
          <w:color w:val="auto"/>
          <w:sz w:val="21"/>
          <w:szCs w:val="21"/>
          <w:highlight w:val="none"/>
        </w:rPr>
        <w:t>。</w:t>
      </w:r>
    </w:p>
    <w:p w14:paraId="45C7C6E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11.6 缺陷责任期终止证书</w:t>
      </w:r>
    </w:p>
    <w:p w14:paraId="276DFE0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承包人应于缺陷责任期届满后</w:t>
      </w:r>
      <w:r>
        <w:rPr>
          <w:rFonts w:hint="eastAsia" w:ascii="宋体" w:hAnsi="宋体" w:cs="宋体"/>
          <w:color w:val="auto"/>
          <w:sz w:val="21"/>
          <w:szCs w:val="21"/>
          <w:highlight w:val="none"/>
          <w:u w:val="single"/>
        </w:rPr>
        <w:t xml:space="preserve"> 28 </w:t>
      </w:r>
      <w:r>
        <w:rPr>
          <w:rFonts w:hint="eastAsia" w:ascii="宋体" w:hAnsi="宋体" w:cs="宋体"/>
          <w:color w:val="auto"/>
          <w:sz w:val="21"/>
          <w:szCs w:val="21"/>
          <w:highlight w:val="none"/>
        </w:rPr>
        <w:t>天内向发包人发出缺陷责任期届满通知，发包人应在收到缺陷责任期满通知后</w:t>
      </w:r>
      <w:r>
        <w:rPr>
          <w:rFonts w:hint="eastAsia" w:ascii="宋体" w:hAnsi="宋体" w:cs="宋体"/>
          <w:color w:val="auto"/>
          <w:sz w:val="21"/>
          <w:szCs w:val="21"/>
          <w:highlight w:val="none"/>
          <w:u w:val="single"/>
        </w:rPr>
        <w:t xml:space="preserve"> 7 </w:t>
      </w:r>
      <w:r>
        <w:rPr>
          <w:rFonts w:hint="eastAsia" w:ascii="宋体" w:hAnsi="宋体" w:cs="宋体"/>
          <w:color w:val="auto"/>
          <w:sz w:val="21"/>
          <w:szCs w:val="21"/>
          <w:highlight w:val="none"/>
        </w:rPr>
        <w:t>天内核实承包人是否履行缺陷修复义务，承包人未能履行缺陷修复义务的，发包人有权扣除相应金额的维修费用。发包人应在收到缺陷责任期届满通知后</w:t>
      </w:r>
      <w:r>
        <w:rPr>
          <w:rFonts w:hint="eastAsia" w:ascii="宋体" w:hAnsi="宋体" w:cs="宋体"/>
          <w:color w:val="auto"/>
          <w:sz w:val="21"/>
          <w:szCs w:val="21"/>
          <w:highlight w:val="none"/>
          <w:u w:val="single"/>
        </w:rPr>
        <w:t xml:space="preserve"> 14 </w:t>
      </w:r>
      <w:r>
        <w:rPr>
          <w:rFonts w:hint="eastAsia" w:ascii="宋体" w:hAnsi="宋体" w:cs="宋体"/>
          <w:color w:val="auto"/>
          <w:sz w:val="21"/>
          <w:szCs w:val="21"/>
          <w:highlight w:val="none"/>
        </w:rPr>
        <w:t>天内，向承包人颁发缺陷责任期终止证书。</w:t>
      </w:r>
    </w:p>
    <w:p w14:paraId="458151D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11.7 保修责任</w:t>
      </w:r>
    </w:p>
    <w:p w14:paraId="127D6DE2">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工程质量保修范围、期限和责任为：</w:t>
      </w:r>
      <w:r>
        <w:rPr>
          <w:rFonts w:hint="eastAsia" w:ascii="宋体" w:hAnsi="宋体" w:cs="宋体"/>
          <w:color w:val="auto"/>
          <w:sz w:val="21"/>
          <w:szCs w:val="21"/>
          <w:highlight w:val="none"/>
          <w:u w:val="single"/>
        </w:rPr>
        <w:t xml:space="preserve">详见工程质量保修书  </w:t>
      </w:r>
      <w:r>
        <w:rPr>
          <w:rFonts w:hint="eastAsia" w:ascii="宋体" w:hAnsi="宋体" w:cs="宋体"/>
          <w:color w:val="auto"/>
          <w:sz w:val="21"/>
          <w:szCs w:val="21"/>
          <w:highlight w:val="none"/>
        </w:rPr>
        <w:t>。</w:t>
      </w:r>
    </w:p>
    <w:p w14:paraId="55B4D834">
      <w:pPr>
        <w:pStyle w:val="43"/>
        <w:snapToGrid/>
        <w:spacing w:after="0" w:afterLines="0"/>
        <w:rPr>
          <w:rFonts w:hint="eastAsia" w:cs="宋体"/>
          <w:b w:val="0"/>
          <w:bCs/>
          <w:color w:val="auto"/>
          <w:sz w:val="21"/>
          <w:szCs w:val="21"/>
          <w:highlight w:val="none"/>
        </w:rPr>
      </w:pPr>
      <w:bookmarkStart w:id="2087" w:name="_Toc54862344"/>
      <w:bookmarkStart w:id="2088" w:name="_Toc19997"/>
      <w:bookmarkStart w:id="2089" w:name="_Toc22273"/>
      <w:bookmarkStart w:id="2090" w:name="_Toc26105"/>
      <w:r>
        <w:rPr>
          <w:rFonts w:hint="eastAsia" w:cs="宋体"/>
          <w:b w:val="0"/>
          <w:bCs/>
          <w:color w:val="auto"/>
          <w:sz w:val="21"/>
          <w:szCs w:val="21"/>
          <w:highlight w:val="none"/>
        </w:rPr>
        <w:t>第13条 变更与调整</w:t>
      </w:r>
      <w:bookmarkEnd w:id="2087"/>
      <w:bookmarkEnd w:id="2088"/>
      <w:bookmarkEnd w:id="2089"/>
      <w:bookmarkEnd w:id="2090"/>
    </w:p>
    <w:p w14:paraId="5838B07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13.2 承包人的合理化建议</w:t>
      </w:r>
    </w:p>
    <w:p w14:paraId="2BC1C6D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13.2.2 工程师应在收到承包人提交的合理化建议后</w:t>
      </w:r>
      <w:r>
        <w:rPr>
          <w:rFonts w:hint="eastAsia" w:ascii="宋体" w:hAnsi="宋体" w:cs="宋体"/>
          <w:color w:val="auto"/>
          <w:sz w:val="21"/>
          <w:szCs w:val="21"/>
          <w:highlight w:val="none"/>
          <w:u w:val="single"/>
        </w:rPr>
        <w:t xml:space="preserve">  7  </w:t>
      </w:r>
      <w:r>
        <w:rPr>
          <w:rFonts w:hint="eastAsia" w:ascii="宋体" w:hAnsi="宋体" w:cs="宋体"/>
          <w:color w:val="auto"/>
          <w:sz w:val="21"/>
          <w:szCs w:val="21"/>
          <w:highlight w:val="none"/>
        </w:rPr>
        <w:t>日内审查完毕并报送发包人，发现其中存在技术上的缺陷，应通知承包人修改。发包人应在收到工程师报送的合理化建议后</w:t>
      </w:r>
      <w:r>
        <w:rPr>
          <w:rFonts w:hint="eastAsia" w:ascii="宋体" w:hAnsi="宋体" w:cs="宋体"/>
          <w:color w:val="auto"/>
          <w:sz w:val="21"/>
          <w:szCs w:val="21"/>
          <w:highlight w:val="none"/>
          <w:u w:val="single"/>
        </w:rPr>
        <w:t xml:space="preserve">  7  </w:t>
      </w:r>
      <w:r>
        <w:rPr>
          <w:rFonts w:hint="eastAsia" w:ascii="宋体" w:hAnsi="宋体" w:cs="宋体"/>
          <w:color w:val="auto"/>
          <w:sz w:val="21"/>
          <w:szCs w:val="21"/>
          <w:highlight w:val="none"/>
        </w:rPr>
        <w:t>日内审批完毕。合理化建议经发包人批准的，工程师应及时发出变更指示，由此引起的合同价格调整按照</w:t>
      </w:r>
      <w:r>
        <w:rPr>
          <w:rFonts w:hint="eastAsia" w:ascii="宋体" w:hAnsi="宋体" w:cs="宋体"/>
          <w:color w:val="auto"/>
          <w:sz w:val="21"/>
          <w:szCs w:val="21"/>
          <w:highlight w:val="none"/>
          <w:u w:val="single"/>
        </w:rPr>
        <w:t xml:space="preserve">  项目所在地最新省定额及相关配套文件 </w:t>
      </w:r>
      <w:r>
        <w:rPr>
          <w:rFonts w:hint="eastAsia" w:ascii="宋体" w:hAnsi="宋体" w:cs="宋体"/>
          <w:color w:val="auto"/>
          <w:sz w:val="21"/>
          <w:szCs w:val="21"/>
          <w:highlight w:val="none"/>
        </w:rPr>
        <w:t>执行。发包人不同意变更的，工程师应书面通知承包人</w:t>
      </w:r>
    </w:p>
    <w:p w14:paraId="230419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13.2.3 承包人提出的合理化变更建议的利益分享约定：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A44539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13.3 变更程序</w:t>
      </w:r>
    </w:p>
    <w:p w14:paraId="064DA86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13.3.3 变更估价</w:t>
      </w:r>
    </w:p>
    <w:p w14:paraId="3FBD8AE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13.3.3.1 变更估价原则</w:t>
      </w:r>
    </w:p>
    <w:p w14:paraId="3A90F19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关于变更估价原则的约定：</w:t>
      </w:r>
      <w:r>
        <w:rPr>
          <w:rFonts w:hint="eastAsia" w:ascii="宋体" w:hAnsi="宋体" w:cs="宋体"/>
          <w:color w:val="auto"/>
          <w:sz w:val="21"/>
          <w:szCs w:val="21"/>
          <w:highlight w:val="none"/>
          <w:u w:val="single"/>
        </w:rPr>
        <w:t>按辽宁省最新《房屋建筑与装饰工程定额》、《通用安装工程定额》、《市政工程定额》、《园林绿化工程定额》、《绿色建筑工程定额》、《装配式建筑工程定额》及相关配套文件计价。材料价格首选工期同期营口市造价信息中的材料价格，营口市造价信息中未涉及的材料价格，参照</w:t>
      </w:r>
      <w:r>
        <w:rPr>
          <w:rFonts w:hint="eastAsia" w:ascii="宋体" w:hAnsi="宋体" w:cs="宋体"/>
          <w:color w:val="auto"/>
          <w:sz w:val="21"/>
          <w:szCs w:val="21"/>
          <w:highlight w:val="none"/>
          <w:u w:val="single"/>
          <w:lang w:val="en-US" w:eastAsia="zh-CN"/>
        </w:rPr>
        <w:t>营口市造价信息中的材料价格</w:t>
      </w:r>
      <w:r>
        <w:rPr>
          <w:rFonts w:hint="eastAsia" w:ascii="宋体" w:hAnsi="宋体" w:cs="宋体"/>
          <w:color w:val="auto"/>
          <w:sz w:val="21"/>
          <w:szCs w:val="21"/>
          <w:highlight w:val="none"/>
          <w:u w:val="single"/>
        </w:rPr>
        <w:t>。材料价格在营口市造价信息、</w:t>
      </w:r>
      <w:r>
        <w:rPr>
          <w:rFonts w:hint="eastAsia" w:ascii="宋体" w:hAnsi="宋体" w:cs="宋体"/>
          <w:color w:val="auto"/>
          <w:sz w:val="21"/>
          <w:szCs w:val="21"/>
          <w:highlight w:val="none"/>
          <w:u w:val="single"/>
          <w:lang w:eastAsia="zh-CN"/>
        </w:rPr>
        <w:t>营口市</w:t>
      </w:r>
      <w:r>
        <w:rPr>
          <w:rFonts w:hint="eastAsia" w:ascii="宋体" w:hAnsi="宋体" w:cs="宋体"/>
          <w:color w:val="auto"/>
          <w:sz w:val="21"/>
          <w:szCs w:val="21"/>
          <w:highlight w:val="none"/>
          <w:u w:val="single"/>
        </w:rPr>
        <w:t>造价信息中都没有的，由发</w:t>
      </w:r>
      <w:r>
        <w:rPr>
          <w:rFonts w:hint="eastAsia" w:ascii="宋体" w:hAnsi="宋体" w:cs="宋体"/>
          <w:color w:val="auto"/>
          <w:sz w:val="21"/>
          <w:szCs w:val="21"/>
          <w:highlight w:val="none"/>
          <w:u w:val="single"/>
        </w:rPr>
        <w:t>包方或监理单位会同承包方经市场调查、询价后，应在3个工作日内共同确定采购单价及品牌，并按投标报价原则在限额</w:t>
      </w:r>
      <w:r>
        <w:rPr>
          <w:rFonts w:hint="eastAsia" w:ascii="宋体" w:hAnsi="宋体" w:cs="宋体"/>
          <w:color w:val="auto"/>
          <w:sz w:val="21"/>
          <w:szCs w:val="21"/>
          <w:highlight w:val="none"/>
          <w:u w:val="single"/>
        </w:rPr>
        <w:t>总</w:t>
      </w:r>
      <w:r>
        <w:rPr>
          <w:rFonts w:hint="eastAsia" w:ascii="宋体" w:hAnsi="宋体" w:cs="宋体"/>
          <w:color w:val="auto"/>
          <w:sz w:val="21"/>
          <w:szCs w:val="21"/>
          <w:highlight w:val="none"/>
          <w:u w:val="single"/>
          <w:lang w:val="en-US" w:eastAsia="zh-CN"/>
        </w:rPr>
        <w:t>价</w:t>
      </w:r>
      <w:r>
        <w:rPr>
          <w:rFonts w:hint="eastAsia" w:ascii="宋体" w:hAnsi="宋体" w:cs="宋体"/>
          <w:color w:val="auto"/>
          <w:sz w:val="21"/>
          <w:szCs w:val="21"/>
          <w:highlight w:val="none"/>
          <w:u w:val="single"/>
        </w:rPr>
        <w:t>内</w:t>
      </w:r>
      <w:r>
        <w:rPr>
          <w:rFonts w:hint="eastAsia" w:ascii="宋体" w:hAnsi="宋体" w:cs="宋体"/>
          <w:color w:val="auto"/>
          <w:sz w:val="21"/>
          <w:szCs w:val="21"/>
          <w:highlight w:val="none"/>
          <w:u w:val="single"/>
        </w:rPr>
        <w:t xml:space="preserve">进行计费 </w:t>
      </w:r>
      <w:r>
        <w:rPr>
          <w:rFonts w:hint="eastAsia" w:ascii="宋体" w:hAnsi="宋体" w:cs="宋体"/>
          <w:color w:val="auto"/>
          <w:sz w:val="21"/>
          <w:szCs w:val="21"/>
          <w:highlight w:val="none"/>
        </w:rPr>
        <w:t>。</w:t>
      </w:r>
    </w:p>
    <w:p w14:paraId="428A1B0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13.4 暂估价</w:t>
      </w:r>
    </w:p>
    <w:p w14:paraId="5A00B6F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13.4.1 依法必须招标的暂估价项目</w:t>
      </w:r>
    </w:p>
    <w:p w14:paraId="446DC3D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承包人可以参与投标的暂估价项目范围：</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5EE310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承包人不得参与投标的暂估价项目范围：</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201F02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招投标程序及其他约定：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6B03D5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13.4.2 不属于依法必须招标的暂估价项目</w:t>
      </w:r>
    </w:p>
    <w:p w14:paraId="6E5EF7B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不属于依法必须招标的暂估价项目的协商及估价的约定：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013D8B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13.5 暂列金额</w:t>
      </w:r>
    </w:p>
    <w:p w14:paraId="42ED6C8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其他关于暂列金额使用的约定：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746C5E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13.8 市场价格波动引起的调整</w:t>
      </w:r>
    </w:p>
    <w:p w14:paraId="23978D6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13.8.2 关于是否采用《价格指数权重表》的约定：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2C071D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13.8.3 关于采用其他方式调整合同价款的约定：（1）</w:t>
      </w:r>
      <w:r>
        <w:rPr>
          <w:rFonts w:hint="eastAsia" w:ascii="宋体" w:hAnsi="宋体" w:cs="宋体"/>
          <w:color w:val="auto"/>
          <w:sz w:val="21"/>
          <w:szCs w:val="21"/>
          <w:highlight w:val="none"/>
          <w:u w:val="single"/>
        </w:rPr>
        <w:t>按辽宁省最新《房屋建筑与装饰工程定额》、《通用安装工程定额》、《市政工程定额》、《园林绿化工程定额》、《绿色建筑工程定额》、《装配式建筑工程定额》及相关配套文件计价。材料价格首选工期同期营口市造价信息中的材料价格，营口市造价信息中未涉及的材料价格，参照</w:t>
      </w:r>
      <w:r>
        <w:rPr>
          <w:rFonts w:hint="eastAsia" w:ascii="宋体" w:hAnsi="宋体" w:cs="宋体"/>
          <w:color w:val="auto"/>
          <w:sz w:val="21"/>
          <w:szCs w:val="21"/>
          <w:highlight w:val="none"/>
          <w:u w:val="single"/>
          <w:lang w:val="en-US" w:eastAsia="zh-CN"/>
        </w:rPr>
        <w:t>营口市造价信息中的材料价格</w:t>
      </w:r>
      <w:r>
        <w:rPr>
          <w:rFonts w:hint="eastAsia" w:ascii="宋体" w:hAnsi="宋体" w:cs="宋体"/>
          <w:color w:val="auto"/>
          <w:sz w:val="21"/>
          <w:szCs w:val="21"/>
          <w:highlight w:val="none"/>
          <w:u w:val="single"/>
        </w:rPr>
        <w:t>。材料价格在营口市造价信息、</w:t>
      </w:r>
      <w:r>
        <w:rPr>
          <w:rFonts w:hint="eastAsia" w:ascii="宋体" w:hAnsi="宋体" w:cs="宋体"/>
          <w:color w:val="auto"/>
          <w:sz w:val="21"/>
          <w:szCs w:val="21"/>
          <w:highlight w:val="none"/>
          <w:u w:val="single"/>
          <w:lang w:eastAsia="zh-CN"/>
        </w:rPr>
        <w:t>营口市</w:t>
      </w:r>
      <w:r>
        <w:rPr>
          <w:rFonts w:hint="eastAsia" w:ascii="宋体" w:hAnsi="宋体" w:cs="宋体"/>
          <w:color w:val="auto"/>
          <w:sz w:val="21"/>
          <w:szCs w:val="21"/>
          <w:highlight w:val="none"/>
          <w:u w:val="single"/>
        </w:rPr>
        <w:t>造价信息中都没有的，由发包方或监理单位会同承包方经市场调查、询价后，应在3个工作日内共同确定采购单价及品牌。</w:t>
      </w:r>
      <w:r>
        <w:rPr>
          <w:rFonts w:hint="eastAsia" w:ascii="宋体" w:hAnsi="宋体" w:cs="宋体"/>
          <w:bCs/>
          <w:color w:val="auto"/>
          <w:sz w:val="21"/>
          <w:szCs w:val="21"/>
          <w:highlight w:val="none"/>
          <w:u w:val="single"/>
        </w:rPr>
        <w:t>（2）施工机械台班单价或施工机械使用费发生</w:t>
      </w:r>
      <w:r>
        <w:rPr>
          <w:rFonts w:hint="eastAsia" w:ascii="宋体" w:hAnsi="宋体" w:cs="宋体"/>
          <w:bCs/>
          <w:color w:val="auto"/>
          <w:sz w:val="21"/>
          <w:szCs w:val="21"/>
          <w:highlight w:val="none"/>
          <w:u w:val="single"/>
        </w:rPr>
        <w:t>变化超过省级或行业建设主管部门或其授权的工程造价管理机构规定的范围时，按规定调整价格</w:t>
      </w:r>
      <w:r>
        <w:rPr>
          <w:rFonts w:hint="eastAsia" w:ascii="宋体" w:hAnsi="宋体" w:cs="宋体"/>
          <w:color w:val="auto"/>
          <w:sz w:val="21"/>
          <w:szCs w:val="21"/>
          <w:highlight w:val="none"/>
          <w:u w:val="single"/>
        </w:rPr>
        <w:t>，并按投标报价原则在限额</w:t>
      </w:r>
      <w:r>
        <w:rPr>
          <w:rFonts w:hint="eastAsia" w:ascii="宋体" w:hAnsi="宋体" w:cs="宋体"/>
          <w:color w:val="auto"/>
          <w:sz w:val="21"/>
          <w:szCs w:val="21"/>
          <w:highlight w:val="none"/>
          <w:u w:val="single"/>
        </w:rPr>
        <w:t>总</w:t>
      </w:r>
      <w:r>
        <w:rPr>
          <w:rFonts w:hint="eastAsia" w:ascii="宋体" w:hAnsi="宋体" w:cs="宋体"/>
          <w:color w:val="auto"/>
          <w:sz w:val="21"/>
          <w:szCs w:val="21"/>
          <w:highlight w:val="none"/>
          <w:u w:val="single"/>
          <w:lang w:val="en-US" w:eastAsia="zh-CN"/>
        </w:rPr>
        <w:t>价</w:t>
      </w:r>
      <w:r>
        <w:rPr>
          <w:rFonts w:hint="eastAsia" w:ascii="宋体" w:hAnsi="宋体" w:cs="宋体"/>
          <w:color w:val="auto"/>
          <w:sz w:val="21"/>
          <w:szCs w:val="21"/>
          <w:highlight w:val="none"/>
          <w:u w:val="single"/>
        </w:rPr>
        <w:t>内</w:t>
      </w:r>
      <w:r>
        <w:rPr>
          <w:rFonts w:hint="eastAsia" w:ascii="宋体" w:hAnsi="宋体" w:cs="宋体"/>
          <w:color w:val="auto"/>
          <w:sz w:val="21"/>
          <w:szCs w:val="21"/>
          <w:highlight w:val="none"/>
          <w:u w:val="single"/>
        </w:rPr>
        <w:t>进行计费</w:t>
      </w:r>
      <w:r>
        <w:rPr>
          <w:rFonts w:hint="eastAsia" w:ascii="宋体" w:hAnsi="宋体" w:cs="宋体"/>
          <w:color w:val="auto"/>
          <w:sz w:val="21"/>
          <w:szCs w:val="21"/>
          <w:highlight w:val="none"/>
        </w:rPr>
        <w:t>。</w:t>
      </w:r>
    </w:p>
    <w:p w14:paraId="5FD0D2D6">
      <w:pPr>
        <w:pStyle w:val="43"/>
        <w:snapToGrid/>
        <w:spacing w:after="0" w:afterLines="0"/>
        <w:rPr>
          <w:rFonts w:hint="eastAsia" w:cs="宋体"/>
          <w:b w:val="0"/>
          <w:bCs/>
          <w:color w:val="auto"/>
          <w:sz w:val="21"/>
          <w:szCs w:val="21"/>
          <w:highlight w:val="none"/>
        </w:rPr>
      </w:pPr>
      <w:bookmarkStart w:id="2091" w:name="_Toc28173"/>
      <w:bookmarkStart w:id="2092" w:name="_Toc23450"/>
      <w:bookmarkStart w:id="2093" w:name="_Toc54862345"/>
      <w:bookmarkStart w:id="2094" w:name="_Toc2101"/>
      <w:r>
        <w:rPr>
          <w:rFonts w:hint="eastAsia" w:cs="宋体"/>
          <w:b w:val="0"/>
          <w:bCs/>
          <w:color w:val="auto"/>
          <w:sz w:val="21"/>
          <w:szCs w:val="21"/>
          <w:highlight w:val="none"/>
        </w:rPr>
        <w:t>第14条 合同价格与支付</w:t>
      </w:r>
      <w:bookmarkEnd w:id="2091"/>
      <w:bookmarkEnd w:id="2092"/>
      <w:bookmarkEnd w:id="2093"/>
      <w:bookmarkEnd w:id="2094"/>
    </w:p>
    <w:p w14:paraId="2961A1A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14.1 合同价格形式</w:t>
      </w:r>
    </w:p>
    <w:p w14:paraId="4FE2963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14.1.1 关于合同价格形式的约定：</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1"/>
          <w:highlight w:val="none"/>
          <w:u w:val="single"/>
        </w:rPr>
        <w:t xml:space="preserve"> 按合同协议书约定计价方式执行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0CA0CF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14.1.2 关于合同价格调整的约定：</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1"/>
          <w:highlight w:val="none"/>
          <w:u w:val="single"/>
        </w:rPr>
        <w:t>按合同协议书约定计价方式执行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6A68AC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14.1.3 按实际完成的工程量支付工程价款的计量方法、估价方法：</w:t>
      </w:r>
      <w:r>
        <w:rPr>
          <w:rFonts w:hint="eastAsia" w:ascii="宋体" w:hAnsi="宋体" w:cs="宋体"/>
          <w:bCs/>
          <w:color w:val="auto"/>
          <w:sz w:val="21"/>
          <w:szCs w:val="21"/>
          <w:highlight w:val="none"/>
          <w:u w:val="single"/>
        </w:rPr>
        <w:t xml:space="preserve"> 按合同协议书约定计价,以现行最新定额据实结算 </w:t>
      </w:r>
      <w:r>
        <w:rPr>
          <w:rFonts w:hint="eastAsia" w:ascii="宋体" w:hAnsi="宋体" w:cs="宋体"/>
          <w:color w:val="auto"/>
          <w:sz w:val="21"/>
          <w:szCs w:val="21"/>
          <w:highlight w:val="none"/>
        </w:rPr>
        <w:t>。</w:t>
      </w:r>
    </w:p>
    <w:p w14:paraId="76F3DD1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14.2 预付款</w:t>
      </w:r>
    </w:p>
    <w:p w14:paraId="3EE7EB9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14.2.1 本条修改为工程预付款及设计费定金支付</w:t>
      </w:r>
    </w:p>
    <w:p w14:paraId="5192D702">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预付款及定金的金额或比例为：</w:t>
      </w:r>
      <w:r>
        <w:rPr>
          <w:rFonts w:hint="eastAsia" w:ascii="宋体" w:hAnsi="宋体" w:cs="宋体"/>
          <w:color w:val="auto"/>
          <w:sz w:val="21"/>
          <w:szCs w:val="21"/>
          <w:highlight w:val="none"/>
          <w:u w:val="single"/>
        </w:rPr>
        <w:t>设计费定金：为设计金额的10%；工程预付款：为签约合同价工程费的10 %。</w:t>
      </w:r>
    </w:p>
    <w:p w14:paraId="50A38C8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定金支付期限：</w:t>
      </w:r>
      <w:r>
        <w:rPr>
          <w:rFonts w:hint="eastAsia" w:ascii="宋体" w:hAnsi="宋体" w:cs="宋体"/>
          <w:color w:val="auto"/>
          <w:sz w:val="21"/>
          <w:szCs w:val="21"/>
          <w:highlight w:val="none"/>
          <w:u w:val="single"/>
        </w:rPr>
        <w:t>发包人应在合同签订后28天内将定金打入承包单位指定账户内。</w:t>
      </w:r>
    </w:p>
    <w:p w14:paraId="4757795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预付款支付期限：</w:t>
      </w:r>
      <w:r>
        <w:rPr>
          <w:rFonts w:hint="eastAsia" w:ascii="宋体" w:hAnsi="宋体" w:cs="宋体"/>
          <w:color w:val="auto"/>
          <w:sz w:val="21"/>
          <w:szCs w:val="21"/>
          <w:highlight w:val="none"/>
          <w:u w:val="single"/>
        </w:rPr>
        <w:t>发包人应在合同签订后28天内将预付款打入承包单位指定账户内。</w:t>
      </w:r>
    </w:p>
    <w:p w14:paraId="49634BB5">
      <w:pPr>
        <w:spacing w:line="360" w:lineRule="auto"/>
        <w:ind w:firstLine="6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预付款扣回的方式：</w:t>
      </w:r>
      <w:r>
        <w:rPr>
          <w:rFonts w:hint="eastAsia" w:ascii="宋体" w:hAnsi="宋体" w:cs="宋体"/>
          <w:color w:val="auto"/>
          <w:sz w:val="21"/>
          <w:szCs w:val="21"/>
          <w:highlight w:val="none"/>
          <w:u w:val="single"/>
        </w:rPr>
        <w:t>工程预付款在期中支付证书中的“当月实际完成工程款”累计金额达到签约合同价的50%之后开始扣回预付款，分3次在月实际完成工程款中按10%、50%、40%抵扣。</w:t>
      </w:r>
    </w:p>
    <w:p w14:paraId="12148A3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14.2.2预付款担保</w:t>
      </w:r>
    </w:p>
    <w:p w14:paraId="46E30D8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提供预付款担保期限：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暂定一年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88C919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预付款担保形式：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预付款保函</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6EF81B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14.3 工程进度款</w:t>
      </w:r>
    </w:p>
    <w:p w14:paraId="33BCFCE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14.3.1 工程进度付款申请</w:t>
      </w:r>
    </w:p>
    <w:p w14:paraId="4C00E1C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工程进度付款申请方式：</w:t>
      </w:r>
      <w:r>
        <w:rPr>
          <w:rFonts w:hint="eastAsia" w:ascii="宋体" w:hAnsi="宋体" w:cs="宋体"/>
          <w:bCs/>
          <w:color w:val="auto"/>
          <w:sz w:val="21"/>
          <w:szCs w:val="21"/>
          <w:highlight w:val="none"/>
          <w:u w:val="single"/>
        </w:rPr>
        <w:t xml:space="preserve"> （1）监理人应在收到承包人进度付款申请单以及相关资料后7天内完成审查并报送发包人。（2）发包人应在收到后7天内完成审批。（3）监理人及发包人应在收到承包人提交的进度付款申请单之日起14日内完成审查 </w:t>
      </w:r>
      <w:r>
        <w:rPr>
          <w:rFonts w:hint="eastAsia" w:ascii="宋体" w:hAnsi="宋体" w:cs="宋体"/>
          <w:color w:val="auto"/>
          <w:sz w:val="21"/>
          <w:szCs w:val="21"/>
          <w:highlight w:val="none"/>
        </w:rPr>
        <w:t>。</w:t>
      </w:r>
    </w:p>
    <w:p w14:paraId="654ADBF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承包人提交进度付款申请单的格式、内容、份数和时间：</w:t>
      </w:r>
      <w:r>
        <w:rPr>
          <w:rFonts w:hint="eastAsia" w:ascii="宋体" w:hAnsi="宋体" w:cs="宋体"/>
          <w:color w:val="auto"/>
          <w:sz w:val="21"/>
          <w:szCs w:val="21"/>
          <w:highlight w:val="none"/>
          <w:u w:val="single"/>
        </w:rPr>
        <w:t xml:space="preserve"> 按发包人要求 </w:t>
      </w:r>
      <w:r>
        <w:rPr>
          <w:rFonts w:hint="eastAsia" w:ascii="宋体" w:hAnsi="宋体" w:cs="宋体"/>
          <w:color w:val="auto"/>
          <w:sz w:val="21"/>
          <w:szCs w:val="21"/>
          <w:highlight w:val="none"/>
        </w:rPr>
        <w:t>。</w:t>
      </w:r>
    </w:p>
    <w:p w14:paraId="5E7294D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进度付款申请单应包括的内容：</w:t>
      </w:r>
      <w:r>
        <w:rPr>
          <w:rFonts w:hint="eastAsia" w:ascii="宋体" w:hAnsi="宋体" w:cs="宋体"/>
          <w:color w:val="auto"/>
          <w:sz w:val="21"/>
          <w:szCs w:val="21"/>
          <w:highlight w:val="none"/>
          <w:u w:val="single"/>
        </w:rPr>
        <w:t xml:space="preserve"> 按发包人要求 </w:t>
      </w:r>
      <w:r>
        <w:rPr>
          <w:rFonts w:hint="eastAsia" w:ascii="宋体" w:hAnsi="宋体" w:cs="宋体"/>
          <w:color w:val="auto"/>
          <w:sz w:val="21"/>
          <w:szCs w:val="21"/>
          <w:highlight w:val="none"/>
        </w:rPr>
        <w:t>。</w:t>
      </w:r>
    </w:p>
    <w:p w14:paraId="778BA38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14.3.2 进度付款审核和支付</w:t>
      </w:r>
    </w:p>
    <w:p w14:paraId="1F0CF30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进度付款的审核方式和支付的约定：</w:t>
      </w:r>
    </w:p>
    <w:p w14:paraId="6C5A931A">
      <w:pPr>
        <w:spacing w:line="360" w:lineRule="auto"/>
        <w:ind w:firstLine="6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 xml:space="preserve"> 设计费</w:t>
      </w:r>
      <w:r>
        <w:rPr>
          <w:rFonts w:hint="eastAsia" w:ascii="宋体" w:hAnsi="宋体" w:cs="宋体"/>
          <w:bCs/>
          <w:color w:val="auto"/>
          <w:sz w:val="21"/>
          <w:szCs w:val="21"/>
          <w:highlight w:val="none"/>
          <w:u w:val="single"/>
          <w:lang w:val="en-US" w:eastAsia="zh-CN"/>
        </w:rPr>
        <w:t>进度</w:t>
      </w:r>
      <w:r>
        <w:rPr>
          <w:rFonts w:hint="eastAsia" w:ascii="宋体" w:hAnsi="宋体" w:cs="宋体"/>
          <w:bCs/>
          <w:color w:val="auto"/>
          <w:sz w:val="21"/>
          <w:szCs w:val="21"/>
          <w:highlight w:val="none"/>
          <w:u w:val="single"/>
        </w:rPr>
        <w:t>支付：</w:t>
      </w:r>
      <w:r>
        <w:rPr>
          <w:rFonts w:hint="eastAsia" w:ascii="宋体" w:hAnsi="宋体" w:eastAsia="宋体" w:cs="宋体"/>
          <w:bCs/>
          <w:color w:val="auto"/>
          <w:sz w:val="21"/>
          <w:szCs w:val="21"/>
          <w:highlight w:val="none"/>
          <w:u w:val="single"/>
          <w:lang w:val="en-US" w:eastAsia="zh-CN"/>
        </w:rPr>
        <w:t>完成施工图设计，且施工图设计文件通过相关部门或招标人指定审查机构审查后，招标人在收到中标人提交的合格付款申请及对应金额合法发票后的 30 个工作日内，向中标人支付设计费总额的 40%</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施工图预算编制款：中标人完成施工图预算编制工作，并经招标人审核确认后，招标人在收到中标人提交的付款申请及对应金额合法发票后的30 个工作日内，向中标人支付设计费总额的30%。竣工验收款：项目完成竣工验收，验收合格后，招标人在收到中标人提交的付款申请及对应金额合法发票后的 30 个工作日内，向中标人支付设计费总额的 15%。配合结算移交款：中标人按要求完成配合结算工作，并将相关资料完整移交使用方后，招标人在收到中标人提交的付款申请及对应金额合法发票后的 30 个工作日内，向中标人支付设计费总额的 5%。</w:t>
      </w:r>
    </w:p>
    <w:p w14:paraId="3E95B56C">
      <w:pPr>
        <w:spacing w:line="360" w:lineRule="auto"/>
        <w:ind w:firstLine="6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u w:val="single"/>
        </w:rPr>
        <w:t>进度付款的审核方式和支付的约定：工程进度付款的审核方式和支付的约定：按发包人审核的承包人完成实际工程量月进度的8</w:t>
      </w:r>
      <w:r>
        <w:rPr>
          <w:rFonts w:hint="eastAsia" w:ascii="宋体" w:hAnsi="宋体" w:cs="宋体"/>
          <w:bCs/>
          <w:color w:val="auto"/>
          <w:sz w:val="21"/>
          <w:szCs w:val="21"/>
          <w:highlight w:val="none"/>
          <w:u w:val="single"/>
          <w:lang w:val="en-US" w:eastAsia="zh-CN"/>
        </w:rPr>
        <w:t>5</w:t>
      </w:r>
      <w:r>
        <w:rPr>
          <w:rFonts w:hint="eastAsia" w:ascii="宋体" w:hAnsi="宋体" w:cs="宋体"/>
          <w:bCs/>
          <w:color w:val="auto"/>
          <w:sz w:val="21"/>
          <w:szCs w:val="21"/>
          <w:highlight w:val="none"/>
          <w:u w:val="single"/>
        </w:rPr>
        <w:t>%支付、竣工验收合格后15日内支付到90%，竣工结算完成后15日内支付到竣工结算价的9</w:t>
      </w:r>
      <w:r>
        <w:rPr>
          <w:rFonts w:hint="eastAsia" w:ascii="宋体" w:hAnsi="宋体" w:cs="宋体"/>
          <w:bCs/>
          <w:color w:val="auto"/>
          <w:sz w:val="21"/>
          <w:szCs w:val="21"/>
          <w:highlight w:val="none"/>
          <w:u w:val="single"/>
          <w:lang w:val="en-US" w:eastAsia="zh-CN"/>
        </w:rPr>
        <w:t>5</w:t>
      </w:r>
      <w:r>
        <w:rPr>
          <w:rFonts w:hint="eastAsia" w:ascii="宋体" w:hAnsi="宋体" w:cs="宋体"/>
          <w:bCs/>
          <w:color w:val="auto"/>
          <w:sz w:val="21"/>
          <w:szCs w:val="21"/>
          <w:highlight w:val="none"/>
          <w:u w:val="single"/>
        </w:rPr>
        <w:t>%，</w:t>
      </w:r>
      <w:r>
        <w:rPr>
          <w:rFonts w:hint="eastAsia" w:ascii="宋体" w:hAnsi="宋体" w:eastAsia="宋体" w:cs="宋体"/>
          <w:color w:val="auto"/>
          <w:sz w:val="21"/>
          <w:szCs w:val="21"/>
          <w:highlight w:val="none"/>
          <w:lang w:val="en-US" w:eastAsia="zh-CN"/>
        </w:rPr>
        <w:t>扣除2%作为民工工资保证金，待竣工结算后且未发生劳资纠纷事件，30天内一次性予以返还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3%作为质保金</w:t>
      </w:r>
      <w:r>
        <w:rPr>
          <w:rFonts w:hint="eastAsia" w:ascii="宋体" w:hAnsi="宋体" w:eastAsia="宋体" w:cs="宋体"/>
          <w:color w:val="auto"/>
          <w:sz w:val="21"/>
          <w:szCs w:val="21"/>
          <w:highlight w:val="none"/>
          <w:lang w:val="en-US" w:eastAsia="zh-CN"/>
        </w:rPr>
        <w:t>待缺陷责任期结束后30天内返还</w:t>
      </w:r>
      <w:r>
        <w:rPr>
          <w:rFonts w:hint="eastAsia" w:ascii="宋体" w:hAnsi="宋体" w:eastAsia="宋体" w:cs="宋体"/>
          <w:color w:val="auto"/>
          <w:sz w:val="21"/>
          <w:szCs w:val="21"/>
          <w:highlight w:val="none"/>
        </w:rPr>
        <w:t>。</w:t>
      </w:r>
    </w:p>
    <w:p w14:paraId="7C3A219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发包人应在进度款支付证书或临时进度款支付证书签发后的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天内完成支付，发包人逾期支付进度款的，应按照</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1"/>
          <w:highlight w:val="none"/>
          <w:u w:val="single"/>
        </w:rPr>
        <w:t>LPR（市场贷款报价利率）的2倍支付逾期利息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支付违约金。发包人逾期支付超过60天，承包人有权停工。</w:t>
      </w:r>
    </w:p>
    <w:p w14:paraId="20C5C51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14.4 付款计划表</w:t>
      </w:r>
    </w:p>
    <w:p w14:paraId="54E4E9F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14.4.1 付款计划表的编制要求：</w:t>
      </w:r>
      <w:r>
        <w:rPr>
          <w:rFonts w:hint="eastAsia" w:ascii="宋体" w:hAnsi="宋体" w:cs="宋体"/>
          <w:color w:val="auto"/>
          <w:sz w:val="21"/>
          <w:szCs w:val="21"/>
          <w:highlight w:val="none"/>
          <w:u w:val="single"/>
        </w:rPr>
        <w:t xml:space="preserve"> 按发包人要求  </w:t>
      </w:r>
      <w:r>
        <w:rPr>
          <w:rFonts w:hint="eastAsia" w:ascii="宋体" w:hAnsi="宋体" w:cs="宋体"/>
          <w:color w:val="auto"/>
          <w:sz w:val="21"/>
          <w:szCs w:val="21"/>
          <w:highlight w:val="none"/>
        </w:rPr>
        <w:t>。</w:t>
      </w:r>
    </w:p>
    <w:p w14:paraId="539EF62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14.4.2 付款计划表的编制与审批</w:t>
      </w:r>
    </w:p>
    <w:p w14:paraId="7AD4A01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付款计划表的编制：</w:t>
      </w:r>
      <w:r>
        <w:rPr>
          <w:rFonts w:hint="eastAsia" w:ascii="宋体" w:hAnsi="宋体" w:cs="宋体"/>
          <w:color w:val="auto"/>
          <w:sz w:val="21"/>
          <w:szCs w:val="21"/>
          <w:highlight w:val="none"/>
          <w:u w:val="single"/>
        </w:rPr>
        <w:t xml:space="preserve">  按发包人要求  </w:t>
      </w:r>
      <w:r>
        <w:rPr>
          <w:rFonts w:hint="eastAsia" w:ascii="宋体" w:hAnsi="宋体" w:cs="宋体"/>
          <w:color w:val="auto"/>
          <w:sz w:val="21"/>
          <w:szCs w:val="21"/>
          <w:highlight w:val="none"/>
        </w:rPr>
        <w:t>。</w:t>
      </w:r>
    </w:p>
    <w:p w14:paraId="69A967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14.5 竣工结算</w:t>
      </w:r>
    </w:p>
    <w:p w14:paraId="4FF0AFA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14.5.1 竣工结算申请</w:t>
      </w:r>
    </w:p>
    <w:p w14:paraId="5CF3BC7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承包人提交竣工结算申请的时间：</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140713E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竣工结算申请的资料清单和份数：</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22E9A33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竣工结算申请单的内容应包括：</w:t>
      </w:r>
      <w:r>
        <w:rPr>
          <w:rFonts w:hint="eastAsia" w:ascii="宋体" w:hAnsi="宋体" w:cs="宋体"/>
          <w:color w:val="auto"/>
          <w:sz w:val="21"/>
          <w:szCs w:val="21"/>
          <w:highlight w:val="none"/>
          <w:u w:val="single"/>
        </w:rPr>
        <w:t xml:space="preserve"> （1）竣工结算合同价格；（2）发包人已支付承包人的款项；（3）应扣留的质量保证金；（4）发包人应支付承包人的合同价款 </w:t>
      </w:r>
      <w:r>
        <w:rPr>
          <w:rFonts w:hint="eastAsia" w:ascii="宋体" w:hAnsi="宋体" w:cs="宋体"/>
          <w:color w:val="auto"/>
          <w:sz w:val="21"/>
          <w:szCs w:val="21"/>
          <w:highlight w:val="none"/>
        </w:rPr>
        <w:t>。</w:t>
      </w:r>
    </w:p>
    <w:p w14:paraId="6657FA2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14.5.2 竣工结算审核</w:t>
      </w:r>
    </w:p>
    <w:p w14:paraId="56DEE67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发包人审批竣工付款申请单的期限：</w:t>
      </w:r>
      <w:r>
        <w:rPr>
          <w:rFonts w:hint="eastAsia" w:ascii="宋体" w:hAnsi="宋体" w:cs="宋体"/>
          <w:color w:val="auto"/>
          <w:sz w:val="21"/>
          <w:szCs w:val="21"/>
          <w:highlight w:val="none"/>
          <w:u w:val="single"/>
        </w:rPr>
        <w:t xml:space="preserve"> 监理人应在收到竣工结算申请单后14天内完成核查并报送发包人。发包人应在收到监理人提交的经审核的竣工结算申请单后14天内完成审批。监理人或发包人对竣工结算申请单有异议的，应在14日内书面一次性要求承包人进行修正和提供补充资料，承包人应提交修正后的竣工结算申请单；若逾期未向发包人书面通知提供修正和补充资料的，视为无异议。竣工结算审核期限按本条执行 </w:t>
      </w:r>
      <w:r>
        <w:rPr>
          <w:rFonts w:hint="eastAsia" w:ascii="宋体" w:hAnsi="宋体" w:cs="宋体"/>
          <w:color w:val="auto"/>
          <w:sz w:val="21"/>
          <w:szCs w:val="21"/>
          <w:highlight w:val="none"/>
        </w:rPr>
        <w:t>。</w:t>
      </w:r>
    </w:p>
    <w:p w14:paraId="5752220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发包人完成竣工付款的期限：</w:t>
      </w:r>
      <w:r>
        <w:rPr>
          <w:rFonts w:hint="eastAsia" w:ascii="宋体" w:hAnsi="宋体" w:cs="宋体"/>
          <w:color w:val="auto"/>
          <w:sz w:val="21"/>
          <w:szCs w:val="21"/>
          <w:highlight w:val="none"/>
          <w:u w:val="single"/>
        </w:rPr>
        <w:t xml:space="preserve"> 发包人完成竣工付款申请单审批后14日内 </w:t>
      </w:r>
      <w:r>
        <w:rPr>
          <w:rFonts w:hint="eastAsia" w:ascii="宋体" w:hAnsi="宋体" w:cs="宋体"/>
          <w:color w:val="auto"/>
          <w:sz w:val="21"/>
          <w:szCs w:val="21"/>
          <w:highlight w:val="none"/>
        </w:rPr>
        <w:t>。</w:t>
      </w:r>
    </w:p>
    <w:p w14:paraId="0714F58E">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关于竣工付款证书异议部分复核的方式和程序：</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5FE110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14.6 质量保证金</w:t>
      </w:r>
    </w:p>
    <w:p w14:paraId="61D41EA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14.6.1 承包人提供质量保证金的方式</w:t>
      </w:r>
    </w:p>
    <w:p w14:paraId="2BD2552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质量保证金采用以下第</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种方式：</w:t>
      </w:r>
    </w:p>
    <w:p w14:paraId="779E038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工程质量保证担保，保证金额为：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DCC012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%的工程款；</w:t>
      </w:r>
    </w:p>
    <w:p w14:paraId="55F90D9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(3) 其他方式：</w:t>
      </w:r>
      <w:r>
        <w:rPr>
          <w:rFonts w:hint="eastAsia" w:ascii="宋体" w:hAnsi="宋体" w:cs="宋体"/>
          <w:color w:val="auto"/>
          <w:sz w:val="21"/>
          <w:szCs w:val="21"/>
          <w:highlight w:val="none"/>
          <w:u w:val="single"/>
        </w:rPr>
        <w:t xml:space="preserve"> 工程款3%质保金由乙方提供等额质量保函替换 </w:t>
      </w:r>
      <w:r>
        <w:rPr>
          <w:rFonts w:hint="eastAsia" w:ascii="宋体" w:hAnsi="宋体" w:cs="宋体"/>
          <w:color w:val="auto"/>
          <w:sz w:val="21"/>
          <w:szCs w:val="21"/>
          <w:highlight w:val="none"/>
        </w:rPr>
        <w:t>。</w:t>
      </w:r>
    </w:p>
    <w:p w14:paraId="7557B67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14.6.2 质量保证金的预留</w:t>
      </w:r>
    </w:p>
    <w:p w14:paraId="43FCA68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质量保证金的预留采取以下第</w:t>
      </w:r>
      <w:r>
        <w:rPr>
          <w:rFonts w:hint="eastAsia" w:ascii="宋体" w:hAnsi="宋体" w:cs="宋体"/>
          <w:color w:val="auto"/>
          <w:sz w:val="21"/>
          <w:szCs w:val="21"/>
          <w:highlight w:val="none"/>
          <w:u w:val="single"/>
        </w:rPr>
        <w:t xml:space="preserve"> (1)  </w:t>
      </w:r>
      <w:r>
        <w:rPr>
          <w:rFonts w:hint="eastAsia" w:ascii="宋体" w:hAnsi="宋体" w:cs="宋体"/>
          <w:color w:val="auto"/>
          <w:sz w:val="21"/>
          <w:szCs w:val="21"/>
          <w:highlight w:val="none"/>
        </w:rPr>
        <w:t>种方式：</w:t>
      </w:r>
    </w:p>
    <w:p w14:paraId="70235F5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 在支付工程进度款时逐次预留的质量保证金的比例：</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，在此情形下，质量保证金的计算基数不包括预付款的支付、扣回以及价格调整的金额；</w:t>
      </w:r>
    </w:p>
    <w:p w14:paraId="0EF040C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 工程竣工结算时一次性预留专用合同条件第14.6.1项第(2)目约定的工程款预留比例的质量保证金；</w:t>
      </w:r>
    </w:p>
    <w:p w14:paraId="6606324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 其他预留方式: </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1E88DC6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关于质量保证金的补充约定：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760744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14.7 最终结清</w:t>
      </w:r>
    </w:p>
    <w:p w14:paraId="31DEAC4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14.7.1 最终结清申请单</w:t>
      </w:r>
    </w:p>
    <w:p w14:paraId="166790D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当事人双方关于最终结清申请的其他约定：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39FDD5B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14.7.2 最终结清证书和支付</w:t>
      </w:r>
    </w:p>
    <w:p w14:paraId="0F20CF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当事人双方关于最终结清支付的其他约定：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1C2819DB">
      <w:pPr>
        <w:pStyle w:val="43"/>
        <w:snapToGrid/>
        <w:spacing w:after="0" w:afterLines="0"/>
        <w:rPr>
          <w:rFonts w:hint="eastAsia" w:cs="宋体"/>
          <w:b w:val="0"/>
          <w:bCs/>
          <w:color w:val="auto"/>
          <w:sz w:val="21"/>
          <w:szCs w:val="21"/>
          <w:highlight w:val="none"/>
        </w:rPr>
      </w:pPr>
      <w:bookmarkStart w:id="2095" w:name="_Toc27758"/>
      <w:bookmarkStart w:id="2096" w:name="_Toc2251"/>
      <w:bookmarkStart w:id="2097" w:name="_Toc8102"/>
      <w:bookmarkStart w:id="2098" w:name="_Toc54862346"/>
      <w:r>
        <w:rPr>
          <w:rFonts w:hint="eastAsia" w:cs="宋体"/>
          <w:b w:val="0"/>
          <w:bCs/>
          <w:color w:val="auto"/>
          <w:sz w:val="21"/>
          <w:szCs w:val="21"/>
          <w:highlight w:val="none"/>
        </w:rPr>
        <w:t>第15条 违约</w:t>
      </w:r>
      <w:bookmarkEnd w:id="2095"/>
      <w:bookmarkEnd w:id="2096"/>
      <w:bookmarkEnd w:id="2097"/>
      <w:bookmarkEnd w:id="2098"/>
    </w:p>
    <w:p w14:paraId="1966E7D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15.1 发包人违约</w:t>
      </w:r>
    </w:p>
    <w:p w14:paraId="430C077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15.1.1 发包人违约的情形</w:t>
      </w:r>
    </w:p>
    <w:p w14:paraId="43C4901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发包人违约的其他情形</w:t>
      </w:r>
      <w:r>
        <w:rPr>
          <w:rFonts w:hint="eastAsia" w:ascii="宋体" w:hAnsi="宋体" w:cs="宋体"/>
          <w:color w:val="auto"/>
          <w:sz w:val="21"/>
          <w:szCs w:val="21"/>
          <w:highlight w:val="none"/>
          <w:u w:val="single"/>
        </w:rPr>
        <w:t xml:space="preserve"> (1)发包人未履行本合同约定的内容;(2)发包人工程款逾期支付 </w:t>
      </w:r>
      <w:r>
        <w:rPr>
          <w:rFonts w:hint="eastAsia" w:ascii="宋体" w:hAnsi="宋体" w:cs="宋体"/>
          <w:color w:val="auto"/>
          <w:sz w:val="21"/>
          <w:szCs w:val="21"/>
          <w:highlight w:val="none"/>
        </w:rPr>
        <w:t>。</w:t>
      </w:r>
    </w:p>
    <w:p w14:paraId="08A09F1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15.1.3 发包人违约的责任</w:t>
      </w:r>
    </w:p>
    <w:p w14:paraId="3F798D5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发包人违约责任的承担方式和计算方法：</w:t>
      </w:r>
      <w:r>
        <w:rPr>
          <w:rFonts w:hint="eastAsia" w:ascii="宋体" w:hAnsi="宋体" w:cs="宋体"/>
          <w:color w:val="auto"/>
          <w:sz w:val="21"/>
          <w:szCs w:val="21"/>
          <w:highlight w:val="none"/>
          <w:u w:val="single"/>
        </w:rPr>
        <w:t xml:space="preserve">发包人逾期支付工程款的，应按照 </w:t>
      </w:r>
      <w:r>
        <w:rPr>
          <w:rFonts w:hint="eastAsia" w:ascii="宋体" w:hAnsi="宋体" w:cs="宋体"/>
          <w:bCs/>
          <w:color w:val="auto"/>
          <w:sz w:val="21"/>
          <w:szCs w:val="21"/>
          <w:highlight w:val="none"/>
          <w:u w:val="single"/>
        </w:rPr>
        <w:t>LPR（市场贷款报价利率）的2倍支付逾期利息</w:t>
      </w:r>
      <w:r>
        <w:rPr>
          <w:rFonts w:hint="eastAsia" w:ascii="宋体" w:hAnsi="宋体" w:cs="宋体"/>
          <w:color w:val="auto"/>
          <w:sz w:val="21"/>
          <w:szCs w:val="21"/>
          <w:highlight w:val="none"/>
          <w:u w:val="single"/>
        </w:rPr>
        <w:t>支付违约金。发包人逾期支付超过60天，承包人有权停工。</w:t>
      </w:r>
    </w:p>
    <w:p w14:paraId="58F2B28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15.2 承包人违约</w:t>
      </w:r>
    </w:p>
    <w:p w14:paraId="721AD19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15.2.1 承包人违约的情形</w:t>
      </w:r>
    </w:p>
    <w:p w14:paraId="0CB749C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15.2.1.</w:t>
      </w:r>
      <w:r>
        <w:rPr>
          <w:rFonts w:hint="eastAsia" w:ascii="宋体" w:hAnsi="宋体" w:cs="宋体"/>
          <w:color w:val="auto"/>
          <w:sz w:val="21"/>
          <w:szCs w:val="21"/>
          <w:highlight w:val="none"/>
          <w:lang w:val="en-US" w:eastAsia="zh-CN"/>
        </w:rPr>
        <w:t>1施工方</w:t>
      </w:r>
      <w:r>
        <w:rPr>
          <w:rFonts w:hint="eastAsia" w:ascii="宋体" w:hAnsi="宋体" w:cs="宋体"/>
          <w:color w:val="auto"/>
          <w:sz w:val="21"/>
          <w:szCs w:val="21"/>
          <w:highlight w:val="none"/>
        </w:rPr>
        <w:t>违约的其他情形：</w:t>
      </w:r>
    </w:p>
    <w:p w14:paraId="0361079B">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一、工期延误违约责任​</w:t>
      </w:r>
    </w:p>
    <w:p w14:paraId="54203EE4">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工期延误界定</w:t>
      </w:r>
      <w:r>
        <w:rPr>
          <w:rFonts w:hint="eastAsia" w:ascii="宋体" w:hAnsi="宋体" w:eastAsia="宋体" w:cs="宋体"/>
          <w:i w:val="0"/>
          <w:iCs w:val="0"/>
          <w:caps w:val="0"/>
          <w:color w:val="auto"/>
          <w:spacing w:val="0"/>
          <w:sz w:val="21"/>
          <w:szCs w:val="21"/>
          <w:highlight w:val="none"/>
          <w:shd w:val="clear" w:color="auto" w:fill="auto"/>
        </w:rPr>
        <w:t>：除因不可抗力、经发包方书面同意的工期顺延情形外，承包方未能按照合同约定的竣工日期或经发包方批准顺延的工期完成工程施工，视为工期延误。​</w:t>
      </w:r>
    </w:p>
    <w:p w14:paraId="7EB1164D">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工期延误罚款</w:t>
      </w:r>
      <w:r>
        <w:rPr>
          <w:rFonts w:hint="eastAsia" w:ascii="宋体" w:hAnsi="宋体" w:eastAsia="宋体" w:cs="宋体"/>
          <w:i w:val="0"/>
          <w:iCs w:val="0"/>
          <w:caps w:val="0"/>
          <w:color w:val="auto"/>
          <w:spacing w:val="0"/>
          <w:sz w:val="21"/>
          <w:szCs w:val="21"/>
          <w:highlight w:val="none"/>
          <w:shd w:val="clear" w:color="auto" w:fill="auto"/>
        </w:rPr>
        <w:t>：​</w:t>
      </w:r>
    </w:p>
    <w:p w14:paraId="4FE6E4AF">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auto"/>
        </w:rPr>
        <w:t>工期延误在10日以内（含10日），承包方应按合同总价的</w:t>
      </w:r>
      <w:r>
        <w:rPr>
          <w:rFonts w:hint="eastAsia" w:ascii="宋体" w:hAnsi="宋体" w:eastAsia="宋体" w:cs="宋体"/>
          <w:b w:val="0"/>
          <w:bCs w:val="0"/>
          <w:i w:val="0"/>
          <w:iCs w:val="0"/>
          <w:caps w:val="0"/>
          <w:color w:val="auto"/>
          <w:spacing w:val="0"/>
          <w:sz w:val="21"/>
          <w:szCs w:val="21"/>
          <w:highlight w:val="none"/>
          <w:shd w:val="clear" w:color="auto" w:fill="auto"/>
        </w:rPr>
        <w:t>0.1%</w:t>
      </w:r>
      <w:r>
        <w:rPr>
          <w:rFonts w:hint="eastAsia" w:ascii="宋体" w:hAnsi="宋体" w:eastAsia="宋体" w:cs="宋体"/>
          <w:i w:val="0"/>
          <w:iCs w:val="0"/>
          <w:caps w:val="0"/>
          <w:color w:val="auto"/>
          <w:spacing w:val="0"/>
          <w:sz w:val="21"/>
          <w:szCs w:val="21"/>
          <w:highlight w:val="none"/>
          <w:shd w:val="clear" w:color="auto" w:fill="auto"/>
        </w:rPr>
        <w:t xml:space="preserve"> 向发包方支付违约金；</w:t>
      </w:r>
    </w:p>
    <w:p w14:paraId="454840D7">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auto"/>
        </w:rPr>
        <w:t>工期延误超过10日但不超过30日，超出部分按合同总价每日</w:t>
      </w:r>
      <w:r>
        <w:rPr>
          <w:rFonts w:hint="eastAsia" w:ascii="宋体" w:hAnsi="宋体" w:eastAsia="宋体" w:cs="宋体"/>
          <w:b w:val="0"/>
          <w:bCs w:val="0"/>
          <w:i w:val="0"/>
          <w:iCs w:val="0"/>
          <w:caps w:val="0"/>
          <w:color w:val="auto"/>
          <w:spacing w:val="0"/>
          <w:sz w:val="21"/>
          <w:szCs w:val="21"/>
          <w:highlight w:val="none"/>
          <w:shd w:val="clear" w:color="auto" w:fill="auto"/>
        </w:rPr>
        <w:t>0.05%</w:t>
      </w:r>
      <w:r>
        <w:rPr>
          <w:rFonts w:hint="eastAsia" w:ascii="宋体" w:hAnsi="宋体" w:eastAsia="宋体" w:cs="宋体"/>
          <w:i w:val="0"/>
          <w:iCs w:val="0"/>
          <w:caps w:val="0"/>
          <w:color w:val="auto"/>
          <w:spacing w:val="0"/>
          <w:sz w:val="21"/>
          <w:szCs w:val="21"/>
          <w:highlight w:val="none"/>
          <w:shd w:val="clear" w:color="auto" w:fill="auto"/>
        </w:rPr>
        <w:t xml:space="preserve"> 累计计算违约金；</w:t>
      </w:r>
    </w:p>
    <w:p w14:paraId="1D695009">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auto"/>
        </w:rPr>
        <w:t>工期延误超过30日，发包方有权解除合同，承包方除需按上述标准支付已延误工期的违约金外，还应向发包方支付合同总价</w:t>
      </w:r>
      <w:r>
        <w:rPr>
          <w:rFonts w:hint="eastAsia" w:ascii="宋体" w:hAnsi="宋体" w:eastAsia="宋体" w:cs="宋体"/>
          <w:b w:val="0"/>
          <w:bCs w:val="0"/>
          <w:i w:val="0"/>
          <w:iCs w:val="0"/>
          <w:caps w:val="0"/>
          <w:color w:val="auto"/>
          <w:spacing w:val="0"/>
          <w:sz w:val="21"/>
          <w:szCs w:val="21"/>
          <w:highlight w:val="none"/>
          <w:shd w:val="clear" w:color="auto" w:fill="auto"/>
        </w:rPr>
        <w:t>5%</w:t>
      </w:r>
      <w:r>
        <w:rPr>
          <w:rFonts w:hint="eastAsia" w:ascii="宋体" w:hAnsi="宋体" w:eastAsia="宋体" w:cs="宋体"/>
          <w:i w:val="0"/>
          <w:iCs w:val="0"/>
          <w:caps w:val="0"/>
          <w:color w:val="auto"/>
          <w:spacing w:val="0"/>
          <w:sz w:val="21"/>
          <w:szCs w:val="21"/>
          <w:highlight w:val="none"/>
          <w:shd w:val="clear" w:color="auto" w:fill="auto"/>
        </w:rPr>
        <w:t xml:space="preserve"> 的违约金，并承担发包方因重新招标、工期延误导致的一切损失。</w:t>
      </w:r>
    </w:p>
    <w:p w14:paraId="71982737">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二、工程质量违约责任​</w:t>
      </w:r>
    </w:p>
    <w:p w14:paraId="1F2D5F0A">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质量不达标处理</w:t>
      </w:r>
      <w:r>
        <w:rPr>
          <w:rFonts w:hint="eastAsia" w:ascii="宋体" w:hAnsi="宋体" w:eastAsia="宋体" w:cs="宋体"/>
          <w:i w:val="0"/>
          <w:iCs w:val="0"/>
          <w:caps w:val="0"/>
          <w:color w:val="auto"/>
          <w:spacing w:val="0"/>
          <w:sz w:val="21"/>
          <w:szCs w:val="21"/>
          <w:highlight w:val="none"/>
          <w:shd w:val="clear" w:color="auto" w:fill="auto"/>
        </w:rPr>
        <w:t>：若工程质量不符合合同约定标准、国家及行业相关规范要求，承包方应负责无偿返工、修复直至达到合格标准。由此造成的工期延误，按上述工期延误条款承担违约责任。​</w:t>
      </w:r>
    </w:p>
    <w:p w14:paraId="0545D9B9">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质量缺陷赔偿</w:t>
      </w:r>
      <w:r>
        <w:rPr>
          <w:rFonts w:hint="eastAsia" w:ascii="宋体" w:hAnsi="宋体" w:eastAsia="宋体" w:cs="宋体"/>
          <w:i w:val="0"/>
          <w:iCs w:val="0"/>
          <w:caps w:val="0"/>
          <w:color w:val="auto"/>
          <w:spacing w:val="0"/>
          <w:sz w:val="21"/>
          <w:szCs w:val="21"/>
          <w:highlight w:val="none"/>
          <w:shd w:val="clear" w:color="auto" w:fill="auto"/>
        </w:rPr>
        <w:t>：工程交付使用后，如因承包方施工质量问题出现质量缺陷，承包方应在接到发包方通知后24小时内响应，并及时进行维修。因质量缺陷给发包方或第三方造成人身、财产损失的，承包方应承担全部赔偿责任，同时按质量缺陷修复费用的</w:t>
      </w:r>
      <w:r>
        <w:rPr>
          <w:rFonts w:hint="eastAsia" w:ascii="宋体" w:hAnsi="宋体" w:eastAsia="宋体" w:cs="宋体"/>
          <w:b w:val="0"/>
          <w:bCs w:val="0"/>
          <w:i w:val="0"/>
          <w:iCs w:val="0"/>
          <w:caps w:val="0"/>
          <w:color w:val="auto"/>
          <w:spacing w:val="0"/>
          <w:sz w:val="21"/>
          <w:szCs w:val="21"/>
          <w:highlight w:val="none"/>
          <w:shd w:val="clear" w:color="auto" w:fill="auto"/>
        </w:rPr>
        <w:t>150%</w:t>
      </w:r>
      <w:r>
        <w:rPr>
          <w:rFonts w:hint="eastAsia" w:ascii="宋体" w:hAnsi="宋体" w:eastAsia="宋体" w:cs="宋体"/>
          <w:i w:val="0"/>
          <w:iCs w:val="0"/>
          <w:caps w:val="0"/>
          <w:color w:val="auto"/>
          <w:spacing w:val="0"/>
          <w:sz w:val="21"/>
          <w:szCs w:val="21"/>
          <w:highlight w:val="none"/>
          <w:shd w:val="clear" w:color="auto" w:fill="auto"/>
        </w:rPr>
        <w:t xml:space="preserve"> 向发包方支付违约金。​</w:t>
      </w:r>
    </w:p>
    <w:p w14:paraId="79B6716E">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重大质量事故责任</w:t>
      </w:r>
      <w:r>
        <w:rPr>
          <w:rFonts w:hint="eastAsia" w:ascii="宋体" w:hAnsi="宋体" w:eastAsia="宋体" w:cs="宋体"/>
          <w:i w:val="0"/>
          <w:iCs w:val="0"/>
          <w:caps w:val="0"/>
          <w:color w:val="auto"/>
          <w:spacing w:val="0"/>
          <w:sz w:val="21"/>
          <w:szCs w:val="21"/>
          <w:highlight w:val="none"/>
          <w:shd w:val="clear" w:color="auto" w:fill="auto"/>
        </w:rPr>
        <w:t>：若发生重大质量事故（如主体结构安全问题等），承包方应立即停工整改，承担全部修复费用及相关法律责任。除赔偿发包方实际损失外，承包方还需向发包方支付合同总价</w:t>
      </w:r>
      <w:r>
        <w:rPr>
          <w:rFonts w:hint="eastAsia" w:ascii="宋体" w:hAnsi="宋体" w:eastAsia="宋体" w:cs="宋体"/>
          <w:b w:val="0"/>
          <w:bCs w:val="0"/>
          <w:i w:val="0"/>
          <w:iCs w:val="0"/>
          <w:caps w:val="0"/>
          <w:color w:val="auto"/>
          <w:spacing w:val="0"/>
          <w:sz w:val="21"/>
          <w:szCs w:val="21"/>
          <w:highlight w:val="none"/>
          <w:shd w:val="clear" w:color="auto" w:fill="auto"/>
        </w:rPr>
        <w:t>10%</w:t>
      </w:r>
      <w:r>
        <w:rPr>
          <w:rFonts w:hint="eastAsia" w:ascii="宋体" w:hAnsi="宋体" w:eastAsia="宋体" w:cs="宋体"/>
          <w:i w:val="0"/>
          <w:iCs w:val="0"/>
          <w:caps w:val="0"/>
          <w:color w:val="auto"/>
          <w:spacing w:val="0"/>
          <w:sz w:val="21"/>
          <w:szCs w:val="21"/>
          <w:highlight w:val="none"/>
          <w:shd w:val="clear" w:color="auto" w:fill="auto"/>
        </w:rPr>
        <w:t xml:space="preserve"> 的违约金，发包方有权解除合同。​</w:t>
      </w:r>
    </w:p>
    <w:p w14:paraId="4B684AF1">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三、安全文明施工违约责任​</w:t>
      </w:r>
    </w:p>
    <w:p w14:paraId="52C2E310">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安全违规处罚</w:t>
      </w:r>
      <w:r>
        <w:rPr>
          <w:rFonts w:hint="eastAsia" w:ascii="宋体" w:hAnsi="宋体" w:eastAsia="宋体" w:cs="宋体"/>
          <w:i w:val="0"/>
          <w:iCs w:val="0"/>
          <w:caps w:val="0"/>
          <w:color w:val="auto"/>
          <w:spacing w:val="0"/>
          <w:sz w:val="21"/>
          <w:szCs w:val="21"/>
          <w:highlight w:val="none"/>
          <w:shd w:val="clear" w:color="auto" w:fill="auto"/>
        </w:rPr>
        <w:t>：承包方未按合同约定或相关安全规范要求采取安全防护措施，每发现一次违规行为，承包方应向发包方支付</w:t>
      </w:r>
      <w:r>
        <w:rPr>
          <w:rFonts w:hint="eastAsia" w:ascii="宋体" w:hAnsi="宋体" w:eastAsia="宋体" w:cs="宋体"/>
          <w:b w:val="0"/>
          <w:bCs w:val="0"/>
          <w:i w:val="0"/>
          <w:iCs w:val="0"/>
          <w:caps w:val="0"/>
          <w:color w:val="auto"/>
          <w:spacing w:val="0"/>
          <w:sz w:val="21"/>
          <w:szCs w:val="21"/>
          <w:highlight w:val="none"/>
          <w:shd w:val="clear" w:color="auto" w:fill="auto"/>
        </w:rPr>
        <w:t>2000- 5000元</w:t>
      </w:r>
      <w:r>
        <w:rPr>
          <w:rFonts w:hint="eastAsia" w:ascii="宋体" w:hAnsi="宋体" w:eastAsia="宋体" w:cs="宋体"/>
          <w:i w:val="0"/>
          <w:iCs w:val="0"/>
          <w:caps w:val="0"/>
          <w:color w:val="auto"/>
          <w:spacing w:val="0"/>
          <w:sz w:val="21"/>
          <w:szCs w:val="21"/>
          <w:highlight w:val="none"/>
          <w:shd w:val="clear" w:color="auto" w:fill="auto"/>
        </w:rPr>
        <w:t xml:space="preserve">违约金；若因安全违规行为导致安全事故，承包方应承担全部事故责任及损失，按事故直接经济损失的 </w:t>
      </w:r>
      <w:r>
        <w:rPr>
          <w:rFonts w:hint="eastAsia" w:ascii="宋体" w:hAnsi="宋体" w:eastAsia="宋体" w:cs="宋体"/>
          <w:b w:val="0"/>
          <w:bCs w:val="0"/>
          <w:i w:val="0"/>
          <w:iCs w:val="0"/>
          <w:caps w:val="0"/>
          <w:color w:val="auto"/>
          <w:spacing w:val="0"/>
          <w:sz w:val="21"/>
          <w:szCs w:val="21"/>
          <w:highlight w:val="none"/>
          <w:shd w:val="clear" w:color="auto" w:fill="auto"/>
        </w:rPr>
        <w:t>120%</w:t>
      </w:r>
      <w:r>
        <w:rPr>
          <w:rFonts w:hint="eastAsia" w:ascii="宋体" w:hAnsi="宋体" w:eastAsia="宋体" w:cs="宋体"/>
          <w:i w:val="0"/>
          <w:iCs w:val="0"/>
          <w:caps w:val="0"/>
          <w:color w:val="auto"/>
          <w:spacing w:val="0"/>
          <w:sz w:val="21"/>
          <w:szCs w:val="21"/>
          <w:highlight w:val="none"/>
          <w:shd w:val="clear" w:color="auto" w:fill="auto"/>
        </w:rPr>
        <w:t xml:space="preserve"> 向发包方支付违约金，并承担相应法律责任。​</w:t>
      </w:r>
    </w:p>
    <w:p w14:paraId="79882A97">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文明施工不达标处理</w:t>
      </w:r>
      <w:r>
        <w:rPr>
          <w:rFonts w:hint="eastAsia" w:ascii="宋体" w:hAnsi="宋体" w:eastAsia="宋体" w:cs="宋体"/>
          <w:i w:val="0"/>
          <w:iCs w:val="0"/>
          <w:caps w:val="0"/>
          <w:color w:val="auto"/>
          <w:spacing w:val="0"/>
          <w:sz w:val="21"/>
          <w:szCs w:val="21"/>
          <w:highlight w:val="none"/>
          <w:shd w:val="clear" w:color="auto" w:fill="auto"/>
        </w:rPr>
        <w:t>：施工现场文明施工不符合要求（如扬尘污染未有效控制、材料堆放混乱等），经发包方书面通知后未及时整改，每次承包方应向发包方支付</w:t>
      </w:r>
      <w:r>
        <w:rPr>
          <w:rFonts w:hint="eastAsia" w:ascii="宋体" w:hAnsi="宋体" w:eastAsia="宋体" w:cs="宋体"/>
          <w:b w:val="0"/>
          <w:bCs w:val="0"/>
          <w:i w:val="0"/>
          <w:iCs w:val="0"/>
          <w:caps w:val="0"/>
          <w:color w:val="auto"/>
          <w:spacing w:val="0"/>
          <w:sz w:val="21"/>
          <w:szCs w:val="21"/>
          <w:highlight w:val="none"/>
          <w:shd w:val="clear" w:color="auto" w:fill="auto"/>
        </w:rPr>
        <w:t>1000- 3000元</w:t>
      </w:r>
      <w:r>
        <w:rPr>
          <w:rFonts w:hint="eastAsia" w:ascii="宋体" w:hAnsi="宋体" w:eastAsia="宋体" w:cs="宋体"/>
          <w:i w:val="0"/>
          <w:iCs w:val="0"/>
          <w:caps w:val="0"/>
          <w:color w:val="auto"/>
          <w:spacing w:val="0"/>
          <w:sz w:val="21"/>
          <w:szCs w:val="21"/>
          <w:highlight w:val="none"/>
          <w:shd w:val="clear" w:color="auto" w:fill="auto"/>
        </w:rPr>
        <w:t xml:space="preserve">违约金；累计三次不达标，发包方有权委托第三方进行整改，费用由承包方承担，同时承包方需向发包方支付整改费用 </w:t>
      </w:r>
      <w:r>
        <w:rPr>
          <w:rFonts w:hint="eastAsia" w:ascii="宋体" w:hAnsi="宋体" w:eastAsia="宋体" w:cs="宋体"/>
          <w:b w:val="0"/>
          <w:bCs w:val="0"/>
          <w:i w:val="0"/>
          <w:iCs w:val="0"/>
          <w:caps w:val="0"/>
          <w:color w:val="auto"/>
          <w:spacing w:val="0"/>
          <w:sz w:val="21"/>
          <w:szCs w:val="21"/>
          <w:highlight w:val="none"/>
          <w:shd w:val="clear" w:color="auto" w:fill="auto"/>
        </w:rPr>
        <w:t>150%</w:t>
      </w:r>
      <w:r>
        <w:rPr>
          <w:rFonts w:hint="eastAsia" w:ascii="宋体" w:hAnsi="宋体" w:eastAsia="宋体" w:cs="宋体"/>
          <w:i w:val="0"/>
          <w:iCs w:val="0"/>
          <w:caps w:val="0"/>
          <w:color w:val="auto"/>
          <w:spacing w:val="0"/>
          <w:sz w:val="21"/>
          <w:szCs w:val="21"/>
          <w:highlight w:val="none"/>
          <w:shd w:val="clear" w:color="auto" w:fill="auto"/>
        </w:rPr>
        <w:t xml:space="preserve"> 的违约金。​</w:t>
      </w:r>
    </w:p>
    <w:p w14:paraId="7BB48073">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四、材料设备供应违约责任​</w:t>
      </w:r>
    </w:p>
    <w:p w14:paraId="1A838A9D">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材料设备质量问题</w:t>
      </w:r>
      <w:r>
        <w:rPr>
          <w:rFonts w:hint="eastAsia" w:ascii="宋体" w:hAnsi="宋体" w:eastAsia="宋体" w:cs="宋体"/>
          <w:i w:val="0"/>
          <w:iCs w:val="0"/>
          <w:caps w:val="0"/>
          <w:color w:val="auto"/>
          <w:spacing w:val="0"/>
          <w:sz w:val="21"/>
          <w:szCs w:val="21"/>
          <w:highlight w:val="none"/>
          <w:shd w:val="clear" w:color="auto" w:fill="auto"/>
        </w:rPr>
        <w:t>：承包方供应的材料设备不符合合同约定的质量标准或国家相关规范要求，应立即退场并更换合格产品。因此造成的工期延误、费用增加，由承包方承担全部责任，同时按该批次材料设备价款的</w:t>
      </w:r>
      <w:r>
        <w:rPr>
          <w:rFonts w:hint="eastAsia" w:ascii="宋体" w:hAnsi="宋体" w:eastAsia="宋体" w:cs="宋体"/>
          <w:b w:val="0"/>
          <w:bCs w:val="0"/>
          <w:i w:val="0"/>
          <w:iCs w:val="0"/>
          <w:caps w:val="0"/>
          <w:color w:val="auto"/>
          <w:spacing w:val="0"/>
          <w:sz w:val="21"/>
          <w:szCs w:val="21"/>
          <w:highlight w:val="none"/>
          <w:shd w:val="clear" w:color="auto" w:fill="auto"/>
        </w:rPr>
        <w:t>30%</w:t>
      </w:r>
      <w:r>
        <w:rPr>
          <w:rFonts w:hint="eastAsia" w:ascii="宋体" w:hAnsi="宋体" w:eastAsia="宋体" w:cs="宋体"/>
          <w:i w:val="0"/>
          <w:iCs w:val="0"/>
          <w:caps w:val="0"/>
          <w:color w:val="auto"/>
          <w:spacing w:val="0"/>
          <w:sz w:val="21"/>
          <w:szCs w:val="21"/>
          <w:highlight w:val="none"/>
          <w:shd w:val="clear" w:color="auto" w:fill="auto"/>
        </w:rPr>
        <w:t>向发包方支付违约金。​</w:t>
      </w:r>
    </w:p>
    <w:p w14:paraId="70437EB3">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五、合同履约其他违约责任​</w:t>
      </w:r>
    </w:p>
    <w:p w14:paraId="6B058314">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擅自转包、违法分包</w:t>
      </w:r>
      <w:r>
        <w:rPr>
          <w:rFonts w:hint="eastAsia" w:ascii="宋体" w:hAnsi="宋体" w:eastAsia="宋体" w:cs="宋体"/>
          <w:i w:val="0"/>
          <w:iCs w:val="0"/>
          <w:caps w:val="0"/>
          <w:color w:val="auto"/>
          <w:spacing w:val="0"/>
          <w:sz w:val="21"/>
          <w:szCs w:val="21"/>
          <w:highlight w:val="none"/>
          <w:shd w:val="clear" w:color="auto" w:fill="auto"/>
        </w:rPr>
        <w:t>：承包方未经发包方书面同意擅自转包或违法分包工程，发包方有权立即解除合同，承包方应向发包方支付合同总价</w:t>
      </w:r>
      <w:r>
        <w:rPr>
          <w:rFonts w:hint="eastAsia" w:ascii="宋体" w:hAnsi="宋体" w:eastAsia="宋体" w:cs="宋体"/>
          <w:b w:val="0"/>
          <w:bCs w:val="0"/>
          <w:i w:val="0"/>
          <w:iCs w:val="0"/>
          <w:caps w:val="0"/>
          <w:color w:val="auto"/>
          <w:spacing w:val="0"/>
          <w:sz w:val="21"/>
          <w:szCs w:val="21"/>
          <w:highlight w:val="none"/>
          <w:shd w:val="clear" w:color="auto" w:fill="auto"/>
        </w:rPr>
        <w:t>10%</w:t>
      </w:r>
      <w:r>
        <w:rPr>
          <w:rFonts w:hint="eastAsia" w:ascii="宋体" w:hAnsi="宋体" w:eastAsia="宋体" w:cs="宋体"/>
          <w:i w:val="0"/>
          <w:iCs w:val="0"/>
          <w:caps w:val="0"/>
          <w:color w:val="auto"/>
          <w:spacing w:val="0"/>
          <w:sz w:val="21"/>
          <w:szCs w:val="21"/>
          <w:highlight w:val="none"/>
          <w:shd w:val="clear" w:color="auto" w:fill="auto"/>
        </w:rPr>
        <w:t>的违约金，并承担因此给发包方造成的全部损失。​</w:t>
      </w:r>
    </w:p>
    <w:p w14:paraId="305AFDDB">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人员、设备投入不足</w:t>
      </w:r>
      <w:r>
        <w:rPr>
          <w:rFonts w:hint="eastAsia" w:ascii="宋体" w:hAnsi="宋体" w:eastAsia="宋体" w:cs="宋体"/>
          <w:i w:val="0"/>
          <w:iCs w:val="0"/>
          <w:caps w:val="0"/>
          <w:color w:val="auto"/>
          <w:spacing w:val="0"/>
          <w:sz w:val="21"/>
          <w:szCs w:val="21"/>
          <w:highlight w:val="none"/>
          <w:shd w:val="clear" w:color="auto" w:fill="auto"/>
        </w:rPr>
        <w:t>：承包方投入的施工人员、机械设备数量、规格等不符合投标文件或合同约定，影响工程施工进度和质量，经发包方书面通知后未在规定时间内补足，每逾期一日，承包方应按合同总价</w:t>
      </w:r>
      <w:r>
        <w:rPr>
          <w:rFonts w:hint="eastAsia" w:ascii="宋体" w:hAnsi="宋体" w:eastAsia="宋体" w:cs="宋体"/>
          <w:b w:val="0"/>
          <w:bCs w:val="0"/>
          <w:i w:val="0"/>
          <w:iCs w:val="0"/>
          <w:caps w:val="0"/>
          <w:color w:val="auto"/>
          <w:spacing w:val="0"/>
          <w:sz w:val="21"/>
          <w:szCs w:val="21"/>
          <w:highlight w:val="none"/>
          <w:shd w:val="clear" w:color="auto" w:fill="auto"/>
        </w:rPr>
        <w:t>0.03%</w:t>
      </w:r>
      <w:r>
        <w:rPr>
          <w:rFonts w:hint="eastAsia" w:ascii="宋体" w:hAnsi="宋体" w:eastAsia="宋体" w:cs="宋体"/>
          <w:i w:val="0"/>
          <w:iCs w:val="0"/>
          <w:caps w:val="0"/>
          <w:color w:val="auto"/>
          <w:spacing w:val="0"/>
          <w:sz w:val="21"/>
          <w:szCs w:val="21"/>
          <w:highlight w:val="none"/>
          <w:shd w:val="clear" w:color="auto" w:fill="auto"/>
        </w:rPr>
        <w:t xml:space="preserve"> 向发包方支付违约金；若因此导致工期延误或工程质量问题，还应按相应条款承担违约责任。​</w:t>
      </w:r>
    </w:p>
    <w:p w14:paraId="7F179211">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资料提交延误</w:t>
      </w:r>
      <w:r>
        <w:rPr>
          <w:rFonts w:hint="eastAsia" w:ascii="宋体" w:hAnsi="宋体" w:eastAsia="宋体" w:cs="宋体"/>
          <w:i w:val="0"/>
          <w:iCs w:val="0"/>
          <w:caps w:val="0"/>
          <w:color w:val="auto"/>
          <w:spacing w:val="0"/>
          <w:sz w:val="21"/>
          <w:szCs w:val="21"/>
          <w:highlight w:val="none"/>
          <w:shd w:val="clear" w:color="auto" w:fill="auto"/>
        </w:rPr>
        <w:t>：承包方未按合同约定及时提交工程资料（如施工图纸、验收资料等），每延误一日，应向发包方支付</w:t>
      </w:r>
      <w:r>
        <w:rPr>
          <w:rFonts w:hint="eastAsia" w:ascii="宋体" w:hAnsi="宋体" w:eastAsia="宋体" w:cs="宋体"/>
          <w:b w:val="0"/>
          <w:bCs w:val="0"/>
          <w:i w:val="0"/>
          <w:iCs w:val="0"/>
          <w:caps w:val="0"/>
          <w:color w:val="auto"/>
          <w:spacing w:val="0"/>
          <w:sz w:val="21"/>
          <w:szCs w:val="21"/>
          <w:highlight w:val="none"/>
          <w:shd w:val="clear" w:color="auto" w:fill="auto"/>
        </w:rPr>
        <w:t>500-1000元</w:t>
      </w:r>
      <w:r>
        <w:rPr>
          <w:rFonts w:hint="eastAsia" w:ascii="宋体" w:hAnsi="宋体" w:eastAsia="宋体" w:cs="宋体"/>
          <w:i w:val="0"/>
          <w:iCs w:val="0"/>
          <w:caps w:val="0"/>
          <w:color w:val="auto"/>
          <w:spacing w:val="0"/>
          <w:sz w:val="21"/>
          <w:szCs w:val="21"/>
          <w:highlight w:val="none"/>
          <w:shd w:val="clear" w:color="auto" w:fill="auto"/>
        </w:rPr>
        <w:t>违约金；因资料提交延误影响工程验收或结算的，承包方应承担全部责任。</w:t>
      </w:r>
    </w:p>
    <w:p w14:paraId="15F06542">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合同变更违约：未经发包方书面同意，承包方擅自对合同约定的工程范围、施工工艺、质量标准等进行变更，承包方需恢复原状或按发包方要求整改，并向发包方支付合同总价3% -5%的违约金；若因擅自变更造成工程质量问题、工期延误或费用增加，承包方还需按相应条款承担违约责任。</w:t>
      </w:r>
    </w:p>
    <w:p w14:paraId="5D6A0168">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履行通知义务：在工程施工过程中，当出现可能影响工程进度、质量、安全或合同履行的情况（如重大设计变更、不可抗力事件发生等）时，承包方未及时书面通知发包方，每延迟通知一日，应向发包方支付1000 - 2000元违约金；若因通知延误给发包方造成损失，承包方应承担全部赔偿责任。</w:t>
      </w:r>
    </w:p>
    <w:p w14:paraId="53C5C73A">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知识产权侵权责任：承包方在施工过程中使用的技术、专利、图纸等若存在知识产权侵权问题，导致发包方被第三方索赔，承包方应承担全部法律责任和赔偿费用，包括但不限于发包方支付的赔偿金、诉讼费、律师费等，同时向发包方支付合同总价5%的违约金。</w:t>
      </w:r>
    </w:p>
    <w:p w14:paraId="7F0D5887">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环境保护违规：若承包方施工过程中违反环境保护相关法律法规，造成环境污染（如土壤污染、水污染等），除需承担政府部门处罚、环境修复等全部费用外，还应向发包方支付环境修复费用150%的违约金；若因此对发包方声誉造成不良影响，承包方需另行承担相应责任。对于存在特殊环保要求的工程（如生态保护区施工），承包方未按专项环保方案施工，造成生态破坏等严重后果，除需承担生态修复全部费用外，还应向发包方支付生态修复费用200%的违约金，同时接受相关行政部门处罚。</w:t>
      </w:r>
    </w:p>
    <w:p w14:paraId="541E3AAB">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不配合发包方管理：承包方拒绝或不配合发包方、监理单位的正常监督管理工作（如拒绝参加工程例会、不执行监理指令等），每次应向发包方支付 2000 - 3000 元 违约金；累计三次及以上不配合，发包方有权要求承包方限期整改，若仍未改正，发包方有权解除合同，承包方需按合同总价 5% 支付违约金。</w:t>
      </w:r>
    </w:p>
    <w:p w14:paraId="31F05847">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履行保修义务：工程质量保修期内，承包方未按合同约定履行保修责任，在接到发包方维修通知后，无正当理由未在规定时间内到场维修，每逾期一日，应按工程质量保修金的0.5%向发包方支付违约金；若因未及时维修导致损失扩大，承包方需对扩大的损失承担全部赔偿责任。</w:t>
      </w:r>
    </w:p>
    <w:p w14:paraId="4916971D">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合同文件管理违约：承包方未妥善保管合同文件、技术资料等重要文件，导致文件缺失、损毁，影响工程推进或结算，需在发包方要求的期限内补全资料；无法补全的，每缺失一份关键文件，应向发包方支付2000-5000元违约金，若因文件缺失造成发包方经济损失，还需全额赔偿。</w:t>
      </w:r>
    </w:p>
    <w:p w14:paraId="61590FDF">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按设计文件施工：承包方未严格按照经审核批准的设计文件、施工图纸进行施工，擅自改变工程结构、尺寸、材料规格等，必须限期整改恢复。除承担整改产生的全部费用外，还需按涉及变更部分工程造价的10%-20%向发包方支付违约金；若整改后仍无法满足设计要求，发包方有权解除合同。</w:t>
      </w:r>
    </w:p>
    <w:p w14:paraId="0950AF2F">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履行协调配合义务：在与其他施工单位交叉作业或涉及多方协作的工程中，承包方拒绝或不积极配合协调工作，影响整体工程进度或造成其他单位损失，每次需向发包方支付3000 - 5000元违约金，并负责赔偿受影响方的实际损失。</w:t>
      </w:r>
    </w:p>
    <w:p w14:paraId="2691A1E4">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遵守保密约定：承包方在合同履行过程中，泄露发包方商业秘密、工程技术资料、项目规划等保密信息，无论是否造成实际损失，均需向发包方支付合同总价5%的违约金；若导致发包方经济损失或声誉受损，还应承担全部赔偿责任及相应法律后果。</w:t>
      </w:r>
    </w:p>
    <w:p w14:paraId="68447AF9">
      <w:pPr>
        <w:keepNext w:val="0"/>
        <w:keepLines w:val="0"/>
        <w:pageBreakBefore w:val="0"/>
        <w:widowControl/>
        <w:numPr>
          <w:ilvl w:val="0"/>
          <w:numId w:val="0"/>
        </w:numPr>
        <w:suppressLineNumbers w:val="0"/>
        <w:pBdr>
          <w:lef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未按要求提交履约担保：若合同约定承包方需提交履约担保，承包方未按规定时间、金额或形式提交，每逾期一日，应按履约担保金额的0.1%向发包方支付违约金；逾期超过15日，发包方有权解除合同，并没收已提交的投标保证金（如有）。</w:t>
      </w:r>
    </w:p>
    <w:p w14:paraId="047D31B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5.2.</w:t>
      </w:r>
      <w:r>
        <w:rPr>
          <w:rFonts w:hint="eastAsia" w:ascii="宋体" w:hAnsi="宋体" w:cs="宋体"/>
          <w:color w:val="auto"/>
          <w:sz w:val="21"/>
          <w:szCs w:val="21"/>
          <w:highlight w:val="none"/>
          <w:lang w:val="en-US" w:eastAsia="zh-CN"/>
        </w:rPr>
        <w:t>1.2设计方</w:t>
      </w:r>
      <w:r>
        <w:rPr>
          <w:rFonts w:hint="eastAsia" w:ascii="宋体" w:hAnsi="宋体" w:cs="宋体"/>
          <w:color w:val="auto"/>
          <w:sz w:val="21"/>
          <w:szCs w:val="21"/>
          <w:highlight w:val="none"/>
        </w:rPr>
        <w:t>违约的情形</w:t>
      </w:r>
    </w:p>
    <w:p w14:paraId="586561DB">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一、设计质量违约​</w:t>
      </w:r>
    </w:p>
    <w:p w14:paraId="2B53F4E4">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1.1 设计成果不合格​</w:t>
      </w:r>
    </w:p>
    <w:p w14:paraId="707765B7">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设计方提交的设计文件若存在错误、遗漏或不符合合同约定的技术标准、规范及功能要求，应在发包方发出整改通知后的</w:t>
      </w:r>
      <w:r>
        <w:rPr>
          <w:rFonts w:hint="eastAsia" w:ascii="宋体" w:hAnsi="宋体" w:cs="宋体"/>
          <w:i w:val="0"/>
          <w:iCs w:val="0"/>
          <w:caps w:val="0"/>
          <w:color w:val="auto"/>
          <w:spacing w:val="0"/>
          <w:kern w:val="2"/>
          <w:sz w:val="21"/>
          <w:szCs w:val="21"/>
          <w:highlight w:val="none"/>
          <w:shd w:val="clear" w:color="auto" w:fill="auto"/>
          <w:lang w:val="en-US" w:eastAsia="zh-CN" w:bidi="ar"/>
        </w:rPr>
        <w:t>7</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个工作日内无偿修改、完善，直至达到合格标准。若因设计质量问题导致工程返工，设计方需承担由此产生的全部直接费用，包括但不限于拆除费、重新施工费等，并按返工部分工程造价的[5% - 10%]向发包方支付违约金。​</w:t>
      </w:r>
    </w:p>
    <w:p w14:paraId="77884D99">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1.2 设计缺陷导致事故​</w:t>
      </w:r>
    </w:p>
    <w:p w14:paraId="56916DFD">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因设计缺陷引发工程质量事故、安全事故或其他严重后果，设计方应承担全部法律责任，包括但不限于赔偿发包方、第三方的人身损害及财产损失，承担事故调查、处理的全部费用。同时，设计方需向发包方支付合同设计费总额[20% - 30%]的违约金，发包方有权解除合同。​二、设计进度违约​</w:t>
      </w:r>
    </w:p>
    <w:p w14:paraId="6DD4E41D">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2.1 设计成果延迟交付​</w:t>
      </w:r>
    </w:p>
    <w:p w14:paraId="0BBEB056">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cs="宋体"/>
          <w:color w:val="auto"/>
          <w:sz w:val="21"/>
          <w:szCs w:val="21"/>
          <w:highlight w:val="none"/>
          <w:lang w:val="en-US" w:eastAsia="zh-CN"/>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设计方未按合同约定时间提交设计文件，每逾期一日，应按合同设计费总额的[0.1% - 0.3%]向发包方支付违约金。逾期超过</w:t>
      </w:r>
      <w:r>
        <w:rPr>
          <w:rFonts w:hint="eastAsia" w:ascii="宋体" w:hAnsi="宋体" w:cs="宋体"/>
          <w:i w:val="0"/>
          <w:iCs w:val="0"/>
          <w:caps w:val="0"/>
          <w:color w:val="auto"/>
          <w:spacing w:val="0"/>
          <w:kern w:val="2"/>
          <w:sz w:val="21"/>
          <w:szCs w:val="21"/>
          <w:highlight w:val="none"/>
          <w:shd w:val="clear" w:color="auto" w:fill="auto"/>
          <w:lang w:val="en-US" w:eastAsia="zh-CN" w:bidi="ar"/>
        </w:rPr>
        <w:t>30</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日，发包方有权另行委托其他设计单位完成设计工作，由此产生的费用差额及额外支出由设计方承担，且设计方仍需按原合同约定支付违约金。​</w:t>
      </w:r>
      <w:r>
        <w:rPr>
          <w:rFonts w:hint="eastAsia" w:ascii="宋体" w:hAnsi="宋体" w:cs="宋体"/>
          <w:color w:val="auto"/>
          <w:sz w:val="21"/>
          <w:szCs w:val="21"/>
          <w:highlight w:val="none"/>
          <w:lang w:val="en-US" w:eastAsia="zh-CN"/>
        </w:rPr>
        <w:t>若因设计人原因导致其交付的成果未通过第一次审查验收，设计人无偿进行成果修改。若经设计方修正，未通过第二次审查验收的，责任由设计方承担，应向发包人支付设计费总额10%的违约金;若经设计方再次修正，仍未通过第三次审查验收的，则前述违约金调增为20%。设计方应在发包人指定的期限内修正至通过审查验收。因修正而造成逾期提交的，设计方还应同时承担迟延提交的违约责任。</w:t>
      </w:r>
    </w:p>
    <w:p w14:paraId="32E8BBA0">
      <w:pPr>
        <w:shd w:val="clear" w:color="auto" w:fill="auto"/>
        <w:spacing w:line="360" w:lineRule="auto"/>
        <w:ind w:firstLine="6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计方的设计成果侵犯了第三方知识产权及其他民事权益的，责任由设计方承担。若因此导致发包人损失，设计方应当足额赔偿。若因此导致发包人无法使用的，则设计方应当返还已收发包人全部款项，同时另外承担违约金。</w:t>
      </w:r>
    </w:p>
    <w:p w14:paraId="212B3C1E">
      <w:pPr>
        <w:shd w:val="clear" w:color="auto" w:fill="auto"/>
        <w:spacing w:line="360" w:lineRule="auto"/>
        <w:ind w:firstLine="6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计成果通过审查验收后，若因成果存在潜在缺陷(包括但不限于广度、深度、精确度不足或者成果不周全、不严谨、不准确、有遗漏等)原因，影响发包人使用的，或者导致工程质量存在缺陷或发生事故的，责任由设计方承担，设计方应当赔偿由此给发包人造成的全部损失。</w:t>
      </w:r>
    </w:p>
    <w:p w14:paraId="01544FFA">
      <w:pPr>
        <w:shd w:val="clear" w:color="auto" w:fill="auto"/>
        <w:spacing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若设计成果需设计方参加会审验收，在发包人要求的时间内，设计方未参加、拒绝参加或者中途退场的，责任由设计方承担，每发生一次，设计方应向发包人支付设计费总额5%的违约金，同时发包人有权自行组织验收，验收结果对设计人具有约束力。</w:t>
      </w:r>
    </w:p>
    <w:p w14:paraId="27E8943A">
      <w:pPr>
        <w:shd w:val="clear" w:color="auto" w:fill="auto"/>
        <w:spacing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设计方急于或拒绝履行本合同约定的提供交底、答疑等附随服务义务的，责任由设计方承担，每出现一次，应向发包人支付设计费总额2%的违约金，且前述违约金不因乙方事后纠正而得以免除。</w:t>
      </w:r>
    </w:p>
    <w:p w14:paraId="25EF9A95">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2.2 进度延误影响工期​</w:t>
      </w:r>
    </w:p>
    <w:p w14:paraId="1989E75D">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若设计进度延误导致工程整体工期延误，设计方除按上述条款支付违约金外，还需赔偿发包方因工期延误遭受的全部损失，包括但不限于对业主的工期违约赔偿、施工方的窝工损失、额外的场地租赁费用等。损失赔偿金额以发包方提供的有效凭证为准。​</w:t>
      </w:r>
    </w:p>
    <w:p w14:paraId="37D24C6E">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三、擅自变更设计违约​</w:t>
      </w:r>
    </w:p>
    <w:p w14:paraId="398CEADC">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未经发包方书面同意，设计方擅自变更设计方案、技术标准、工程规模等关键设计内容，应立即停止变更行为，并在</w:t>
      </w:r>
      <w:r>
        <w:rPr>
          <w:rFonts w:hint="eastAsia" w:ascii="宋体" w:hAnsi="宋体" w:cs="宋体"/>
          <w:i w:val="0"/>
          <w:iCs w:val="0"/>
          <w:caps w:val="0"/>
          <w:color w:val="auto"/>
          <w:spacing w:val="0"/>
          <w:kern w:val="2"/>
          <w:sz w:val="21"/>
          <w:szCs w:val="21"/>
          <w:highlight w:val="none"/>
          <w:shd w:val="clear" w:color="auto" w:fill="auto"/>
          <w:lang w:val="en-US" w:eastAsia="zh-CN" w:bidi="ar"/>
        </w:rPr>
        <w:t>7</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日内恢复原设计。若变更已实施，设计方需承担拆除、重建等整改费用，同时按变更部分工程造价的[10% - 20%]向发包方支付违约金。如因擅自变更设计给发包方造成其他经济损失，设计方需全额赔偿。​</w:t>
      </w:r>
    </w:p>
    <w:p w14:paraId="133DC944">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四、知识产权与保密违约​</w:t>
      </w:r>
    </w:p>
    <w:p w14:paraId="0D6CF176">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4.1 知识产权侵权​</w:t>
      </w:r>
    </w:p>
    <w:p w14:paraId="6D8EE04A">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设计方提供的设计成果若侵犯第三方知识产权，导致发包方被索赔或产生法律纠纷，设计方应承担全部法律责任和经济赔偿，包括但不限于发包方支付的赔偿金、诉讼费、律师费等。同时，设计方需向发包方支付合同设计费总额[10% - 15%]的违约金。​</w:t>
      </w:r>
    </w:p>
    <w:p w14:paraId="1ECAC82A">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4.2 保密义务违反​</w:t>
      </w:r>
    </w:p>
    <w:p w14:paraId="501E5038">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设计方泄露在合同履行过程中知悉的发包方商业秘密、技术秘密等保密信息，应向发包方支付合同设计费总额[10% - 20%]的违约金。若因泄密给发包方造成实际经济损失，设计方需按损失金额的[1 - 2]倍进行赔偿；情节严重的，发包方有权解除合同。​</w:t>
      </w:r>
    </w:p>
    <w:p w14:paraId="259CC2F2">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五、转包与分包违约​</w:t>
      </w:r>
    </w:p>
    <w:p w14:paraId="52502CC3">
      <w:pPr>
        <w:keepNext w:val="0"/>
        <w:keepLines w:val="0"/>
        <w:widowControl/>
        <w:numPr>
          <w:ilvl w:val="0"/>
          <w:numId w:val="0"/>
        </w:numPr>
        <w:suppressLineNumbers w:val="0"/>
        <w:pBdr>
          <w:left w:val="none" w:color="auto" w:sz="0" w:space="0"/>
        </w:pBdr>
        <w:shd w:val="clear" w:color="auto" w:fill="auto"/>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设计方未经发包方书面同意，擅自将设计任务转包或违法分包给第三方，发包方有权立即解除合同，并要求设计方按合同设计费总额的[30% - 50%]支付违约金。若转包或分包导致设计质量问题或进度延误，设计方与转包方、分包方承担连带责任，共同赔偿发包方的全部损失。​</w:t>
      </w:r>
    </w:p>
    <w:p w14:paraId="4FFBAD0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15.2.2 通知改正</w:t>
      </w:r>
    </w:p>
    <w:p w14:paraId="1BF30C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工程师通知承包人改正的合理期限是：</w:t>
      </w:r>
      <w:r>
        <w:rPr>
          <w:rFonts w:hint="eastAsia" w:ascii="宋体" w:hAnsi="宋体" w:cs="宋体"/>
          <w:color w:val="auto"/>
          <w:sz w:val="21"/>
          <w:szCs w:val="21"/>
          <w:highlight w:val="none"/>
          <w:u w:val="single"/>
        </w:rPr>
        <w:t xml:space="preserve"> 按发包人要求 </w:t>
      </w:r>
      <w:r>
        <w:rPr>
          <w:rFonts w:hint="eastAsia" w:ascii="宋体" w:hAnsi="宋体" w:cs="宋体"/>
          <w:color w:val="auto"/>
          <w:sz w:val="21"/>
          <w:szCs w:val="21"/>
          <w:highlight w:val="none"/>
        </w:rPr>
        <w:t>。</w:t>
      </w:r>
    </w:p>
    <w:p w14:paraId="4E151EE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15.2.3 承包人违约的责任</w:t>
      </w:r>
    </w:p>
    <w:p w14:paraId="1318A46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承包人违约责任的承担方式和计算方法：</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26FC2208">
      <w:pPr>
        <w:pStyle w:val="43"/>
        <w:snapToGrid/>
        <w:spacing w:after="0" w:afterLines="0"/>
        <w:rPr>
          <w:rFonts w:hint="eastAsia" w:cs="宋体"/>
          <w:b w:val="0"/>
          <w:bCs/>
          <w:color w:val="auto"/>
          <w:sz w:val="21"/>
          <w:szCs w:val="21"/>
          <w:highlight w:val="none"/>
        </w:rPr>
      </w:pPr>
      <w:bookmarkStart w:id="2099" w:name="_Toc54862347"/>
      <w:bookmarkStart w:id="2100" w:name="_Toc4"/>
      <w:bookmarkStart w:id="2101" w:name="_Toc11990"/>
      <w:bookmarkStart w:id="2102" w:name="_Toc31380"/>
      <w:r>
        <w:rPr>
          <w:rFonts w:hint="eastAsia" w:cs="宋体"/>
          <w:b w:val="0"/>
          <w:bCs/>
          <w:color w:val="auto"/>
          <w:sz w:val="21"/>
          <w:szCs w:val="21"/>
          <w:highlight w:val="none"/>
        </w:rPr>
        <w:t>第16条 合同解除</w:t>
      </w:r>
      <w:bookmarkEnd w:id="2099"/>
      <w:bookmarkEnd w:id="2100"/>
      <w:bookmarkEnd w:id="2101"/>
      <w:bookmarkEnd w:id="2102"/>
    </w:p>
    <w:p w14:paraId="2A6C74C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16.1 由发包人解除合同</w:t>
      </w:r>
    </w:p>
    <w:p w14:paraId="52D9D99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16.1.1 因承包人违约解除合同</w:t>
      </w:r>
    </w:p>
    <w:p w14:paraId="63E6CDF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双方约定可由发包人解除合同的其他事由：</w:t>
      </w:r>
      <w:r>
        <w:rPr>
          <w:rFonts w:hint="eastAsia" w:ascii="宋体" w:hAnsi="宋体" w:cs="宋体"/>
          <w:color w:val="auto"/>
          <w:sz w:val="21"/>
          <w:szCs w:val="21"/>
          <w:highlight w:val="none"/>
          <w:u w:val="single"/>
        </w:rPr>
        <w:t xml:space="preserve"> 双方协商 </w:t>
      </w:r>
      <w:r>
        <w:rPr>
          <w:rFonts w:hint="eastAsia" w:ascii="宋体" w:hAnsi="宋体" w:cs="宋体"/>
          <w:color w:val="auto"/>
          <w:sz w:val="21"/>
          <w:szCs w:val="21"/>
          <w:highlight w:val="none"/>
        </w:rPr>
        <w:t>。</w:t>
      </w:r>
    </w:p>
    <w:p w14:paraId="318C8C4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16.2 由承包人解除合同</w:t>
      </w:r>
    </w:p>
    <w:p w14:paraId="1DE1F99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16.2.1 因发包人违约解除合同</w:t>
      </w:r>
    </w:p>
    <w:p w14:paraId="43F2391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双方约定可由承包人解除合同的其他事由：</w:t>
      </w:r>
      <w:r>
        <w:rPr>
          <w:rFonts w:hint="eastAsia" w:ascii="宋体" w:hAnsi="宋体" w:cs="宋体"/>
          <w:color w:val="auto"/>
          <w:sz w:val="21"/>
          <w:szCs w:val="21"/>
          <w:highlight w:val="none"/>
          <w:u w:val="single"/>
        </w:rPr>
        <w:t xml:space="preserve"> 双方协商 </w:t>
      </w:r>
      <w:r>
        <w:rPr>
          <w:rFonts w:hint="eastAsia" w:ascii="宋体" w:hAnsi="宋体" w:cs="宋体"/>
          <w:color w:val="auto"/>
          <w:sz w:val="21"/>
          <w:szCs w:val="21"/>
          <w:highlight w:val="none"/>
        </w:rPr>
        <w:t>。</w:t>
      </w:r>
    </w:p>
    <w:p w14:paraId="21F0CA70">
      <w:pPr>
        <w:pStyle w:val="43"/>
        <w:snapToGrid/>
        <w:spacing w:after="0" w:afterLines="0"/>
        <w:rPr>
          <w:rFonts w:hint="eastAsia" w:cs="宋体"/>
          <w:b w:val="0"/>
          <w:bCs/>
          <w:color w:val="auto"/>
          <w:sz w:val="21"/>
          <w:szCs w:val="21"/>
          <w:highlight w:val="none"/>
        </w:rPr>
      </w:pPr>
      <w:bookmarkStart w:id="2103" w:name="_Toc19630"/>
      <w:bookmarkStart w:id="2104" w:name="_Toc54862348"/>
      <w:bookmarkStart w:id="2105" w:name="_Toc3682"/>
      <w:bookmarkStart w:id="2106" w:name="_Toc32511"/>
      <w:r>
        <w:rPr>
          <w:rFonts w:hint="eastAsia" w:cs="宋体"/>
          <w:b w:val="0"/>
          <w:bCs/>
          <w:color w:val="auto"/>
          <w:sz w:val="21"/>
          <w:szCs w:val="21"/>
          <w:highlight w:val="none"/>
        </w:rPr>
        <w:t>第17条 不可抗力</w:t>
      </w:r>
      <w:bookmarkEnd w:id="2103"/>
      <w:bookmarkEnd w:id="2104"/>
      <w:bookmarkEnd w:id="2105"/>
      <w:bookmarkEnd w:id="2106"/>
    </w:p>
    <w:p w14:paraId="6803200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17.1 不可抗力的定义</w:t>
      </w:r>
    </w:p>
    <w:p w14:paraId="04C2D08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除通用合同条件约定的不可抗力事件之外，视为不可抗力的其他情形：</w:t>
      </w:r>
      <w:r>
        <w:rPr>
          <w:rFonts w:hint="eastAsia" w:ascii="宋体" w:hAnsi="宋体" w:cs="宋体"/>
          <w:color w:val="auto"/>
          <w:sz w:val="21"/>
          <w:szCs w:val="21"/>
          <w:highlight w:val="none"/>
          <w:u w:val="single"/>
        </w:rPr>
        <w:t xml:space="preserve"> 重大政策变化对本工程的工期予以顺延 </w:t>
      </w:r>
      <w:r>
        <w:rPr>
          <w:rFonts w:hint="eastAsia" w:ascii="宋体" w:hAnsi="宋体" w:cs="宋体"/>
          <w:color w:val="auto"/>
          <w:sz w:val="21"/>
          <w:szCs w:val="21"/>
          <w:highlight w:val="none"/>
        </w:rPr>
        <w:t>。</w:t>
      </w:r>
    </w:p>
    <w:p w14:paraId="3818ECE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17.6 因不可抗力解除合同</w:t>
      </w:r>
    </w:p>
    <w:p w14:paraId="1F8BF4B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合同解除后，发包人应当在商定或确定发包人应支付款项后的</w:t>
      </w:r>
      <w:r>
        <w:rPr>
          <w:rFonts w:hint="eastAsia" w:ascii="宋体" w:hAnsi="宋体" w:cs="宋体"/>
          <w:color w:val="auto"/>
          <w:sz w:val="21"/>
          <w:szCs w:val="21"/>
          <w:highlight w:val="none"/>
          <w:u w:val="single"/>
        </w:rPr>
        <w:t xml:space="preserve"> 28 </w:t>
      </w:r>
      <w:r>
        <w:rPr>
          <w:rFonts w:hint="eastAsia" w:ascii="宋体" w:hAnsi="宋体" w:cs="宋体"/>
          <w:color w:val="auto"/>
          <w:sz w:val="21"/>
          <w:szCs w:val="21"/>
          <w:highlight w:val="none"/>
        </w:rPr>
        <w:t>天内完成款项的支付。</w:t>
      </w:r>
    </w:p>
    <w:p w14:paraId="1BDA20FE">
      <w:pPr>
        <w:pStyle w:val="43"/>
        <w:snapToGrid/>
        <w:spacing w:after="0" w:afterLines="0"/>
        <w:rPr>
          <w:rFonts w:hint="eastAsia" w:cs="宋体"/>
          <w:b w:val="0"/>
          <w:bCs/>
          <w:color w:val="auto"/>
          <w:sz w:val="21"/>
          <w:szCs w:val="21"/>
          <w:highlight w:val="none"/>
        </w:rPr>
      </w:pPr>
      <w:bookmarkStart w:id="2107" w:name="_Toc4784277"/>
      <w:bookmarkEnd w:id="2107"/>
      <w:bookmarkStart w:id="2108" w:name="_Toc4784276"/>
      <w:bookmarkEnd w:id="2108"/>
      <w:bookmarkStart w:id="2109" w:name="_Toc18921"/>
      <w:bookmarkStart w:id="2110" w:name="_Toc18704"/>
      <w:bookmarkStart w:id="2111" w:name="_Toc27930"/>
      <w:bookmarkStart w:id="2112" w:name="_Toc54862349"/>
      <w:r>
        <w:rPr>
          <w:rFonts w:hint="eastAsia" w:cs="宋体"/>
          <w:b w:val="0"/>
          <w:bCs/>
          <w:color w:val="auto"/>
          <w:sz w:val="21"/>
          <w:szCs w:val="21"/>
          <w:highlight w:val="none"/>
        </w:rPr>
        <w:t>第18条 保险</w:t>
      </w:r>
      <w:bookmarkEnd w:id="2109"/>
      <w:bookmarkEnd w:id="2110"/>
      <w:bookmarkEnd w:id="2111"/>
      <w:bookmarkEnd w:id="2112"/>
    </w:p>
    <w:p w14:paraId="7D6C83E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18.1 设计和工程保险</w:t>
      </w:r>
    </w:p>
    <w:p w14:paraId="4C51656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18.1.1 双方当事人关于设计和工程保险的特别约定：</w:t>
      </w:r>
      <w:r>
        <w:rPr>
          <w:rFonts w:hint="eastAsia" w:ascii="宋体" w:hAnsi="宋体" w:cs="宋体"/>
          <w:color w:val="auto"/>
          <w:sz w:val="21"/>
          <w:szCs w:val="21"/>
          <w:highlight w:val="none"/>
          <w:u w:val="single"/>
        </w:rPr>
        <w:t xml:space="preserve"> 建筑工程、安装工程一切险由发包人购买并承担费用，如果发包人委托承包人投保，那么因投保产生的保险费和其他相关费用由发包人承担 </w:t>
      </w:r>
      <w:r>
        <w:rPr>
          <w:rFonts w:hint="eastAsia" w:ascii="宋体" w:hAnsi="宋体" w:cs="宋体"/>
          <w:color w:val="auto"/>
          <w:sz w:val="21"/>
          <w:szCs w:val="21"/>
          <w:highlight w:val="none"/>
        </w:rPr>
        <w:t>。</w:t>
      </w:r>
    </w:p>
    <w:p w14:paraId="7E23E7A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18.1.2 双方当事人关于第三方责任险</w:t>
      </w:r>
      <w:r>
        <w:rPr>
          <w:rFonts w:hint="eastAsia" w:ascii="宋体" w:hAnsi="宋体" w:cs="宋体"/>
          <w:color w:val="auto"/>
          <w:sz w:val="21"/>
          <w:szCs w:val="21"/>
          <w:highlight w:val="none"/>
        </w:rPr>
        <w:t>的特别约定：</w:t>
      </w:r>
      <w:r>
        <w:rPr>
          <w:rFonts w:hint="eastAsia" w:ascii="宋体" w:hAnsi="宋体" w:cs="宋体"/>
          <w:color w:val="auto"/>
          <w:sz w:val="21"/>
          <w:szCs w:val="21"/>
          <w:highlight w:val="none"/>
          <w:u w:val="single"/>
        </w:rPr>
        <w:t xml:space="preserve"> 执行通用合同条款 </w:t>
      </w:r>
      <w:r>
        <w:rPr>
          <w:rFonts w:hint="eastAsia" w:ascii="宋体" w:hAnsi="宋体" w:cs="宋体"/>
          <w:color w:val="auto"/>
          <w:sz w:val="21"/>
          <w:szCs w:val="21"/>
          <w:highlight w:val="none"/>
        </w:rPr>
        <w:t>。</w:t>
      </w:r>
    </w:p>
    <w:p w14:paraId="3437A63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18.2 工伤和意外伤害保险</w:t>
      </w:r>
    </w:p>
    <w:p w14:paraId="694612DD">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18.2.3 关于工伤保险和意外伤害保险的特别约定：</w:t>
      </w:r>
      <w:r>
        <w:rPr>
          <w:rFonts w:hint="eastAsia" w:ascii="宋体" w:hAnsi="宋体" w:cs="宋体"/>
          <w:color w:val="auto"/>
          <w:sz w:val="21"/>
          <w:szCs w:val="21"/>
          <w:highlight w:val="none"/>
          <w:u w:val="single"/>
        </w:rPr>
        <w:t xml:space="preserve"> 承包人自有人员的工伤保险、团体意外保险由承包人购买并承担费用 </w:t>
      </w:r>
      <w:r>
        <w:rPr>
          <w:rFonts w:hint="eastAsia" w:ascii="宋体" w:hAnsi="宋体" w:cs="宋体"/>
          <w:color w:val="auto"/>
          <w:sz w:val="21"/>
          <w:szCs w:val="21"/>
          <w:highlight w:val="none"/>
        </w:rPr>
        <w:t>。</w:t>
      </w:r>
    </w:p>
    <w:p w14:paraId="078621A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18.3 货物保险</w:t>
      </w:r>
    </w:p>
    <w:p w14:paraId="663CB5F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关于承包人应为其施工设备、材料、工程设备和临时工程等办理财产保险的特别约定：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F693C09">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18.4 其他保险</w:t>
      </w:r>
    </w:p>
    <w:p w14:paraId="6BEE448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关于其他保险的约定：</w:t>
      </w:r>
      <w:r>
        <w:rPr>
          <w:rFonts w:hint="eastAsia" w:ascii="宋体" w:hAnsi="宋体" w:cs="宋体"/>
          <w:color w:val="auto"/>
          <w:sz w:val="21"/>
          <w:szCs w:val="21"/>
          <w:highlight w:val="none"/>
          <w:u w:val="single"/>
        </w:rPr>
        <w:t xml:space="preserve"> 承包方应当为本单位职工、临时雇佣人员缴纳工伤保险 ，对有必要的人员办理意外伤害险 </w:t>
      </w:r>
      <w:r>
        <w:rPr>
          <w:rFonts w:hint="eastAsia" w:ascii="宋体" w:hAnsi="宋体" w:cs="宋体"/>
          <w:color w:val="auto"/>
          <w:sz w:val="21"/>
          <w:szCs w:val="21"/>
          <w:highlight w:val="none"/>
        </w:rPr>
        <w:t>。</w:t>
      </w:r>
    </w:p>
    <w:p w14:paraId="7B9DAF7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18.5 对各项保险的一般要求</w:t>
      </w:r>
    </w:p>
    <w:p w14:paraId="5F2F778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18.5.2 保险凭证</w:t>
      </w:r>
    </w:p>
    <w:p w14:paraId="794A8D5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保险单的条件：</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8A9C6EC">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18.5.4 通知义务</w:t>
      </w:r>
    </w:p>
    <w:p w14:paraId="1CAC58F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关于变更保险合同时的通知义务的约定：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F5F2243">
      <w:pPr>
        <w:pStyle w:val="43"/>
        <w:snapToGrid/>
        <w:spacing w:after="0" w:afterLines="0"/>
        <w:rPr>
          <w:rFonts w:hint="eastAsia" w:cs="宋体"/>
          <w:b w:val="0"/>
          <w:bCs/>
          <w:color w:val="auto"/>
          <w:sz w:val="21"/>
          <w:szCs w:val="21"/>
          <w:highlight w:val="none"/>
        </w:rPr>
      </w:pPr>
      <w:bookmarkStart w:id="2113" w:name="_Toc23340"/>
      <w:bookmarkStart w:id="2114" w:name="_Toc18796"/>
      <w:bookmarkStart w:id="2115" w:name="_Toc54862350"/>
      <w:bookmarkStart w:id="2116" w:name="_Toc2543"/>
      <w:r>
        <w:rPr>
          <w:rFonts w:hint="eastAsia" w:cs="宋体"/>
          <w:b w:val="0"/>
          <w:bCs/>
          <w:color w:val="auto"/>
          <w:sz w:val="21"/>
          <w:szCs w:val="21"/>
          <w:highlight w:val="none"/>
        </w:rPr>
        <w:t>第20条 争议解决</w:t>
      </w:r>
      <w:bookmarkEnd w:id="2113"/>
      <w:bookmarkEnd w:id="2114"/>
      <w:bookmarkEnd w:id="2115"/>
      <w:bookmarkEnd w:id="2116"/>
    </w:p>
    <w:p w14:paraId="08A1B37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20.3 争议评审</w:t>
      </w:r>
    </w:p>
    <w:p w14:paraId="40C9188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合同当事人是否同意将工程争议提交争议评审小组决定： </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45480E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20.3.1 争议评审小组的确定</w:t>
      </w:r>
    </w:p>
    <w:p w14:paraId="37CD76C2">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争议评审小组成员的人数：</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3B066EDF">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争议评审小组成员的确定：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F45B7B1">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选定争议避免/评审组的期限：</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3755A1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评审机构：</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3F723E4">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其他事项的约定：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A10C69B">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争议评审员报酬的承担人：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3808637A">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20.3.2 争议的避免</w:t>
      </w:r>
    </w:p>
    <w:p w14:paraId="34C6F35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发包人和承包人是否均出席争议避免的非正式讨论：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96CE097">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20.3.3 争议评审小组的决定</w:t>
      </w:r>
    </w:p>
    <w:p w14:paraId="05395E75">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关于争议评审小组的决定的特别约定：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93AC7B6">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20.4 仲裁或诉讼</w:t>
      </w:r>
    </w:p>
    <w:p w14:paraId="5BCE0E60">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因合同及合同有关事项发生的争议，按下列第</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种方式解决：</w:t>
      </w:r>
    </w:p>
    <w:p w14:paraId="54B5ECD8">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（1）向</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仲裁委员会申请仲裁；</w:t>
      </w:r>
    </w:p>
    <w:p w14:paraId="4A3C3F13">
      <w:pPr>
        <w:spacing w:line="360" w:lineRule="auto"/>
        <w:ind w:firstLine="600"/>
        <w:rPr>
          <w:rFonts w:hint="eastAsia" w:ascii="宋体" w:hAnsi="宋体" w:cs="宋体"/>
          <w:color w:val="auto"/>
          <w:sz w:val="21"/>
          <w:szCs w:val="21"/>
          <w:highlight w:val="none"/>
        </w:rPr>
      </w:pPr>
      <w:r>
        <w:rPr>
          <w:rFonts w:hint="eastAsia" w:ascii="宋体" w:hAnsi="宋体" w:cs="宋体"/>
          <w:color w:val="auto"/>
          <w:sz w:val="21"/>
          <w:szCs w:val="21"/>
          <w:highlight w:val="none"/>
        </w:rPr>
        <w:t>（2）向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项目所在地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人民法院起诉。</w:t>
      </w:r>
    </w:p>
    <w:p w14:paraId="02872014">
      <w:pPr>
        <w:pStyle w:val="43"/>
        <w:snapToGrid/>
        <w:spacing w:after="0" w:afterLines="0"/>
        <w:rPr>
          <w:rFonts w:hint="eastAsia" w:cs="宋体"/>
          <w:b w:val="0"/>
          <w:bCs/>
          <w:color w:val="auto"/>
          <w:sz w:val="21"/>
          <w:szCs w:val="21"/>
          <w:highlight w:val="none"/>
          <w:lang w:val="en-US" w:eastAsia="zh-CN"/>
        </w:rPr>
      </w:pPr>
      <w:r>
        <w:rPr>
          <w:rFonts w:hint="eastAsia" w:cs="宋体"/>
          <w:b w:val="0"/>
          <w:bCs/>
          <w:color w:val="auto"/>
          <w:sz w:val="21"/>
          <w:szCs w:val="21"/>
          <w:highlight w:val="none"/>
          <w:lang w:val="en-US" w:eastAsia="zh-CN"/>
        </w:rPr>
        <w:t>第21条 补充条款</w:t>
      </w:r>
    </w:p>
    <w:p w14:paraId="121D15BD">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4"/>
          <w:highlight w:val="none"/>
          <w:u w:val="none"/>
          <w:lang w:val="en-US" w:eastAsia="zh-CN" w:bidi="ar-SA"/>
        </w:rPr>
      </w:pPr>
      <w:r>
        <w:rPr>
          <w:rFonts w:hint="eastAsia" w:ascii="Times New Roman" w:hAnsi="Times New Roman" w:eastAsia="宋体" w:cs="Times New Roman"/>
          <w:color w:val="auto"/>
          <w:kern w:val="2"/>
          <w:sz w:val="21"/>
          <w:szCs w:val="24"/>
          <w:highlight w:val="none"/>
          <w:u w:val="none"/>
          <w:lang w:val="en-US" w:eastAsia="zh-CN" w:bidi="ar-SA"/>
        </w:rPr>
        <w:t>本项目采用限额设计，设计限额</w:t>
      </w:r>
      <w:r>
        <w:rPr>
          <w:rFonts w:hint="eastAsia" w:cs="Times New Roman"/>
          <w:color w:val="auto"/>
          <w:kern w:val="2"/>
          <w:sz w:val="21"/>
          <w:szCs w:val="24"/>
          <w:highlight w:val="none"/>
          <w:u w:val="none"/>
          <w:lang w:val="en-US" w:eastAsia="zh-CN" w:bidi="ar-SA"/>
        </w:rPr>
        <w:t>为</w:t>
      </w:r>
      <w:r>
        <w:rPr>
          <w:rFonts w:hint="eastAsia" w:ascii="Times New Roman" w:hAnsi="Times New Roman" w:eastAsia="宋体" w:cs="Times New Roman"/>
          <w:color w:val="auto"/>
          <w:kern w:val="2"/>
          <w:sz w:val="21"/>
          <w:szCs w:val="24"/>
          <w:highlight w:val="none"/>
          <w:u w:val="none"/>
          <w:lang w:val="en-US" w:eastAsia="zh-CN" w:bidi="ar-SA"/>
        </w:rPr>
        <w:t>126,644,600.00</w:t>
      </w:r>
      <w:r>
        <w:rPr>
          <w:rFonts w:hint="eastAsia" w:cs="Times New Roman"/>
          <w:color w:val="auto"/>
          <w:kern w:val="2"/>
          <w:sz w:val="21"/>
          <w:szCs w:val="24"/>
          <w:highlight w:val="none"/>
          <w:u w:val="none"/>
          <w:lang w:val="en-US" w:eastAsia="zh-CN" w:bidi="ar-SA"/>
        </w:rPr>
        <w:t>元。投标人</w:t>
      </w:r>
      <w:r>
        <w:rPr>
          <w:rFonts w:hint="eastAsia" w:ascii="Times New Roman" w:hAnsi="Times New Roman" w:eastAsia="宋体" w:cs="Times New Roman"/>
          <w:color w:val="auto"/>
          <w:kern w:val="2"/>
          <w:sz w:val="21"/>
          <w:szCs w:val="24"/>
          <w:highlight w:val="none"/>
          <w:u w:val="none"/>
          <w:lang w:val="en-US" w:eastAsia="zh-CN" w:bidi="ar-SA"/>
        </w:rPr>
        <w:t>需承担设计优化、施工组织、成本控制的全部责任，确保最终成果满足功能需求且总造价不超限额。</w:t>
      </w:r>
    </w:p>
    <w:p w14:paraId="751E13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color w:val="auto"/>
          <w:kern w:val="0"/>
          <w:sz w:val="21"/>
          <w:szCs w:val="21"/>
          <w:highlight w:val="none"/>
          <w:lang w:val="en-US" w:eastAsia="zh-CN" w:bidi="ar-SA"/>
        </w:rPr>
        <w:sectPr>
          <w:headerReference r:id="rId17" w:type="default"/>
          <w:pgSz w:w="11906" w:h="16838"/>
          <w:pgMar w:top="1134" w:right="1134" w:bottom="1134" w:left="1134" w:header="720" w:footer="998" w:gutter="0"/>
          <w:cols w:space="720" w:num="1"/>
          <w:docGrid w:linePitch="326" w:charSpace="0"/>
        </w:sectPr>
      </w:pPr>
      <w:r>
        <w:rPr>
          <w:rFonts w:hint="eastAsia" w:ascii="Times New Roman" w:hAnsi="Times New Roman" w:eastAsia="宋体" w:cs="Times New Roman"/>
          <w:color w:val="auto"/>
          <w:kern w:val="2"/>
          <w:sz w:val="21"/>
          <w:szCs w:val="24"/>
          <w:highlight w:val="none"/>
          <w:u w:val="none"/>
          <w:lang w:val="en-US" w:eastAsia="zh-CN" w:bidi="ar-SA"/>
        </w:rPr>
        <w:t>若因投标人原因导致设计阶段超过限额设计目标，或在项目实施过程中因设计变更等原因导致工程总投资超过限额，投标人应承担全部责任。招标人有权要求投标人采取优化设计、调整施工方案等措施降低成本，由此产生的费用由投标人自行承担；如采取措施后仍无法满足限额要求，招标人有权扣除投标人相应的工程款作为违约金，违约金金额不超过合同总价的 10%；情节严重的，招标人有权解除合同，并追究投标人的赔偿责任。</w:t>
      </w:r>
    </w:p>
    <w:p w14:paraId="2AE276A5">
      <w:pPr>
        <w:pStyle w:val="3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b/>
          <w:bCs/>
          <w:color w:val="auto"/>
          <w:kern w:val="44"/>
          <w:sz w:val="44"/>
          <w:szCs w:val="52"/>
          <w:highlight w:val="none"/>
          <w:lang w:val="zh-CN"/>
        </w:rPr>
      </w:pPr>
      <w:bookmarkStart w:id="2117" w:name="_Toc8169"/>
      <w:bookmarkStart w:id="2118" w:name="_Toc32648"/>
      <w:bookmarkStart w:id="2119" w:name="_Toc18821"/>
      <w:bookmarkStart w:id="2120" w:name="_Toc256000186"/>
      <w:bookmarkStart w:id="2121" w:name="_Toc54862351"/>
      <w:r>
        <w:rPr>
          <w:rFonts w:hint="eastAsia" w:ascii="华文中宋" w:hAnsi="华文中宋" w:eastAsia="华文中宋"/>
          <w:b/>
          <w:bCs/>
          <w:color w:val="auto"/>
          <w:kern w:val="44"/>
          <w:sz w:val="44"/>
          <w:szCs w:val="52"/>
          <w:highlight w:val="none"/>
          <w:lang w:val="zh-CN"/>
        </w:rPr>
        <w:t>专用合同条件附件</w:t>
      </w:r>
      <w:bookmarkEnd w:id="2117"/>
      <w:bookmarkEnd w:id="2118"/>
      <w:bookmarkEnd w:id="2119"/>
      <w:bookmarkEnd w:id="2120"/>
      <w:bookmarkEnd w:id="2121"/>
    </w:p>
    <w:p w14:paraId="004E1E22">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p>
    <w:p w14:paraId="269780E6">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附件1：发包人要求</w:t>
      </w:r>
    </w:p>
    <w:p w14:paraId="54739FAE">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附件2：发包人供应材料设备一览表</w:t>
      </w:r>
    </w:p>
    <w:p w14:paraId="545427B9">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附件3：工程质量保修书</w:t>
      </w:r>
    </w:p>
    <w:p w14:paraId="45BF8B75">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附件4：主要建设工程文件目录</w:t>
      </w:r>
    </w:p>
    <w:p w14:paraId="2686532D">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附件5：承包人主要管理人员表</w:t>
      </w:r>
    </w:p>
    <w:p w14:paraId="4347A83D">
      <w:pPr>
        <w:pStyle w:val="34"/>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w:t>
      </w:r>
      <w:r>
        <w:rPr>
          <w:rFonts w:ascii="宋体" w:hAnsi="宋体"/>
          <w:color w:val="auto"/>
          <w:kern w:val="0"/>
          <w:highlight w:val="none"/>
        </w:rPr>
        <w:t>6</w:t>
      </w:r>
      <w:r>
        <w:rPr>
          <w:rFonts w:hint="eastAsia" w:ascii="宋体" w:hAnsi="宋体"/>
          <w:color w:val="auto"/>
          <w:kern w:val="0"/>
          <w:highlight w:val="none"/>
        </w:rPr>
        <w:t>：价格指数权重表</w:t>
      </w:r>
    </w:p>
    <w:p w14:paraId="5E703A30">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附件7：文明施工及环境保护协议书</w:t>
      </w:r>
    </w:p>
    <w:p w14:paraId="3E765C06">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附件8：安全生产协议书</w:t>
      </w:r>
    </w:p>
    <w:p w14:paraId="2AFBB278">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附件9：廉洁合作协议书</w:t>
      </w:r>
    </w:p>
    <w:p w14:paraId="39F32BB2">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附件10：银行履约保函</w:t>
      </w:r>
    </w:p>
    <w:p w14:paraId="38D4F1D5">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附件11：预付款担保</w:t>
      </w:r>
    </w:p>
    <w:p w14:paraId="7020E6E5">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附件12：支付担保</w:t>
      </w:r>
    </w:p>
    <w:p w14:paraId="119CF34B">
      <w:pPr>
        <w:pStyle w:val="34"/>
        <w:widowControl/>
        <w:adjustRightInd w:val="0"/>
        <w:snapToGrid w:val="0"/>
        <w:spacing w:after="156" w:afterLines="50" w:line="360" w:lineRule="auto"/>
        <w:ind w:firstLine="420" w:firstLineChars="200"/>
        <w:rPr>
          <w:rFonts w:hint="eastAsia" w:ascii="宋体" w:hAnsi="宋体"/>
          <w:color w:val="auto"/>
          <w:kern w:val="0"/>
          <w:highlight w:val="none"/>
        </w:rPr>
      </w:pPr>
    </w:p>
    <w:p w14:paraId="28BD5A5F">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p>
    <w:p w14:paraId="6D4182FF">
      <w:pPr>
        <w:pStyle w:val="34"/>
        <w:widowControl/>
        <w:jc w:val="left"/>
        <w:rPr>
          <w:rFonts w:ascii="宋体" w:hAnsi="宋体"/>
          <w:color w:val="auto"/>
          <w:kern w:val="0"/>
          <w:szCs w:val="20"/>
          <w:highlight w:val="none"/>
        </w:rPr>
      </w:pPr>
      <w:r>
        <w:rPr>
          <w:rFonts w:ascii="宋体" w:hAnsi="宋体"/>
          <w:color w:val="auto"/>
          <w:kern w:val="0"/>
          <w:szCs w:val="20"/>
          <w:highlight w:val="none"/>
        </w:rPr>
        <w:br w:type="page"/>
      </w:r>
    </w:p>
    <w:p w14:paraId="5236DE82">
      <w:pPr>
        <w:pStyle w:val="34"/>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122" w:name="_Toc17543"/>
      <w:bookmarkStart w:id="2123" w:name="_Toc256000187"/>
      <w:bookmarkStart w:id="2124" w:name="_Toc32055"/>
      <w:bookmarkStart w:id="2125" w:name="_Toc9360"/>
      <w:bookmarkStart w:id="2126" w:name="_Toc54862352"/>
      <w:bookmarkStart w:id="2127" w:name="_Toc30628"/>
      <w:bookmarkStart w:id="2128" w:name="_Toc4422"/>
      <w:bookmarkStart w:id="2129" w:name="_Hlk38571789"/>
      <w:r>
        <w:rPr>
          <w:rFonts w:hint="eastAsia" w:ascii="宋体" w:hAnsi="宋体"/>
          <w:b/>
          <w:color w:val="auto"/>
          <w:kern w:val="0"/>
          <w:sz w:val="28"/>
          <w:szCs w:val="28"/>
          <w:highlight w:val="none"/>
        </w:rPr>
        <w:t>附件1</w:t>
      </w:r>
      <w:r>
        <w:rPr>
          <w:rFonts w:ascii="宋体" w:hAnsi="宋体"/>
          <w:b/>
          <w:color w:val="auto"/>
          <w:kern w:val="0"/>
          <w:sz w:val="28"/>
          <w:szCs w:val="28"/>
          <w:highlight w:val="none"/>
        </w:rPr>
        <w:t xml:space="preserve"> </w:t>
      </w:r>
      <w:r>
        <w:rPr>
          <w:rFonts w:hint="eastAsia" w:ascii="宋体" w:hAnsi="宋体"/>
          <w:b/>
          <w:color w:val="auto"/>
          <w:kern w:val="0"/>
          <w:sz w:val="28"/>
          <w:szCs w:val="28"/>
          <w:highlight w:val="none"/>
        </w:rPr>
        <w:t>《发包人要求》</w:t>
      </w:r>
      <w:bookmarkEnd w:id="2122"/>
      <w:bookmarkEnd w:id="2123"/>
      <w:bookmarkEnd w:id="2124"/>
      <w:bookmarkEnd w:id="2125"/>
      <w:bookmarkEnd w:id="2126"/>
      <w:bookmarkEnd w:id="2127"/>
      <w:bookmarkEnd w:id="2128"/>
    </w:p>
    <w:bookmarkEnd w:id="2129"/>
    <w:p w14:paraId="46E049E8">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0F67CDB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《发包人要求》通常包括但不限于以下内容（供参考，本项目具体要求见第五章）：</w:t>
      </w:r>
    </w:p>
    <w:p w14:paraId="3135C3C8">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一、功能要求</w:t>
      </w:r>
    </w:p>
    <w:p w14:paraId="6B378990">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（一）工程目的。</w:t>
      </w:r>
    </w:p>
    <w:p w14:paraId="1617442A">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（二）工程规模。</w:t>
      </w:r>
    </w:p>
    <w:p w14:paraId="0C89C9E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（三）性能保证指标（性能保证表）。</w:t>
      </w:r>
    </w:p>
    <w:p w14:paraId="306B292A">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（四）产能保证指标。</w:t>
      </w:r>
    </w:p>
    <w:p w14:paraId="143267F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二、工程范围</w:t>
      </w:r>
    </w:p>
    <w:p w14:paraId="65BA3840">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（一）概述</w:t>
      </w:r>
    </w:p>
    <w:p w14:paraId="557E4062">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（二）包括的工作</w:t>
      </w:r>
    </w:p>
    <w:p w14:paraId="15C6A6C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永久工程的设计、采购、施工范围。</w:t>
      </w:r>
    </w:p>
    <w:p w14:paraId="02340EA5">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临时工程的设计与施工范围。</w:t>
      </w:r>
    </w:p>
    <w:p w14:paraId="002B2FA7">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竣工验收工作范围。</w:t>
      </w:r>
    </w:p>
    <w:p w14:paraId="3169FECE">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技术服务工作范围。</w:t>
      </w:r>
    </w:p>
    <w:p w14:paraId="073989E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5. 培训工作范围。</w:t>
      </w:r>
    </w:p>
    <w:p w14:paraId="4BD5B64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6. 保修工作范围。</w:t>
      </w:r>
    </w:p>
    <w:p w14:paraId="6EC7A084">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（三）工作界区</w:t>
      </w:r>
    </w:p>
    <w:p w14:paraId="5CC9DCA3">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（四）发包人提供的现场条件</w:t>
      </w:r>
    </w:p>
    <w:p w14:paraId="7ED61ABF">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施工用电。</w:t>
      </w:r>
    </w:p>
    <w:p w14:paraId="41EC2850">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施工用水。</w:t>
      </w:r>
    </w:p>
    <w:p w14:paraId="57CBD64A">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施工排水。</w:t>
      </w:r>
    </w:p>
    <w:p w14:paraId="3AF94E08">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施工道路。</w:t>
      </w:r>
    </w:p>
    <w:p w14:paraId="1AFB32B1">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（五）发包人提供的技术文件</w:t>
      </w:r>
    </w:p>
    <w:p w14:paraId="4346BE9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除另有批准外，承包人的工作需要遵照发包人的下列技术文件:</w:t>
      </w:r>
    </w:p>
    <w:p w14:paraId="16C9BE0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发包人需求任务书。</w:t>
      </w:r>
    </w:p>
    <w:p w14:paraId="6A39763E">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发包人已完成的设计文件。</w:t>
      </w:r>
    </w:p>
    <w:p w14:paraId="62EC991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三、工艺安排或要求（如有）</w:t>
      </w:r>
    </w:p>
    <w:p w14:paraId="4C95C29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四、时间要求</w:t>
      </w:r>
    </w:p>
    <w:p w14:paraId="4A1ADD55">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（一）开始工作时间。</w:t>
      </w:r>
    </w:p>
    <w:p w14:paraId="17DE2C5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（二）设计完成时间。</w:t>
      </w:r>
    </w:p>
    <w:p w14:paraId="2C5D910C">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（三）进度计划。</w:t>
      </w:r>
    </w:p>
    <w:p w14:paraId="1A77154E">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（四）竣工时间。</w:t>
      </w:r>
    </w:p>
    <w:p w14:paraId="173BD2AE">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（五）缺陷责任期。</w:t>
      </w:r>
    </w:p>
    <w:p w14:paraId="49AD398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（六）其他时间要求。</w:t>
      </w:r>
    </w:p>
    <w:p w14:paraId="0EE7BA02">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五、技术要求</w:t>
      </w:r>
    </w:p>
    <w:p w14:paraId="064BBE2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（一）设计阶段和设计任务。</w:t>
      </w:r>
    </w:p>
    <w:p w14:paraId="077DCA5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（二）设计标准和规范。</w:t>
      </w:r>
    </w:p>
    <w:p w14:paraId="31C128D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（三）技术标准和要求。</w:t>
      </w:r>
    </w:p>
    <w:p w14:paraId="229A5F95">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（四）质量标准。</w:t>
      </w:r>
    </w:p>
    <w:p w14:paraId="1E0DBE22">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（五）设计、施工和设备监造、试验（如有）。</w:t>
      </w:r>
    </w:p>
    <w:p w14:paraId="4CB95F64">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（六）样品。</w:t>
      </w:r>
    </w:p>
    <w:p w14:paraId="6AC44E75">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（七）发包人提供的其他条件，如发包人或其委托的第三人提供的设计、工艺包、用于试验检验的工器具等，以及据此对承包人提出的予以配套的要求。</w:t>
      </w:r>
    </w:p>
    <w:p w14:paraId="0244F5F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六、竣工试验</w:t>
      </w:r>
    </w:p>
    <w:p w14:paraId="038D5A2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（一）第一阶段，如对单车试验等的要求，包括试验前准备。</w:t>
      </w:r>
    </w:p>
    <w:p w14:paraId="60ED9DB7">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（二）第二阶段，如对联动试车、投料试车等的要求，包括人员、设备、材料、燃料、电力、消耗品、工具等必要条件。</w:t>
      </w:r>
    </w:p>
    <w:p w14:paraId="50638A15">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（三）第三阶段，如对性能测试及其他竣工试验的要求，包括产能指标、产品质量标准、运营指标、环保指标等。</w:t>
      </w:r>
    </w:p>
    <w:p w14:paraId="70D3983D">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七、竣工验收</w:t>
      </w:r>
    </w:p>
    <w:p w14:paraId="6CE1D8EE">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八、竣工后试验（如有）</w:t>
      </w:r>
    </w:p>
    <w:p w14:paraId="213578E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九、文件要求</w:t>
      </w:r>
    </w:p>
    <w:p w14:paraId="3A1F5863">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（一）设计文件，及其相关审批、核准、备案要求。</w:t>
      </w:r>
    </w:p>
    <w:p w14:paraId="3A17A51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（二）沟通计划。</w:t>
      </w:r>
    </w:p>
    <w:p w14:paraId="3F9DD06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（三）风险管理计划。</w:t>
      </w:r>
    </w:p>
    <w:p w14:paraId="37E48C0F">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（四）竣工文件和工程的其他记录。</w:t>
      </w:r>
    </w:p>
    <w:p w14:paraId="2E91C50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（五）操作和维修手册。</w:t>
      </w:r>
    </w:p>
    <w:p w14:paraId="5B4AF577">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（六）其他承包人文件。</w:t>
      </w:r>
    </w:p>
    <w:p w14:paraId="1683CC0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十、工程项目管理规定</w:t>
      </w:r>
    </w:p>
    <w:p w14:paraId="5E176FB3">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（一）质量。</w:t>
      </w:r>
    </w:p>
    <w:p w14:paraId="159F2C5C">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（二）进度，包括里程碑进度计划（如果有）。</w:t>
      </w:r>
    </w:p>
    <w:p w14:paraId="3C227C80">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（三）支付。</w:t>
      </w:r>
    </w:p>
    <w:p w14:paraId="61E269D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（四）HSE（健康、安全与环境管理体系）。</w:t>
      </w:r>
    </w:p>
    <w:p w14:paraId="025AEE11">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（五）沟通。</w:t>
      </w:r>
    </w:p>
    <w:p w14:paraId="5F4A6DA2">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（六）变更。</w:t>
      </w:r>
    </w:p>
    <w:p w14:paraId="207AD739">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十一、其他要求</w:t>
      </w:r>
    </w:p>
    <w:p w14:paraId="1C913A6B">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（一）对承包人的主要人员资格要求。</w:t>
      </w:r>
    </w:p>
    <w:p w14:paraId="09475880">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（二）相关审批、核准和备案手续的办理。</w:t>
      </w:r>
    </w:p>
    <w:p w14:paraId="03746C88">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（三）对项目业主人员的操作培训。</w:t>
      </w:r>
    </w:p>
    <w:p w14:paraId="56A13D5F">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（四）分包。</w:t>
      </w:r>
    </w:p>
    <w:p w14:paraId="263B6EF1">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（五）设备供应商。</w:t>
      </w:r>
    </w:p>
    <w:p w14:paraId="54C3FCD1">
      <w:pPr>
        <w:pStyle w:val="34"/>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（六）缺陷责任期的服务要求。</w:t>
      </w:r>
    </w:p>
    <w:p w14:paraId="3A04C3E2">
      <w:pPr>
        <w:pStyle w:val="34"/>
        <w:keepNext/>
        <w:keepLines/>
        <w:widowControl/>
        <w:tabs>
          <w:tab w:val="left" w:pos="1134"/>
        </w:tabs>
        <w:wordWrap w:val="0"/>
        <w:topLinePunct/>
        <w:adjustRightInd w:val="0"/>
        <w:snapToGrid w:val="0"/>
        <w:spacing w:after="156" w:afterLines="50" w:line="360" w:lineRule="auto"/>
        <w:jc w:val="center"/>
        <w:outlineLvl w:val="1"/>
        <w:rPr>
          <w:rFonts w:ascii="黑体" w:hAnsi="黑体" w:eastAsia="黑体"/>
          <w:b/>
          <w:color w:val="auto"/>
          <w:kern w:val="0"/>
          <w:sz w:val="30"/>
          <w:szCs w:val="30"/>
          <w:highlight w:val="none"/>
        </w:rPr>
      </w:pPr>
      <w:bookmarkStart w:id="2130" w:name="_Toc20171894"/>
      <w:bookmarkStart w:id="2131" w:name="_Toc54862353"/>
      <w:r>
        <w:rPr>
          <w:rFonts w:ascii="宋体" w:hAnsi="宋体"/>
          <w:color w:val="auto"/>
          <w:kern w:val="0"/>
          <w:szCs w:val="20"/>
          <w:highlight w:val="none"/>
        </w:rPr>
        <w:br w:type="page"/>
      </w:r>
      <w:bookmarkStart w:id="2132" w:name="_Toc29323"/>
      <w:bookmarkStart w:id="2133" w:name="_Toc8865"/>
      <w:bookmarkStart w:id="2134" w:name="_Toc17840"/>
      <w:bookmarkStart w:id="2135" w:name="_Toc256000188"/>
      <w:bookmarkStart w:id="2136" w:name="_Toc4149"/>
      <w:bookmarkStart w:id="2137" w:name="_Toc24151"/>
      <w:r>
        <w:rPr>
          <w:rFonts w:hint="eastAsia" w:ascii="宋体" w:hAnsi="宋体"/>
          <w:b/>
          <w:color w:val="auto"/>
          <w:kern w:val="0"/>
          <w:sz w:val="28"/>
          <w:szCs w:val="28"/>
          <w:highlight w:val="none"/>
        </w:rPr>
        <w:t>附件2</w:t>
      </w:r>
      <w:r>
        <w:rPr>
          <w:rFonts w:ascii="宋体" w:hAnsi="宋体"/>
          <w:b/>
          <w:color w:val="auto"/>
          <w:kern w:val="0"/>
          <w:sz w:val="28"/>
          <w:szCs w:val="28"/>
          <w:highlight w:val="none"/>
        </w:rPr>
        <w:t xml:space="preserve"> 发包人供应材料设备一览表</w:t>
      </w:r>
      <w:bookmarkEnd w:id="2130"/>
      <w:bookmarkEnd w:id="2131"/>
      <w:bookmarkEnd w:id="2132"/>
      <w:bookmarkEnd w:id="2133"/>
      <w:bookmarkEnd w:id="2134"/>
      <w:bookmarkEnd w:id="2135"/>
      <w:bookmarkEnd w:id="2136"/>
      <w:bookmarkEnd w:id="2137"/>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1995D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552" w:type="dxa"/>
            <w:tcBorders>
              <w:tl2br w:val="nil"/>
              <w:tr2bl w:val="nil"/>
            </w:tcBorders>
            <w:vAlign w:val="center"/>
          </w:tcPr>
          <w:p w14:paraId="550394D1">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序号</w:t>
            </w:r>
          </w:p>
        </w:tc>
        <w:tc>
          <w:tcPr>
            <w:tcW w:w="1165" w:type="dxa"/>
            <w:tcBorders>
              <w:tl2br w:val="nil"/>
              <w:tr2bl w:val="nil"/>
            </w:tcBorders>
            <w:vAlign w:val="center"/>
          </w:tcPr>
          <w:p w14:paraId="54FD2DAA">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材料、设备品种</w:t>
            </w:r>
          </w:p>
        </w:tc>
        <w:tc>
          <w:tcPr>
            <w:tcW w:w="1126" w:type="dxa"/>
            <w:tcBorders>
              <w:tl2br w:val="nil"/>
              <w:tr2bl w:val="nil"/>
            </w:tcBorders>
            <w:vAlign w:val="center"/>
          </w:tcPr>
          <w:p w14:paraId="2D46E1B1">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规格型号</w:t>
            </w:r>
          </w:p>
        </w:tc>
        <w:tc>
          <w:tcPr>
            <w:tcW w:w="567" w:type="dxa"/>
            <w:tcBorders>
              <w:tl2br w:val="nil"/>
              <w:tr2bl w:val="nil"/>
            </w:tcBorders>
            <w:vAlign w:val="center"/>
          </w:tcPr>
          <w:p w14:paraId="5DC0BB17">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单位</w:t>
            </w:r>
          </w:p>
        </w:tc>
        <w:tc>
          <w:tcPr>
            <w:tcW w:w="686" w:type="dxa"/>
            <w:tcBorders>
              <w:tl2br w:val="nil"/>
              <w:tr2bl w:val="nil"/>
            </w:tcBorders>
            <w:vAlign w:val="center"/>
          </w:tcPr>
          <w:p w14:paraId="4170EE0C">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数量</w:t>
            </w:r>
          </w:p>
        </w:tc>
        <w:tc>
          <w:tcPr>
            <w:tcW w:w="992" w:type="dxa"/>
            <w:tcBorders>
              <w:tl2br w:val="nil"/>
              <w:tr2bl w:val="nil"/>
            </w:tcBorders>
            <w:vAlign w:val="center"/>
          </w:tcPr>
          <w:p w14:paraId="1E5AE825">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单价（元）</w:t>
            </w:r>
          </w:p>
        </w:tc>
        <w:tc>
          <w:tcPr>
            <w:tcW w:w="1134" w:type="dxa"/>
            <w:tcBorders>
              <w:tl2br w:val="nil"/>
              <w:tr2bl w:val="nil"/>
            </w:tcBorders>
            <w:vAlign w:val="center"/>
          </w:tcPr>
          <w:p w14:paraId="360D4EA3">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质量等级</w:t>
            </w:r>
          </w:p>
        </w:tc>
        <w:tc>
          <w:tcPr>
            <w:tcW w:w="1134" w:type="dxa"/>
            <w:tcBorders>
              <w:tl2br w:val="nil"/>
              <w:tr2bl w:val="nil"/>
            </w:tcBorders>
            <w:vAlign w:val="center"/>
          </w:tcPr>
          <w:p w14:paraId="4D906EF8">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供应时间</w:t>
            </w:r>
          </w:p>
        </w:tc>
        <w:tc>
          <w:tcPr>
            <w:tcW w:w="1134" w:type="dxa"/>
            <w:tcBorders>
              <w:tl2br w:val="nil"/>
              <w:tr2bl w:val="nil"/>
            </w:tcBorders>
            <w:vAlign w:val="center"/>
          </w:tcPr>
          <w:p w14:paraId="2971E0E3">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送达地点</w:t>
            </w:r>
          </w:p>
        </w:tc>
        <w:tc>
          <w:tcPr>
            <w:tcW w:w="709" w:type="dxa"/>
            <w:tcBorders>
              <w:tl2br w:val="nil"/>
              <w:tr2bl w:val="nil"/>
            </w:tcBorders>
            <w:vAlign w:val="center"/>
          </w:tcPr>
          <w:p w14:paraId="7E578932">
            <w:pPr>
              <w:pStyle w:val="34"/>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备注</w:t>
            </w:r>
          </w:p>
        </w:tc>
      </w:tr>
      <w:tr w14:paraId="4F177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7FF2120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4941B26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6CBF8C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4AB6ED8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6CCC97B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3DF53E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CCD2F8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76E196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9CFB8E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0A7D34C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C7C9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16241D4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54D7C5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371B6C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042ABE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21324BF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1F02B7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61FB78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10B3F1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03BFAC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CB0A5B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B94E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409D2A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5ABC999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6219245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431308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69AF019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3875B17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DDECBA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8BB075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48EAAC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7B2842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27EE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D5EA05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2FEC6A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0D5FF1A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37A00B7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65ACF8E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A83FD9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EE4566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B29AC4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701551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0F13DE7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BF5B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338826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4CEB3A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1790E2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A736EB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493372D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60AB1F2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D461A1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7F4FB4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B34F6E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0FB6A18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B852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674D418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0375FD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75DD3A1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3D7A387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64CB4EB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94513D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1F14CE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8663FE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DABBE1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501E42B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C5CD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20CC35F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55BC32A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7E46523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58B703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C189DF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2625F0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765D56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C715DC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83F7FF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2C82D85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A371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7C32EC6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7C9FCEF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1CA46C9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11769EA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03E256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5087D6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C724EA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433416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41DCA9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C145AF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BE3D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283A33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2C6DEF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15FE4BB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9A805D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FD9CB0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9534A8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906AD5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6CC3C6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BB103A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84F22F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99AC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3F5823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4E0BD93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48AE793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42221CD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C1F26C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520E67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F87878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95D4E3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7FFBDD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6AE48EC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3FF5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19353A6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29D07C2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D30EEF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0E7BE17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0F82997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5B2B6B8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7C09D5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B6E1D0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621E03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0DBA5A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32BA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B8F0BC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498FE6A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1E45908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73AD3E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AF1CE5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6C5F366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F905AB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D38920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C41E68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FE5998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8A54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2844F0A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3DDF4CD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492268A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4965EF7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D43E84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1F5F14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B71225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32E04D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F9DD3A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CF4A9B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DA1E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5B5F83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152C149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AAA1E1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72B4BB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C6773C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4364BD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FDD006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530467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95C073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6D1886D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0F4B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628C213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7C686B4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0ACEDE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4D57903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686CEA2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7F8E4A1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E9AF58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C22090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74A455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36027E3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07B3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1BA0A2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705CD3B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4E9F978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6210CB8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C7ADA4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E4482B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7D923E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1701C6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3A49E0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5F05B6C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8566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3F10F4E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253304F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BFFDF0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1283224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7E3E54F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3687F4E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F533B0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6720A4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45E49F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96D6DE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E2C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24B8A18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1F413FC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D74452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2E6D2DE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44349E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77E65E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2DEFD5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38975C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07B1B2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03941E2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bl>
    <w:p w14:paraId="3EB1E4DF">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p>
    <w:p w14:paraId="0554288B">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r>
        <w:rPr>
          <w:rFonts w:ascii="宋体" w:hAnsi="宋体"/>
          <w:color w:val="auto"/>
          <w:kern w:val="0"/>
          <w:szCs w:val="20"/>
          <w:highlight w:val="none"/>
        </w:rPr>
        <w:br w:type="page"/>
      </w:r>
    </w:p>
    <w:p w14:paraId="28C93525">
      <w:pPr>
        <w:pStyle w:val="34"/>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138" w:name="_Toc25944"/>
      <w:bookmarkStart w:id="2139" w:name="_Toc20171895"/>
      <w:bookmarkStart w:id="2140" w:name="_Toc54862354"/>
      <w:bookmarkStart w:id="2141" w:name="_Toc20307"/>
      <w:bookmarkStart w:id="2142" w:name="_Toc343"/>
      <w:bookmarkStart w:id="2143" w:name="_Toc9203"/>
      <w:bookmarkStart w:id="2144" w:name="_Toc256000189"/>
      <w:bookmarkStart w:id="2145" w:name="_Toc11334"/>
      <w:r>
        <w:rPr>
          <w:rFonts w:hint="eastAsia" w:ascii="宋体" w:hAnsi="宋体"/>
          <w:b/>
          <w:color w:val="auto"/>
          <w:kern w:val="0"/>
          <w:sz w:val="28"/>
          <w:szCs w:val="28"/>
          <w:highlight w:val="none"/>
        </w:rPr>
        <w:t>附件</w:t>
      </w:r>
      <w:r>
        <w:rPr>
          <w:rFonts w:ascii="宋体" w:hAnsi="宋体"/>
          <w:b/>
          <w:color w:val="auto"/>
          <w:kern w:val="0"/>
          <w:sz w:val="28"/>
          <w:szCs w:val="28"/>
          <w:highlight w:val="none"/>
        </w:rPr>
        <w:t>3 工程质量保修书</w:t>
      </w:r>
      <w:bookmarkEnd w:id="2138"/>
      <w:bookmarkEnd w:id="2139"/>
      <w:bookmarkEnd w:id="2140"/>
      <w:bookmarkEnd w:id="2141"/>
      <w:bookmarkEnd w:id="2142"/>
      <w:bookmarkEnd w:id="2143"/>
      <w:bookmarkEnd w:id="2144"/>
      <w:bookmarkEnd w:id="2145"/>
    </w:p>
    <w:p w14:paraId="21D6DA0B">
      <w:pPr>
        <w:pStyle w:val="34"/>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kern w:val="0"/>
          <w:szCs w:val="21"/>
          <w:highlight w:val="none"/>
        </w:rPr>
      </w:pPr>
      <w:r>
        <w:rPr>
          <w:rFonts w:hint="eastAsia" w:ascii="宋体" w:hAnsi="宋体"/>
          <w:color w:val="auto"/>
          <w:kern w:val="0"/>
          <w:sz w:val="21"/>
          <w:szCs w:val="21"/>
          <w:highlight w:val="none"/>
        </w:rPr>
        <w:t>发包人（全称）：</w:t>
      </w:r>
      <w:r>
        <w:rPr>
          <w:rFonts w:ascii="宋体" w:hAnsi="宋体"/>
          <w:color w:val="auto"/>
          <w:kern w:val="0"/>
          <w:sz w:val="21"/>
          <w:szCs w:val="21"/>
          <w:highlight w:val="none"/>
          <w:u w:val="single"/>
        </w:rPr>
        <w:t xml:space="preserve">                                  </w:t>
      </w:r>
    </w:p>
    <w:p w14:paraId="27EF0111">
      <w:pPr>
        <w:pStyle w:val="34"/>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kern w:val="0"/>
          <w:szCs w:val="21"/>
          <w:highlight w:val="none"/>
        </w:rPr>
      </w:pPr>
      <w:r>
        <w:rPr>
          <w:rFonts w:hint="eastAsia" w:ascii="宋体" w:hAnsi="宋体"/>
          <w:color w:val="auto"/>
          <w:kern w:val="0"/>
          <w:sz w:val="21"/>
          <w:szCs w:val="21"/>
          <w:highlight w:val="none"/>
        </w:rPr>
        <w:t>承包人（全称）：</w:t>
      </w:r>
      <w:r>
        <w:rPr>
          <w:rFonts w:ascii="宋体" w:hAnsi="宋体"/>
          <w:color w:val="auto"/>
          <w:kern w:val="0"/>
          <w:sz w:val="21"/>
          <w:szCs w:val="21"/>
          <w:highlight w:val="none"/>
          <w:u w:val="single"/>
        </w:rPr>
        <w:t xml:space="preserve">                                  </w:t>
      </w:r>
    </w:p>
    <w:p w14:paraId="230B35F7">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发包人和承包人根据《中华人民共和国建筑法》和《建设工程质量管理条例》，经协商一致就</w:t>
      </w:r>
      <w:r>
        <w:rPr>
          <w:rFonts w:ascii="宋体" w:hAnsi="宋体"/>
          <w:color w:val="auto"/>
          <w:kern w:val="0"/>
          <w:sz w:val="21"/>
          <w:szCs w:val="21"/>
          <w:highlight w:val="none"/>
          <w:u w:val="single"/>
        </w:rPr>
        <w:t xml:space="preserve"> </w:t>
      </w:r>
      <w:r>
        <w:rPr>
          <w:rFonts w:hint="eastAsia" w:ascii="Times New Roman" w:hAnsi="Times New Roman" w:eastAsia="宋体" w:cs="宋体"/>
          <w:color w:val="auto"/>
          <w:sz w:val="21"/>
          <w:szCs w:val="21"/>
          <w:highlight w:val="none"/>
          <w:u w:val="single"/>
          <w:lang w:eastAsia="zh-CN"/>
        </w:rPr>
        <w:t>营口国盛轩宇产业开发建设有限公司清洁能源高端装备制造产业基地基础设施配套项目（一标段）EPC工程总承包</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（工程全称）订立工程质量保修书。</w:t>
      </w:r>
    </w:p>
    <w:p w14:paraId="56A8C3B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一、工程质量保修范围和内容</w:t>
      </w:r>
    </w:p>
    <w:p w14:paraId="0310EDD1">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承包人在质量保修期内，按照有关法律规定和合同约定，承担工程质量保修责任。</w:t>
      </w:r>
    </w:p>
    <w:p w14:paraId="7C26F92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kern w:val="0"/>
          <w:sz w:val="21"/>
          <w:szCs w:val="21"/>
          <w:highlight w:val="none"/>
          <w:u w:val="single"/>
          <w:lang w:val="en-US" w:eastAsia="zh-CN"/>
        </w:rPr>
        <w:t>/</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w:t>
      </w:r>
    </w:p>
    <w:p w14:paraId="1C74AA77">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二、质量保修期</w:t>
      </w:r>
    </w:p>
    <w:p w14:paraId="13F5FDE6">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根据《建设工程质量管理条例》及有关规定，工程的质量保修期如下：</w:t>
      </w:r>
    </w:p>
    <w:p w14:paraId="0804B6C8">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1．地基基础工程和主体结构工程为设计文件规定的工程合理使用年限；</w:t>
      </w:r>
    </w:p>
    <w:p w14:paraId="67861A83">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2．屋面防水工程、有防水要求的卫生间、房间和外墙面的防渗为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5</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6B26AFE8">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3．装修工程为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4A27A522">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4．电气管线、给排水管道、设备安装工程为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22910F5B">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5．供热与供冷系统为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个采暖期、供冷期；</w:t>
      </w:r>
    </w:p>
    <w:p w14:paraId="7FCE709A">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6．住宅小区内的给排水设施、道路等配套工程为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53D6A1DD">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7．其他项目保修期限约定如下：</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w:t>
      </w:r>
    </w:p>
    <w:p w14:paraId="666E1B8D">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质量保修期自工程竣工验收合格之日起计算。</w:t>
      </w:r>
    </w:p>
    <w:p w14:paraId="38878CD5">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三、缺陷责任期</w:t>
      </w:r>
      <w:bookmarkStart w:id="2146" w:name="OLE_LINK6"/>
    </w:p>
    <w:p w14:paraId="64C62850">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工程缺陷责任期为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 xml:space="preserve">12  </w:t>
      </w:r>
      <w:r>
        <w:rPr>
          <w:rFonts w:hint="eastAsia" w:ascii="宋体" w:hAnsi="宋体"/>
          <w:color w:val="auto"/>
          <w:kern w:val="0"/>
          <w:sz w:val="21"/>
          <w:szCs w:val="21"/>
          <w:highlight w:val="none"/>
        </w:rPr>
        <w:t>个月，缺陷责任期自工程通过竣工验收之日起计算。单位/区段工程先于全部工程进行验收，单位/区段工程缺陷责任期自单位/区段工程验收合格之日起算。</w:t>
      </w:r>
    </w:p>
    <w:p w14:paraId="485DD6C4">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缺陷责任期终止后，发包人应返还剩余的质量保证金。</w:t>
      </w:r>
    </w:p>
    <w:bookmarkEnd w:id="2146"/>
    <w:p w14:paraId="6947A07C">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四、质量保修责任</w:t>
      </w:r>
    </w:p>
    <w:p w14:paraId="3A811F08">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1．属于保修范围、内容的项目，承包人应当在接到保修通知之日起7天内派人保修。承包人不在约定期限内派人保修的，发包人可以委托他人修理。</w:t>
      </w:r>
    </w:p>
    <w:p w14:paraId="00E9D10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2．发生紧急事故需抢修的，承包人在接到事故通知后，应当立即到达事故现场抢修。</w:t>
      </w:r>
    </w:p>
    <w:p w14:paraId="4F39000D">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68A175C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4．质量保修完成后，由发包人组织验收。</w:t>
      </w:r>
    </w:p>
    <w:p w14:paraId="7372B4FB">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五、保修费用</w:t>
      </w:r>
    </w:p>
    <w:p w14:paraId="67C1ED1A">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保修费用由造成质量缺陷的责任方承担。</w:t>
      </w:r>
    </w:p>
    <w:p w14:paraId="6AE701BA">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u w:val="single"/>
        </w:rPr>
      </w:pPr>
      <w:r>
        <w:rPr>
          <w:rFonts w:hint="eastAsia" w:ascii="宋体" w:hAnsi="宋体"/>
          <w:color w:val="auto"/>
          <w:kern w:val="0"/>
          <w:sz w:val="21"/>
          <w:szCs w:val="21"/>
          <w:highlight w:val="none"/>
        </w:rPr>
        <w:t>六、双方约定的其他工程质量保修事项：</w:t>
      </w:r>
      <w:r>
        <w:rPr>
          <w:rFonts w:hint="eastAsia" w:ascii="宋体" w:hAnsi="宋体"/>
          <w:color w:val="auto"/>
          <w:kern w:val="0"/>
          <w:sz w:val="21"/>
          <w:szCs w:val="21"/>
          <w:highlight w:val="none"/>
          <w:u w:val="single"/>
          <w:lang w:val="en-US" w:eastAsia="zh-CN"/>
        </w:rPr>
        <w:t>/</w:t>
      </w:r>
      <w:r>
        <w:rPr>
          <w:rFonts w:hint="eastAsia" w:ascii="宋体" w:hAnsi="宋体"/>
          <w:color w:val="auto"/>
          <w:kern w:val="0"/>
          <w:sz w:val="21"/>
          <w:szCs w:val="21"/>
          <w:highlight w:val="none"/>
        </w:rPr>
        <w:t>。</w:t>
      </w:r>
    </w:p>
    <w:p w14:paraId="3BD8446D">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工程质量保修书由发包人、承包人在工程竣工验收前共同签署，作为工程总承包合同附件，其有效期限至保修期满。</w:t>
      </w:r>
    </w:p>
    <w:p w14:paraId="67D2A1D7">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p>
    <w:p w14:paraId="1AAE6658">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发包人(公章)：               承包人(公章)：          </w:t>
      </w:r>
    </w:p>
    <w:p w14:paraId="6718B2B0">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地  址：                     地  址：       </w:t>
      </w:r>
    </w:p>
    <w:p w14:paraId="3368BA8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法定代表人(签字)：           法定代表人(签字)：       </w:t>
      </w:r>
    </w:p>
    <w:p w14:paraId="469FF4E9">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委托代理人(签字)：           委托代理人(签字)：       </w:t>
      </w:r>
    </w:p>
    <w:p w14:paraId="6440A5E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电  话：                     电  话：</w:t>
      </w:r>
    </w:p>
    <w:p w14:paraId="0DD18F37">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传  真：                     传  真：  </w:t>
      </w:r>
    </w:p>
    <w:p w14:paraId="5FB2553E">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开户银行：                   开户银行：</w:t>
      </w:r>
    </w:p>
    <w:p w14:paraId="0EA06D1F">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 w:val="21"/>
          <w:szCs w:val="21"/>
          <w:highlight w:val="none"/>
        </w:rPr>
        <w:t xml:space="preserve">账  号：                     账  号： </w:t>
      </w:r>
    </w:p>
    <w:p w14:paraId="17225F92">
      <w:pPr>
        <w:pStyle w:val="34"/>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color w:val="auto"/>
          <w:kern w:val="0"/>
          <w:szCs w:val="21"/>
          <w:highlight w:val="none"/>
        </w:rPr>
      </w:pPr>
      <w:r>
        <w:rPr>
          <w:rFonts w:hint="eastAsia" w:ascii="宋体" w:hAnsi="宋体"/>
          <w:color w:val="auto"/>
          <w:kern w:val="0"/>
          <w:sz w:val="21"/>
          <w:szCs w:val="21"/>
          <w:highlight w:val="none"/>
        </w:rPr>
        <w:t xml:space="preserve">邮政编码：                   邮政编码： </w:t>
      </w:r>
      <w:r>
        <w:rPr>
          <w:rFonts w:hint="eastAsia" w:ascii="仿宋_GB2312" w:hAnsi="宋体" w:eastAsia="仿宋_GB2312"/>
          <w:color w:val="auto"/>
          <w:kern w:val="0"/>
          <w:sz w:val="21"/>
          <w:szCs w:val="21"/>
          <w:highlight w:val="none"/>
        </w:rPr>
        <w:t xml:space="preserve">  </w:t>
      </w:r>
    </w:p>
    <w:p w14:paraId="568C237F">
      <w:pPr>
        <w:pStyle w:val="34"/>
        <w:keepNext w:val="0"/>
        <w:keepLines w:val="0"/>
        <w:pageBreakBefore w:val="0"/>
        <w:widowControl/>
        <w:kinsoku/>
        <w:wordWrap/>
        <w:overflowPunct/>
        <w:topLinePunct w:val="0"/>
        <w:autoSpaceDE/>
        <w:autoSpaceDN/>
        <w:bidi w:val="0"/>
        <w:spacing w:line="360" w:lineRule="auto"/>
        <w:jc w:val="left"/>
        <w:textAlignment w:val="auto"/>
        <w:rPr>
          <w:rFonts w:ascii="宋体" w:hAnsi="宋体"/>
          <w:color w:val="auto"/>
          <w:kern w:val="0"/>
          <w:szCs w:val="21"/>
          <w:highlight w:val="none"/>
        </w:rPr>
      </w:pPr>
      <w:r>
        <w:rPr>
          <w:rFonts w:ascii="宋体" w:hAnsi="宋体"/>
          <w:color w:val="auto"/>
          <w:kern w:val="0"/>
          <w:sz w:val="21"/>
          <w:szCs w:val="21"/>
          <w:highlight w:val="none"/>
        </w:rPr>
        <w:br w:type="page"/>
      </w:r>
    </w:p>
    <w:p w14:paraId="5631A9A3">
      <w:pPr>
        <w:pStyle w:val="34"/>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147" w:name="_Toc54862355"/>
      <w:bookmarkStart w:id="2148" w:name="_Toc27247"/>
      <w:bookmarkStart w:id="2149" w:name="_Toc20171896"/>
      <w:bookmarkStart w:id="2150" w:name="_Toc20644"/>
      <w:bookmarkStart w:id="2151" w:name="_Toc256000190"/>
      <w:bookmarkStart w:id="2152" w:name="_Toc11619"/>
      <w:bookmarkStart w:id="2153" w:name="_Toc5938"/>
      <w:bookmarkStart w:id="2154" w:name="_Toc20192"/>
      <w:r>
        <w:rPr>
          <w:rFonts w:hint="eastAsia" w:ascii="宋体" w:hAnsi="宋体"/>
          <w:b/>
          <w:color w:val="auto"/>
          <w:kern w:val="0"/>
          <w:sz w:val="28"/>
          <w:szCs w:val="28"/>
          <w:highlight w:val="none"/>
        </w:rPr>
        <w:t>附件4</w:t>
      </w:r>
      <w:r>
        <w:rPr>
          <w:rFonts w:ascii="宋体" w:hAnsi="宋体"/>
          <w:b/>
          <w:color w:val="auto"/>
          <w:kern w:val="0"/>
          <w:sz w:val="28"/>
          <w:szCs w:val="28"/>
          <w:highlight w:val="none"/>
        </w:rPr>
        <w:t xml:space="preserve"> 主要建设工程文件目录</w:t>
      </w:r>
      <w:bookmarkEnd w:id="2147"/>
      <w:bookmarkEnd w:id="2148"/>
      <w:bookmarkEnd w:id="2149"/>
      <w:bookmarkEnd w:id="2150"/>
      <w:bookmarkEnd w:id="2151"/>
      <w:bookmarkEnd w:id="2152"/>
      <w:bookmarkEnd w:id="2153"/>
      <w:bookmarkEnd w:id="215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5A22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2125" w:type="dxa"/>
            <w:vAlign w:val="center"/>
          </w:tcPr>
          <w:p w14:paraId="39D113FE">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文件名称</w:t>
            </w:r>
          </w:p>
        </w:tc>
        <w:tc>
          <w:tcPr>
            <w:tcW w:w="1276" w:type="dxa"/>
            <w:vAlign w:val="center"/>
          </w:tcPr>
          <w:p w14:paraId="66A0CD27">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套数</w:t>
            </w:r>
          </w:p>
        </w:tc>
        <w:tc>
          <w:tcPr>
            <w:tcW w:w="1450" w:type="dxa"/>
            <w:vAlign w:val="center"/>
          </w:tcPr>
          <w:p w14:paraId="57CB4147">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费用（元）</w:t>
            </w:r>
          </w:p>
        </w:tc>
        <w:tc>
          <w:tcPr>
            <w:tcW w:w="1243" w:type="dxa"/>
            <w:vAlign w:val="center"/>
          </w:tcPr>
          <w:p w14:paraId="0947BD08">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质量</w:t>
            </w:r>
          </w:p>
        </w:tc>
        <w:tc>
          <w:tcPr>
            <w:tcW w:w="1450" w:type="dxa"/>
          </w:tcPr>
          <w:p w14:paraId="7294D5BD">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移交时间</w:t>
            </w:r>
          </w:p>
        </w:tc>
        <w:tc>
          <w:tcPr>
            <w:tcW w:w="1670" w:type="dxa"/>
          </w:tcPr>
          <w:p w14:paraId="540BC17F">
            <w:pPr>
              <w:pStyle w:val="34"/>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责任人</w:t>
            </w:r>
          </w:p>
        </w:tc>
      </w:tr>
      <w:tr w14:paraId="49E5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3EACD2B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44D9CB0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24745D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5A18D4E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B56B7A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2E8143A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74E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744148F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720FB5A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19C783A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7904843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30B601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315F652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E53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427E361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1BA34A4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01F61C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459959D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6A14CD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778F7D2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5E9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633685D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2819A99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00CE18C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6106319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59EF591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4873D28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7EF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7F1DC11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0D3BA89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40A125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3BAD663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5B967B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03CD7F8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0D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151A56C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5142C27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0523C8F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5B1777A7">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85488D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183F9B7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79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5" w:type="dxa"/>
            <w:vAlign w:val="center"/>
          </w:tcPr>
          <w:p w14:paraId="7638C35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3C4B129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ABB5FF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47F2683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2B52C68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1D75C37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022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33B26AB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214F7FD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8D7B33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466790F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6792A44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1E9E3D2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BC2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4191022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130A048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0F149D4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3361D71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526016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647D5F7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134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4E326FC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7D7B246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1646E1A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76C14DC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33DD3F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61F1EC0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639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0FF8708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180DB23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2D6F1E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58224A2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761317A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105A87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D7D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110D73C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07746C0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08F146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24BA3D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D57AE3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2C6EEA8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4FA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6B6AA76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7538C33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6E96722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18FE761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A6487D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3FCA4E7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0E4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30DE244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3135DA0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0E2860E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FBC61A2">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4D07984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F29CFB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2BB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033E67CC">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36944F3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9BA775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3BAF564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41C4308D">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70938A6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898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58926DD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4E149E41">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7981698">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53B59C6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57AF66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7586D07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4B9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60DF06A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45A4E31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C8F13F5">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6FE7085E">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20C51C1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6201E05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715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164EE37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05D27D94">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671ED4E0">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37BBFE8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623B5AB">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3000C57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B62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478D9A93">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1E892449">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F56BD9A">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612D19DF">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2D896AD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33ED926">
            <w:pPr>
              <w:pStyle w:val="34"/>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bl>
    <w:p w14:paraId="2E201A65">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p>
    <w:p w14:paraId="1466A622">
      <w:pPr>
        <w:pStyle w:val="34"/>
        <w:widowControl/>
        <w:adjustRightInd w:val="0"/>
        <w:snapToGrid w:val="0"/>
        <w:spacing w:after="156" w:afterLines="50" w:line="360" w:lineRule="auto"/>
        <w:ind w:firstLine="420" w:firstLineChars="200"/>
        <w:rPr>
          <w:rFonts w:ascii="宋体" w:hAnsi="宋体"/>
          <w:color w:val="auto"/>
          <w:kern w:val="0"/>
          <w:szCs w:val="20"/>
          <w:highlight w:val="none"/>
        </w:rPr>
      </w:pPr>
    </w:p>
    <w:p w14:paraId="6A0A50B7">
      <w:pPr>
        <w:pStyle w:val="34"/>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155" w:name="_Toc256000191"/>
      <w:bookmarkStart w:id="2156" w:name="_Toc12196"/>
      <w:bookmarkStart w:id="2157" w:name="_Toc20171897"/>
      <w:bookmarkStart w:id="2158" w:name="_Toc4325"/>
      <w:bookmarkStart w:id="2159" w:name="_Toc54862356"/>
      <w:bookmarkStart w:id="2160" w:name="_Toc27911"/>
      <w:bookmarkStart w:id="2161" w:name="_Toc31783"/>
      <w:bookmarkStart w:id="2162" w:name="_Toc27850"/>
      <w:r>
        <w:rPr>
          <w:rFonts w:hint="eastAsia" w:ascii="宋体" w:hAnsi="宋体"/>
          <w:b/>
          <w:color w:val="auto"/>
          <w:kern w:val="0"/>
          <w:sz w:val="28"/>
          <w:szCs w:val="28"/>
          <w:highlight w:val="none"/>
        </w:rPr>
        <w:t>附件</w:t>
      </w:r>
      <w:r>
        <w:rPr>
          <w:rFonts w:ascii="宋体" w:hAnsi="宋体"/>
          <w:b/>
          <w:color w:val="auto"/>
          <w:kern w:val="0"/>
          <w:sz w:val="28"/>
          <w:szCs w:val="28"/>
          <w:highlight w:val="none"/>
        </w:rPr>
        <w:t>5 承包人主要管理人员表</w:t>
      </w:r>
      <w:bookmarkEnd w:id="2155"/>
      <w:bookmarkEnd w:id="2156"/>
      <w:bookmarkEnd w:id="2157"/>
      <w:bookmarkEnd w:id="2158"/>
      <w:bookmarkEnd w:id="2159"/>
      <w:bookmarkEnd w:id="2160"/>
      <w:bookmarkEnd w:id="2161"/>
      <w:bookmarkEnd w:id="2162"/>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8"/>
        <w:gridCol w:w="992"/>
        <w:gridCol w:w="2347"/>
        <w:gridCol w:w="1134"/>
        <w:gridCol w:w="3896"/>
      </w:tblGrid>
      <w:tr w14:paraId="1D0E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7611E545">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序号</w:t>
            </w:r>
          </w:p>
        </w:tc>
        <w:tc>
          <w:tcPr>
            <w:tcW w:w="992" w:type="dxa"/>
            <w:vAlign w:val="center"/>
          </w:tcPr>
          <w:p w14:paraId="626E83E5">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姓名</w:t>
            </w:r>
          </w:p>
        </w:tc>
        <w:tc>
          <w:tcPr>
            <w:tcW w:w="2347" w:type="dxa"/>
            <w:vAlign w:val="center"/>
          </w:tcPr>
          <w:p w14:paraId="345589C5">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职务</w:t>
            </w:r>
          </w:p>
        </w:tc>
        <w:tc>
          <w:tcPr>
            <w:tcW w:w="1134" w:type="dxa"/>
            <w:vAlign w:val="center"/>
          </w:tcPr>
          <w:p w14:paraId="78DEC3AA">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职称</w:t>
            </w:r>
          </w:p>
        </w:tc>
        <w:tc>
          <w:tcPr>
            <w:tcW w:w="3896" w:type="dxa"/>
            <w:vAlign w:val="center"/>
          </w:tcPr>
          <w:p w14:paraId="7232AA35">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主要资历、经验及承担过的项目</w:t>
            </w:r>
          </w:p>
        </w:tc>
      </w:tr>
      <w:tr w14:paraId="1EB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1302C00E">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w:t>
            </w:r>
          </w:p>
        </w:tc>
        <w:tc>
          <w:tcPr>
            <w:tcW w:w="992" w:type="dxa"/>
            <w:vAlign w:val="center"/>
          </w:tcPr>
          <w:p w14:paraId="67FF32A9">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7142DA60">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工程总承包项目经理</w:t>
            </w:r>
          </w:p>
        </w:tc>
        <w:tc>
          <w:tcPr>
            <w:tcW w:w="1134" w:type="dxa"/>
            <w:vAlign w:val="center"/>
          </w:tcPr>
          <w:p w14:paraId="420134B4">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6A6CF2EA">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448D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2BF363DD">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2</w:t>
            </w:r>
          </w:p>
        </w:tc>
        <w:tc>
          <w:tcPr>
            <w:tcW w:w="992" w:type="dxa"/>
            <w:vAlign w:val="center"/>
          </w:tcPr>
          <w:p w14:paraId="7729863E">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4C1C4067">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施工负责人</w:t>
            </w:r>
          </w:p>
        </w:tc>
        <w:tc>
          <w:tcPr>
            <w:tcW w:w="1134" w:type="dxa"/>
            <w:vAlign w:val="center"/>
          </w:tcPr>
          <w:p w14:paraId="25330A41">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0C40E0EA">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6738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11B76ED1">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3</w:t>
            </w:r>
          </w:p>
        </w:tc>
        <w:tc>
          <w:tcPr>
            <w:tcW w:w="992" w:type="dxa"/>
            <w:vAlign w:val="center"/>
          </w:tcPr>
          <w:p w14:paraId="0C5535E0">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05B8C215">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设计负责人</w:t>
            </w:r>
          </w:p>
        </w:tc>
        <w:tc>
          <w:tcPr>
            <w:tcW w:w="1134" w:type="dxa"/>
            <w:vAlign w:val="center"/>
          </w:tcPr>
          <w:p w14:paraId="3A170D48">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633C5C4">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4419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094C3C0C">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vAlign w:val="center"/>
          </w:tcPr>
          <w:p w14:paraId="1EAC1D78">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3E9C7DDD">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vAlign w:val="center"/>
          </w:tcPr>
          <w:p w14:paraId="76744317">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29B9FF08">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948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9087" w:type="dxa"/>
            <w:gridSpan w:val="5"/>
            <w:vAlign w:val="center"/>
          </w:tcPr>
          <w:p w14:paraId="4CCEE593">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施工班组</w:t>
            </w:r>
          </w:p>
        </w:tc>
      </w:tr>
      <w:tr w14:paraId="700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158E2FC">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4</w:t>
            </w:r>
          </w:p>
        </w:tc>
        <w:tc>
          <w:tcPr>
            <w:tcW w:w="992" w:type="dxa"/>
            <w:vAlign w:val="center"/>
          </w:tcPr>
          <w:p w14:paraId="014BA500">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75FC9DEE">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技术负责人</w:t>
            </w:r>
          </w:p>
        </w:tc>
        <w:tc>
          <w:tcPr>
            <w:tcW w:w="1134" w:type="dxa"/>
            <w:vAlign w:val="center"/>
          </w:tcPr>
          <w:p w14:paraId="34340964">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29BDD7A7">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6F98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D5A29EE">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5</w:t>
            </w:r>
          </w:p>
        </w:tc>
        <w:tc>
          <w:tcPr>
            <w:tcW w:w="992" w:type="dxa"/>
            <w:vAlign w:val="center"/>
          </w:tcPr>
          <w:p w14:paraId="2832CC6D">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C8D19F2">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施工员</w:t>
            </w:r>
          </w:p>
        </w:tc>
        <w:tc>
          <w:tcPr>
            <w:tcW w:w="1134" w:type="dxa"/>
            <w:vAlign w:val="center"/>
          </w:tcPr>
          <w:p w14:paraId="07EE3897">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58BDB4F9">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717F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718" w:type="dxa"/>
            <w:vAlign w:val="center"/>
          </w:tcPr>
          <w:p w14:paraId="5DD9D36F">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6</w:t>
            </w:r>
          </w:p>
        </w:tc>
        <w:tc>
          <w:tcPr>
            <w:tcW w:w="992" w:type="dxa"/>
            <w:vAlign w:val="center"/>
          </w:tcPr>
          <w:p w14:paraId="69612403">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933D2C8">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安全员</w:t>
            </w:r>
          </w:p>
        </w:tc>
        <w:tc>
          <w:tcPr>
            <w:tcW w:w="1134" w:type="dxa"/>
            <w:vAlign w:val="center"/>
          </w:tcPr>
          <w:p w14:paraId="785CFC0F">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412626BC">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68D5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642F9AF9">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7</w:t>
            </w:r>
          </w:p>
        </w:tc>
        <w:tc>
          <w:tcPr>
            <w:tcW w:w="992" w:type="dxa"/>
            <w:vAlign w:val="center"/>
          </w:tcPr>
          <w:p w14:paraId="15B5DEE1">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26B09022">
            <w:pPr>
              <w:pStyle w:val="34"/>
              <w:widowControl/>
              <w:adjustRightInd w:val="0"/>
              <w:snapToGrid w:val="0"/>
              <w:spacing w:line="320" w:lineRule="exact"/>
              <w:jc w:val="both"/>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质量员</w:t>
            </w:r>
          </w:p>
        </w:tc>
        <w:tc>
          <w:tcPr>
            <w:tcW w:w="1134" w:type="dxa"/>
            <w:vAlign w:val="center"/>
          </w:tcPr>
          <w:p w14:paraId="79AC30BB">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C99C254">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345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5756CCD0">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8</w:t>
            </w:r>
          </w:p>
        </w:tc>
        <w:tc>
          <w:tcPr>
            <w:tcW w:w="992" w:type="dxa"/>
            <w:vAlign w:val="center"/>
          </w:tcPr>
          <w:p w14:paraId="15BD5240">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02D4A3A8">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材料员</w:t>
            </w:r>
          </w:p>
        </w:tc>
        <w:tc>
          <w:tcPr>
            <w:tcW w:w="1134" w:type="dxa"/>
            <w:vAlign w:val="center"/>
          </w:tcPr>
          <w:p w14:paraId="37A2CF02">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02F3A9E">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244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7B142D3">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9</w:t>
            </w:r>
          </w:p>
        </w:tc>
        <w:tc>
          <w:tcPr>
            <w:tcW w:w="992" w:type="dxa"/>
            <w:vAlign w:val="center"/>
          </w:tcPr>
          <w:p w14:paraId="238CD7A2">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0B81DDCE">
            <w:pPr>
              <w:pStyle w:val="34"/>
              <w:widowControl/>
              <w:adjustRightInd w:val="0"/>
              <w:snapToGrid w:val="0"/>
              <w:spacing w:line="320" w:lineRule="exact"/>
              <w:jc w:val="both"/>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机械员</w:t>
            </w:r>
          </w:p>
        </w:tc>
        <w:tc>
          <w:tcPr>
            <w:tcW w:w="1134" w:type="dxa"/>
            <w:vAlign w:val="center"/>
          </w:tcPr>
          <w:p w14:paraId="5177E6FA">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C7C80C0">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6721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718" w:type="dxa"/>
            <w:vAlign w:val="center"/>
          </w:tcPr>
          <w:p w14:paraId="79E8D215">
            <w:pPr>
              <w:pStyle w:val="34"/>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10</w:t>
            </w:r>
          </w:p>
        </w:tc>
        <w:tc>
          <w:tcPr>
            <w:tcW w:w="992" w:type="dxa"/>
            <w:vAlign w:val="center"/>
          </w:tcPr>
          <w:p w14:paraId="58929768">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8A5E819">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资料员</w:t>
            </w:r>
          </w:p>
        </w:tc>
        <w:tc>
          <w:tcPr>
            <w:tcW w:w="1134" w:type="dxa"/>
            <w:vAlign w:val="center"/>
          </w:tcPr>
          <w:p w14:paraId="6EAFF1C8">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12D72B1C">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9BC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3C2FB1F">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vAlign w:val="center"/>
          </w:tcPr>
          <w:p w14:paraId="60B16A1F">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1C4D2F35">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vAlign w:val="center"/>
          </w:tcPr>
          <w:p w14:paraId="5640E260">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03CC7145">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3C42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087" w:type="dxa"/>
            <w:gridSpan w:val="5"/>
            <w:vAlign w:val="center"/>
          </w:tcPr>
          <w:p w14:paraId="0086586B">
            <w:pPr>
              <w:pStyle w:val="34"/>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设计班组</w:t>
            </w:r>
          </w:p>
        </w:tc>
      </w:tr>
      <w:tr w14:paraId="5B3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D406E43">
            <w:pPr>
              <w:pStyle w:val="34"/>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11</w:t>
            </w:r>
          </w:p>
        </w:tc>
        <w:tc>
          <w:tcPr>
            <w:tcW w:w="992" w:type="dxa"/>
            <w:vAlign w:val="center"/>
          </w:tcPr>
          <w:p w14:paraId="0589C476">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DF45345">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建筑专业设计人员</w:t>
            </w:r>
          </w:p>
        </w:tc>
        <w:tc>
          <w:tcPr>
            <w:tcW w:w="1134" w:type="dxa"/>
            <w:vAlign w:val="center"/>
          </w:tcPr>
          <w:p w14:paraId="1408F9E9">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6FBBB226">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DD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3392BB2B">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12</w:t>
            </w:r>
          </w:p>
        </w:tc>
        <w:tc>
          <w:tcPr>
            <w:tcW w:w="992" w:type="dxa"/>
            <w:vAlign w:val="center"/>
          </w:tcPr>
          <w:p w14:paraId="172DB553">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5F162C89">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结构专业设计人员</w:t>
            </w:r>
          </w:p>
        </w:tc>
        <w:tc>
          <w:tcPr>
            <w:tcW w:w="1134" w:type="dxa"/>
            <w:vAlign w:val="center"/>
          </w:tcPr>
          <w:p w14:paraId="46A8CDE6">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8117A4E">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C9A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3F967048">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13</w:t>
            </w:r>
          </w:p>
        </w:tc>
        <w:tc>
          <w:tcPr>
            <w:tcW w:w="992" w:type="dxa"/>
            <w:vAlign w:val="center"/>
          </w:tcPr>
          <w:p w14:paraId="74D21D0F">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366F145B">
            <w:pPr>
              <w:pStyle w:val="34"/>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给排水专业设计人员</w:t>
            </w:r>
          </w:p>
        </w:tc>
        <w:tc>
          <w:tcPr>
            <w:tcW w:w="1134" w:type="dxa"/>
            <w:vAlign w:val="center"/>
          </w:tcPr>
          <w:p w14:paraId="712D02E3">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7BD43AA5">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512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15008608">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14</w:t>
            </w:r>
          </w:p>
        </w:tc>
        <w:tc>
          <w:tcPr>
            <w:tcW w:w="992" w:type="dxa"/>
            <w:vAlign w:val="center"/>
          </w:tcPr>
          <w:p w14:paraId="74523A35">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8F42FC1">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电气专业设计人员</w:t>
            </w:r>
          </w:p>
        </w:tc>
        <w:tc>
          <w:tcPr>
            <w:tcW w:w="1134" w:type="dxa"/>
            <w:vAlign w:val="center"/>
          </w:tcPr>
          <w:p w14:paraId="3E8ABAB7">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561E730D">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7DCE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3EB41C47">
            <w:pPr>
              <w:pStyle w:val="34"/>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15</w:t>
            </w:r>
          </w:p>
        </w:tc>
        <w:tc>
          <w:tcPr>
            <w:tcW w:w="992" w:type="dxa"/>
            <w:vAlign w:val="center"/>
          </w:tcPr>
          <w:p w14:paraId="576FF464">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4B8FCEAE">
            <w:pPr>
              <w:pStyle w:val="34"/>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一级造价工程师</w:t>
            </w:r>
          </w:p>
        </w:tc>
        <w:tc>
          <w:tcPr>
            <w:tcW w:w="1134" w:type="dxa"/>
            <w:vAlign w:val="center"/>
          </w:tcPr>
          <w:p w14:paraId="23EDE1C1">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223557E3">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r w14:paraId="7204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30B8FBD1">
            <w:pPr>
              <w:pStyle w:val="34"/>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tcPr>
          <w:p w14:paraId="1E96E574">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160CA5DC">
            <w:pPr>
              <w:pStyle w:val="34"/>
              <w:widowControl/>
              <w:adjustRightInd w:val="0"/>
              <w:snapToGrid w:val="0"/>
              <w:spacing w:line="320" w:lineRule="exact"/>
              <w:jc w:val="left"/>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tcPr>
          <w:p w14:paraId="2DD3100E">
            <w:pPr>
              <w:pStyle w:val="34"/>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tcPr>
          <w:p w14:paraId="6BD77723">
            <w:pPr>
              <w:pStyle w:val="34"/>
              <w:widowControl/>
              <w:adjustRightInd w:val="0"/>
              <w:snapToGrid w:val="0"/>
              <w:spacing w:line="320" w:lineRule="exact"/>
              <w:ind w:firstLine="420" w:firstLineChars="200"/>
              <w:jc w:val="both"/>
              <w:rPr>
                <w:rFonts w:ascii="宋体" w:hAnsi="宋体"/>
                <w:color w:val="auto"/>
                <w:kern w:val="0"/>
                <w:szCs w:val="21"/>
                <w:highlight w:val="none"/>
              </w:rPr>
            </w:pPr>
          </w:p>
        </w:tc>
      </w:tr>
    </w:tbl>
    <w:p w14:paraId="30E38CF0">
      <w:pPr>
        <w:pStyle w:val="34"/>
        <w:widowControl/>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kern w:val="0"/>
          <w:szCs w:val="20"/>
          <w:highlight w:val="none"/>
        </w:rPr>
        <w:br w:type="page"/>
      </w:r>
      <w:bookmarkStart w:id="2163" w:name="_Toc54862357"/>
      <w:r>
        <w:rPr>
          <w:rFonts w:hint="eastAsia" w:ascii="宋体" w:hAnsi="宋体"/>
          <w:b/>
          <w:color w:val="auto"/>
          <w:kern w:val="0"/>
          <w:sz w:val="28"/>
          <w:szCs w:val="28"/>
          <w:highlight w:val="none"/>
        </w:rPr>
        <w:t>附件6</w:t>
      </w:r>
      <w:r>
        <w:rPr>
          <w:rFonts w:ascii="宋体" w:hAnsi="宋体"/>
          <w:b/>
          <w:color w:val="auto"/>
          <w:kern w:val="0"/>
          <w:sz w:val="28"/>
          <w:szCs w:val="28"/>
          <w:highlight w:val="none"/>
        </w:rPr>
        <w:t xml:space="preserve"> </w:t>
      </w:r>
      <w:r>
        <w:rPr>
          <w:rFonts w:hint="eastAsia" w:ascii="宋体" w:hAnsi="宋体"/>
          <w:b/>
          <w:color w:val="auto"/>
          <w:kern w:val="0"/>
          <w:sz w:val="28"/>
          <w:szCs w:val="28"/>
          <w:highlight w:val="none"/>
        </w:rPr>
        <w:t>价格指数权重表</w:t>
      </w:r>
      <w:bookmarkEnd w:id="2163"/>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3921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vAlign w:val="center"/>
          </w:tcPr>
          <w:p w14:paraId="308E112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序号</w:t>
            </w:r>
          </w:p>
        </w:tc>
        <w:tc>
          <w:tcPr>
            <w:tcW w:w="1460" w:type="dxa"/>
            <w:gridSpan w:val="2"/>
            <w:vMerge w:val="restart"/>
            <w:vAlign w:val="center"/>
          </w:tcPr>
          <w:p w14:paraId="63A3637E">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名称</w:t>
            </w:r>
          </w:p>
        </w:tc>
        <w:tc>
          <w:tcPr>
            <w:tcW w:w="2295" w:type="dxa"/>
            <w:gridSpan w:val="2"/>
            <w:vAlign w:val="center"/>
          </w:tcPr>
          <w:p w14:paraId="71EEF5DF">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变更权重B</w:t>
            </w:r>
          </w:p>
        </w:tc>
        <w:tc>
          <w:tcPr>
            <w:tcW w:w="2445" w:type="dxa"/>
            <w:gridSpan w:val="2"/>
            <w:vAlign w:val="center"/>
          </w:tcPr>
          <w:p w14:paraId="30EB3031">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基本价格指数F0</w:t>
            </w:r>
          </w:p>
        </w:tc>
        <w:tc>
          <w:tcPr>
            <w:tcW w:w="1380" w:type="dxa"/>
            <w:vAlign w:val="center"/>
          </w:tcPr>
          <w:p w14:paraId="428B0689">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备注</w:t>
            </w:r>
          </w:p>
        </w:tc>
      </w:tr>
      <w:tr w14:paraId="0895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3D158B55">
            <w:pPr>
              <w:pStyle w:val="34"/>
              <w:widowControl/>
              <w:adjustRightInd w:val="0"/>
              <w:snapToGrid w:val="0"/>
              <w:spacing w:line="340" w:lineRule="exact"/>
              <w:jc w:val="center"/>
              <w:rPr>
                <w:rFonts w:ascii="宋体" w:hAnsi="宋体"/>
                <w:color w:val="auto"/>
                <w:kern w:val="0"/>
                <w:szCs w:val="21"/>
                <w:highlight w:val="none"/>
              </w:rPr>
            </w:pPr>
          </w:p>
        </w:tc>
        <w:tc>
          <w:tcPr>
            <w:tcW w:w="1460" w:type="dxa"/>
            <w:gridSpan w:val="2"/>
            <w:vMerge w:val="continue"/>
          </w:tcPr>
          <w:p w14:paraId="156BF642">
            <w:pPr>
              <w:pStyle w:val="34"/>
              <w:widowControl/>
              <w:adjustRightInd w:val="0"/>
              <w:snapToGrid w:val="0"/>
              <w:spacing w:line="340" w:lineRule="exact"/>
              <w:jc w:val="center"/>
              <w:rPr>
                <w:rFonts w:ascii="宋体" w:hAnsi="宋体"/>
                <w:color w:val="auto"/>
                <w:kern w:val="0"/>
                <w:szCs w:val="21"/>
                <w:highlight w:val="none"/>
              </w:rPr>
            </w:pPr>
          </w:p>
        </w:tc>
        <w:tc>
          <w:tcPr>
            <w:tcW w:w="1215" w:type="dxa"/>
            <w:vAlign w:val="center"/>
          </w:tcPr>
          <w:p w14:paraId="3D2F3FF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代号</w:t>
            </w:r>
          </w:p>
        </w:tc>
        <w:tc>
          <w:tcPr>
            <w:tcW w:w="1080" w:type="dxa"/>
            <w:vAlign w:val="center"/>
          </w:tcPr>
          <w:p w14:paraId="1F45E7B6">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权重</w:t>
            </w:r>
          </w:p>
        </w:tc>
        <w:tc>
          <w:tcPr>
            <w:tcW w:w="1215" w:type="dxa"/>
            <w:vAlign w:val="center"/>
          </w:tcPr>
          <w:p w14:paraId="7B5FC628">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代号</w:t>
            </w:r>
          </w:p>
        </w:tc>
        <w:tc>
          <w:tcPr>
            <w:tcW w:w="1230" w:type="dxa"/>
            <w:vAlign w:val="center"/>
          </w:tcPr>
          <w:p w14:paraId="6E6916C6">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指数</w:t>
            </w:r>
          </w:p>
        </w:tc>
        <w:tc>
          <w:tcPr>
            <w:tcW w:w="1380" w:type="dxa"/>
            <w:vAlign w:val="center"/>
          </w:tcPr>
          <w:p w14:paraId="6D089E8F">
            <w:pPr>
              <w:pStyle w:val="34"/>
              <w:widowControl/>
              <w:adjustRightInd w:val="0"/>
              <w:snapToGrid w:val="0"/>
              <w:spacing w:line="340" w:lineRule="exact"/>
              <w:jc w:val="center"/>
              <w:rPr>
                <w:rFonts w:ascii="宋体" w:hAnsi="宋体"/>
                <w:color w:val="auto"/>
                <w:kern w:val="0"/>
                <w:szCs w:val="21"/>
                <w:highlight w:val="none"/>
              </w:rPr>
            </w:pPr>
          </w:p>
        </w:tc>
      </w:tr>
      <w:tr w14:paraId="25A4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71182BE">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restart"/>
          </w:tcPr>
          <w:p w14:paraId="3FD28428">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变</w:t>
            </w:r>
          </w:p>
          <w:p w14:paraId="32C41F6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值</w:t>
            </w:r>
          </w:p>
          <w:p w14:paraId="042975F9">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部</w:t>
            </w:r>
          </w:p>
          <w:p w14:paraId="7665B9A8">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分</w:t>
            </w:r>
          </w:p>
        </w:tc>
        <w:tc>
          <w:tcPr>
            <w:tcW w:w="876" w:type="dxa"/>
          </w:tcPr>
          <w:p w14:paraId="38F9D3AD">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115104E2">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B1</w:t>
            </w:r>
          </w:p>
        </w:tc>
        <w:tc>
          <w:tcPr>
            <w:tcW w:w="1080" w:type="dxa"/>
          </w:tcPr>
          <w:p w14:paraId="40E196DF">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2F355C82">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F01</w:t>
            </w:r>
          </w:p>
        </w:tc>
        <w:tc>
          <w:tcPr>
            <w:tcW w:w="1230" w:type="dxa"/>
          </w:tcPr>
          <w:p w14:paraId="4DAABF44">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7F44F75E">
            <w:pPr>
              <w:pStyle w:val="34"/>
              <w:widowControl/>
              <w:adjustRightInd w:val="0"/>
              <w:snapToGrid w:val="0"/>
              <w:spacing w:line="340" w:lineRule="exact"/>
              <w:jc w:val="center"/>
              <w:rPr>
                <w:rFonts w:ascii="宋体" w:hAnsi="宋体"/>
                <w:color w:val="auto"/>
                <w:kern w:val="0"/>
                <w:szCs w:val="21"/>
                <w:highlight w:val="none"/>
              </w:rPr>
            </w:pPr>
          </w:p>
        </w:tc>
      </w:tr>
      <w:tr w14:paraId="4369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77032FA">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13E687C9">
            <w:pPr>
              <w:pStyle w:val="34"/>
              <w:widowControl/>
              <w:adjustRightInd w:val="0"/>
              <w:snapToGrid w:val="0"/>
              <w:spacing w:line="340" w:lineRule="exact"/>
              <w:jc w:val="center"/>
              <w:rPr>
                <w:rFonts w:ascii="宋体" w:hAnsi="宋体"/>
                <w:color w:val="auto"/>
                <w:kern w:val="0"/>
                <w:szCs w:val="21"/>
                <w:highlight w:val="none"/>
              </w:rPr>
            </w:pPr>
          </w:p>
        </w:tc>
        <w:tc>
          <w:tcPr>
            <w:tcW w:w="876" w:type="dxa"/>
          </w:tcPr>
          <w:p w14:paraId="3F53EC87">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614555E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B2</w:t>
            </w:r>
          </w:p>
        </w:tc>
        <w:tc>
          <w:tcPr>
            <w:tcW w:w="1080" w:type="dxa"/>
            <w:vAlign w:val="center"/>
          </w:tcPr>
          <w:p w14:paraId="1B5865E2">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7A55012F">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F02</w:t>
            </w:r>
          </w:p>
        </w:tc>
        <w:tc>
          <w:tcPr>
            <w:tcW w:w="1230" w:type="dxa"/>
          </w:tcPr>
          <w:p w14:paraId="76A390E7">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682DFF08">
            <w:pPr>
              <w:pStyle w:val="34"/>
              <w:widowControl/>
              <w:adjustRightInd w:val="0"/>
              <w:snapToGrid w:val="0"/>
              <w:spacing w:line="340" w:lineRule="exact"/>
              <w:jc w:val="center"/>
              <w:rPr>
                <w:rFonts w:ascii="宋体" w:hAnsi="宋体"/>
                <w:color w:val="auto"/>
                <w:kern w:val="0"/>
                <w:szCs w:val="21"/>
                <w:highlight w:val="none"/>
              </w:rPr>
            </w:pPr>
          </w:p>
        </w:tc>
      </w:tr>
      <w:tr w14:paraId="7279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tcPr>
          <w:p w14:paraId="7BD22A54">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7BFDA579">
            <w:pPr>
              <w:pStyle w:val="34"/>
              <w:widowControl/>
              <w:adjustRightInd w:val="0"/>
              <w:snapToGrid w:val="0"/>
              <w:spacing w:line="340" w:lineRule="exact"/>
              <w:jc w:val="center"/>
              <w:rPr>
                <w:rFonts w:ascii="宋体" w:hAnsi="宋体"/>
                <w:color w:val="auto"/>
                <w:kern w:val="0"/>
                <w:szCs w:val="21"/>
                <w:highlight w:val="none"/>
              </w:rPr>
            </w:pPr>
          </w:p>
        </w:tc>
        <w:tc>
          <w:tcPr>
            <w:tcW w:w="876" w:type="dxa"/>
          </w:tcPr>
          <w:p w14:paraId="67196FEC">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5F722839">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B3</w:t>
            </w:r>
          </w:p>
        </w:tc>
        <w:tc>
          <w:tcPr>
            <w:tcW w:w="1080" w:type="dxa"/>
          </w:tcPr>
          <w:p w14:paraId="7CFBD241">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5242767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F03</w:t>
            </w:r>
          </w:p>
        </w:tc>
        <w:tc>
          <w:tcPr>
            <w:tcW w:w="1230" w:type="dxa"/>
          </w:tcPr>
          <w:p w14:paraId="5A472DE4">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328F3299">
            <w:pPr>
              <w:pStyle w:val="34"/>
              <w:widowControl/>
              <w:adjustRightInd w:val="0"/>
              <w:snapToGrid w:val="0"/>
              <w:spacing w:line="340" w:lineRule="exact"/>
              <w:jc w:val="center"/>
              <w:rPr>
                <w:rFonts w:ascii="宋体" w:hAnsi="宋体"/>
                <w:color w:val="auto"/>
                <w:kern w:val="0"/>
                <w:szCs w:val="21"/>
                <w:highlight w:val="none"/>
              </w:rPr>
            </w:pPr>
          </w:p>
        </w:tc>
      </w:tr>
      <w:tr w14:paraId="64F9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A2DEEC0">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0280BF40">
            <w:pPr>
              <w:pStyle w:val="34"/>
              <w:widowControl/>
              <w:adjustRightInd w:val="0"/>
              <w:snapToGrid w:val="0"/>
              <w:spacing w:line="340" w:lineRule="exact"/>
              <w:jc w:val="center"/>
              <w:rPr>
                <w:rFonts w:ascii="宋体" w:hAnsi="宋体"/>
                <w:color w:val="auto"/>
                <w:kern w:val="0"/>
                <w:szCs w:val="21"/>
                <w:highlight w:val="none"/>
              </w:rPr>
            </w:pPr>
          </w:p>
        </w:tc>
        <w:tc>
          <w:tcPr>
            <w:tcW w:w="876" w:type="dxa"/>
          </w:tcPr>
          <w:p w14:paraId="4F805D88">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40715297">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B4</w:t>
            </w:r>
          </w:p>
        </w:tc>
        <w:tc>
          <w:tcPr>
            <w:tcW w:w="1080" w:type="dxa"/>
          </w:tcPr>
          <w:p w14:paraId="654BC02D">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3E04A248">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F04</w:t>
            </w:r>
          </w:p>
        </w:tc>
        <w:tc>
          <w:tcPr>
            <w:tcW w:w="1230" w:type="dxa"/>
          </w:tcPr>
          <w:p w14:paraId="63450341">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1353C0B0">
            <w:pPr>
              <w:pStyle w:val="34"/>
              <w:widowControl/>
              <w:adjustRightInd w:val="0"/>
              <w:snapToGrid w:val="0"/>
              <w:spacing w:line="340" w:lineRule="exact"/>
              <w:jc w:val="center"/>
              <w:rPr>
                <w:rFonts w:ascii="宋体" w:hAnsi="宋体"/>
                <w:color w:val="auto"/>
                <w:kern w:val="0"/>
                <w:szCs w:val="21"/>
                <w:highlight w:val="none"/>
              </w:rPr>
            </w:pPr>
          </w:p>
        </w:tc>
      </w:tr>
      <w:tr w14:paraId="7955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1E14CBF">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5BC105C7">
            <w:pPr>
              <w:pStyle w:val="34"/>
              <w:widowControl/>
              <w:adjustRightInd w:val="0"/>
              <w:snapToGrid w:val="0"/>
              <w:spacing w:line="340" w:lineRule="exact"/>
              <w:jc w:val="center"/>
              <w:rPr>
                <w:rFonts w:ascii="宋体" w:hAnsi="宋体"/>
                <w:color w:val="auto"/>
                <w:kern w:val="0"/>
                <w:szCs w:val="21"/>
                <w:highlight w:val="none"/>
              </w:rPr>
            </w:pPr>
          </w:p>
        </w:tc>
        <w:tc>
          <w:tcPr>
            <w:tcW w:w="876" w:type="dxa"/>
          </w:tcPr>
          <w:p w14:paraId="1833913D">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69251D3C">
            <w:pPr>
              <w:pStyle w:val="34"/>
              <w:widowControl/>
              <w:adjustRightInd w:val="0"/>
              <w:snapToGrid w:val="0"/>
              <w:spacing w:line="340" w:lineRule="exact"/>
              <w:jc w:val="center"/>
              <w:rPr>
                <w:rFonts w:ascii="宋体" w:hAnsi="宋体"/>
                <w:color w:val="auto"/>
                <w:kern w:val="0"/>
                <w:szCs w:val="21"/>
                <w:highlight w:val="none"/>
              </w:rPr>
            </w:pPr>
          </w:p>
        </w:tc>
        <w:tc>
          <w:tcPr>
            <w:tcW w:w="1080" w:type="dxa"/>
          </w:tcPr>
          <w:p w14:paraId="46042493">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0A31B5F9">
            <w:pPr>
              <w:pStyle w:val="34"/>
              <w:widowControl/>
              <w:adjustRightInd w:val="0"/>
              <w:snapToGrid w:val="0"/>
              <w:spacing w:line="340" w:lineRule="exact"/>
              <w:jc w:val="center"/>
              <w:rPr>
                <w:rFonts w:ascii="宋体" w:hAnsi="宋体"/>
                <w:color w:val="auto"/>
                <w:kern w:val="0"/>
                <w:szCs w:val="21"/>
                <w:highlight w:val="none"/>
              </w:rPr>
            </w:pPr>
          </w:p>
        </w:tc>
        <w:tc>
          <w:tcPr>
            <w:tcW w:w="1230" w:type="dxa"/>
          </w:tcPr>
          <w:p w14:paraId="18B2E1FC">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23559788">
            <w:pPr>
              <w:pStyle w:val="34"/>
              <w:widowControl/>
              <w:adjustRightInd w:val="0"/>
              <w:snapToGrid w:val="0"/>
              <w:spacing w:line="340" w:lineRule="exact"/>
              <w:jc w:val="center"/>
              <w:rPr>
                <w:rFonts w:ascii="宋体" w:hAnsi="宋体"/>
                <w:color w:val="auto"/>
                <w:kern w:val="0"/>
                <w:szCs w:val="21"/>
                <w:highlight w:val="none"/>
              </w:rPr>
            </w:pPr>
          </w:p>
        </w:tc>
      </w:tr>
      <w:tr w14:paraId="0709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D58E828">
            <w:pPr>
              <w:pStyle w:val="34"/>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23CE18C5">
            <w:pPr>
              <w:pStyle w:val="34"/>
              <w:widowControl/>
              <w:adjustRightInd w:val="0"/>
              <w:snapToGrid w:val="0"/>
              <w:spacing w:line="340" w:lineRule="exact"/>
              <w:jc w:val="center"/>
              <w:rPr>
                <w:rFonts w:ascii="宋体" w:hAnsi="宋体"/>
                <w:color w:val="auto"/>
                <w:kern w:val="0"/>
                <w:szCs w:val="21"/>
                <w:highlight w:val="none"/>
              </w:rPr>
            </w:pPr>
          </w:p>
        </w:tc>
        <w:tc>
          <w:tcPr>
            <w:tcW w:w="876" w:type="dxa"/>
          </w:tcPr>
          <w:p w14:paraId="43947B71">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4834AE72">
            <w:pPr>
              <w:pStyle w:val="34"/>
              <w:widowControl/>
              <w:adjustRightInd w:val="0"/>
              <w:snapToGrid w:val="0"/>
              <w:spacing w:line="340" w:lineRule="exact"/>
              <w:jc w:val="center"/>
              <w:rPr>
                <w:rFonts w:ascii="宋体" w:hAnsi="宋体"/>
                <w:color w:val="auto"/>
                <w:kern w:val="0"/>
                <w:szCs w:val="21"/>
                <w:highlight w:val="none"/>
              </w:rPr>
            </w:pPr>
          </w:p>
        </w:tc>
        <w:tc>
          <w:tcPr>
            <w:tcW w:w="1080" w:type="dxa"/>
          </w:tcPr>
          <w:p w14:paraId="0B7FAC07">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39C58161">
            <w:pPr>
              <w:pStyle w:val="34"/>
              <w:widowControl/>
              <w:adjustRightInd w:val="0"/>
              <w:snapToGrid w:val="0"/>
              <w:spacing w:line="340" w:lineRule="exact"/>
              <w:jc w:val="center"/>
              <w:rPr>
                <w:rFonts w:ascii="宋体" w:hAnsi="宋体"/>
                <w:color w:val="auto"/>
                <w:kern w:val="0"/>
                <w:szCs w:val="21"/>
                <w:highlight w:val="none"/>
              </w:rPr>
            </w:pPr>
          </w:p>
        </w:tc>
        <w:tc>
          <w:tcPr>
            <w:tcW w:w="1230" w:type="dxa"/>
          </w:tcPr>
          <w:p w14:paraId="06FDEC3C">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33E473B7">
            <w:pPr>
              <w:pStyle w:val="34"/>
              <w:widowControl/>
              <w:adjustRightInd w:val="0"/>
              <w:snapToGrid w:val="0"/>
              <w:spacing w:line="340" w:lineRule="exact"/>
              <w:jc w:val="center"/>
              <w:rPr>
                <w:rFonts w:ascii="宋体" w:hAnsi="宋体"/>
                <w:color w:val="auto"/>
                <w:kern w:val="0"/>
                <w:szCs w:val="21"/>
                <w:highlight w:val="none"/>
              </w:rPr>
            </w:pPr>
          </w:p>
        </w:tc>
      </w:tr>
      <w:tr w14:paraId="39F5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4007E2E4">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定值部分权重A</w:t>
            </w:r>
          </w:p>
        </w:tc>
        <w:tc>
          <w:tcPr>
            <w:tcW w:w="1215" w:type="dxa"/>
          </w:tcPr>
          <w:p w14:paraId="2F7A8673">
            <w:pPr>
              <w:pStyle w:val="34"/>
              <w:widowControl/>
              <w:adjustRightInd w:val="0"/>
              <w:snapToGrid w:val="0"/>
              <w:spacing w:line="340" w:lineRule="exact"/>
              <w:jc w:val="center"/>
              <w:rPr>
                <w:rFonts w:ascii="宋体" w:hAnsi="宋体"/>
                <w:color w:val="auto"/>
                <w:kern w:val="0"/>
                <w:szCs w:val="21"/>
                <w:highlight w:val="none"/>
              </w:rPr>
            </w:pPr>
          </w:p>
        </w:tc>
        <w:tc>
          <w:tcPr>
            <w:tcW w:w="1080" w:type="dxa"/>
          </w:tcPr>
          <w:p w14:paraId="3C0561C3">
            <w:pPr>
              <w:pStyle w:val="34"/>
              <w:widowControl/>
              <w:adjustRightInd w:val="0"/>
              <w:snapToGrid w:val="0"/>
              <w:spacing w:line="340" w:lineRule="exact"/>
              <w:jc w:val="center"/>
              <w:rPr>
                <w:rFonts w:ascii="宋体" w:hAnsi="宋体"/>
                <w:color w:val="auto"/>
                <w:kern w:val="0"/>
                <w:szCs w:val="21"/>
                <w:highlight w:val="none"/>
              </w:rPr>
            </w:pPr>
          </w:p>
        </w:tc>
        <w:tc>
          <w:tcPr>
            <w:tcW w:w="1215" w:type="dxa"/>
          </w:tcPr>
          <w:p w14:paraId="5FFC59D1">
            <w:pPr>
              <w:pStyle w:val="34"/>
              <w:widowControl/>
              <w:adjustRightInd w:val="0"/>
              <w:snapToGrid w:val="0"/>
              <w:spacing w:line="340" w:lineRule="exact"/>
              <w:jc w:val="center"/>
              <w:rPr>
                <w:rFonts w:ascii="宋体" w:hAnsi="宋体"/>
                <w:color w:val="auto"/>
                <w:kern w:val="0"/>
                <w:szCs w:val="21"/>
                <w:highlight w:val="none"/>
              </w:rPr>
            </w:pPr>
          </w:p>
        </w:tc>
        <w:tc>
          <w:tcPr>
            <w:tcW w:w="1230" w:type="dxa"/>
          </w:tcPr>
          <w:p w14:paraId="5F6B31F0">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0A7DFEDD">
            <w:pPr>
              <w:pStyle w:val="34"/>
              <w:widowControl/>
              <w:adjustRightInd w:val="0"/>
              <w:snapToGrid w:val="0"/>
              <w:spacing w:line="340" w:lineRule="exact"/>
              <w:jc w:val="center"/>
              <w:rPr>
                <w:rFonts w:ascii="宋体" w:hAnsi="宋体"/>
                <w:color w:val="auto"/>
                <w:kern w:val="0"/>
                <w:szCs w:val="21"/>
                <w:highlight w:val="none"/>
              </w:rPr>
            </w:pPr>
          </w:p>
        </w:tc>
      </w:tr>
      <w:tr w14:paraId="1A91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3811546E">
            <w:pPr>
              <w:pStyle w:val="34"/>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合计</w:t>
            </w:r>
          </w:p>
        </w:tc>
        <w:tc>
          <w:tcPr>
            <w:tcW w:w="2295" w:type="dxa"/>
            <w:gridSpan w:val="2"/>
          </w:tcPr>
          <w:p w14:paraId="28C66EBD">
            <w:pPr>
              <w:pStyle w:val="34"/>
              <w:widowControl/>
              <w:adjustRightInd w:val="0"/>
              <w:snapToGrid w:val="0"/>
              <w:spacing w:line="340" w:lineRule="exact"/>
              <w:jc w:val="center"/>
              <w:rPr>
                <w:rFonts w:ascii="宋体" w:hAnsi="宋体"/>
                <w:color w:val="auto"/>
                <w:kern w:val="0"/>
                <w:szCs w:val="21"/>
                <w:highlight w:val="none"/>
              </w:rPr>
            </w:pPr>
          </w:p>
        </w:tc>
        <w:tc>
          <w:tcPr>
            <w:tcW w:w="2445" w:type="dxa"/>
            <w:gridSpan w:val="2"/>
          </w:tcPr>
          <w:p w14:paraId="4A7CF010">
            <w:pPr>
              <w:pStyle w:val="34"/>
              <w:widowControl/>
              <w:adjustRightInd w:val="0"/>
              <w:snapToGrid w:val="0"/>
              <w:spacing w:line="340" w:lineRule="exact"/>
              <w:jc w:val="center"/>
              <w:rPr>
                <w:rFonts w:ascii="宋体" w:hAnsi="宋体"/>
                <w:color w:val="auto"/>
                <w:kern w:val="0"/>
                <w:szCs w:val="21"/>
                <w:highlight w:val="none"/>
              </w:rPr>
            </w:pPr>
          </w:p>
        </w:tc>
        <w:tc>
          <w:tcPr>
            <w:tcW w:w="1380" w:type="dxa"/>
          </w:tcPr>
          <w:p w14:paraId="76C925EB">
            <w:pPr>
              <w:pStyle w:val="34"/>
              <w:widowControl/>
              <w:adjustRightInd w:val="0"/>
              <w:snapToGrid w:val="0"/>
              <w:spacing w:line="340" w:lineRule="exact"/>
              <w:jc w:val="center"/>
              <w:rPr>
                <w:rFonts w:ascii="宋体" w:hAnsi="宋体"/>
                <w:color w:val="auto"/>
                <w:kern w:val="0"/>
                <w:szCs w:val="21"/>
                <w:highlight w:val="none"/>
              </w:rPr>
            </w:pPr>
          </w:p>
        </w:tc>
      </w:tr>
    </w:tbl>
    <w:p w14:paraId="33B4DFD7">
      <w:pPr>
        <w:pStyle w:val="34"/>
        <w:spacing w:line="360" w:lineRule="auto"/>
        <w:rPr>
          <w:color w:val="auto"/>
          <w:sz w:val="24"/>
          <w:szCs w:val="24"/>
          <w:highlight w:val="none"/>
          <w:lang w:val="zh-CN"/>
        </w:rPr>
      </w:pPr>
    </w:p>
    <w:p w14:paraId="5CA3D693">
      <w:pPr>
        <w:pStyle w:val="34"/>
        <w:spacing w:line="360" w:lineRule="auto"/>
        <w:ind w:firstLine="151" w:firstLineChars="50"/>
        <w:rPr>
          <w:rFonts w:ascii="宋体" w:hAnsi="宋体"/>
          <w:b/>
          <w:bCs/>
          <w:color w:val="auto"/>
          <w:sz w:val="30"/>
          <w:szCs w:val="30"/>
          <w:highlight w:val="none"/>
        </w:rPr>
      </w:pPr>
    </w:p>
    <w:p w14:paraId="3F5EEF6D">
      <w:pPr>
        <w:pStyle w:val="34"/>
        <w:rPr>
          <w:rFonts w:ascii="宋体" w:hAnsi="宋体"/>
          <w:b/>
          <w:bCs/>
          <w:color w:val="auto"/>
          <w:highlight w:val="none"/>
        </w:rPr>
      </w:pPr>
      <w:r>
        <w:rPr>
          <w:rFonts w:ascii="宋体" w:hAnsi="宋体"/>
          <w:b/>
          <w:bCs/>
          <w:color w:val="auto"/>
          <w:highlight w:val="none"/>
        </w:rPr>
        <w:br w:type="page"/>
      </w:r>
    </w:p>
    <w:p w14:paraId="0AFB5B5A">
      <w:pPr>
        <w:pStyle w:val="3"/>
        <w:jc w:val="center"/>
        <w:rPr>
          <w:rFonts w:hint="eastAsia" w:ascii="宋体" w:hAnsi="宋体" w:eastAsia="宋体" w:cs="Times New Roman"/>
          <w:bCs w:val="0"/>
          <w:color w:val="auto"/>
          <w:kern w:val="0"/>
          <w:sz w:val="28"/>
          <w:szCs w:val="28"/>
          <w:highlight w:val="none"/>
          <w:lang w:val="en-US" w:eastAsia="zh-CN" w:bidi="ar-SA"/>
        </w:rPr>
      </w:pPr>
      <w:bookmarkStart w:id="2164" w:name="_Toc256000192"/>
      <w:bookmarkStart w:id="2165" w:name="_Toc8061"/>
      <w:bookmarkStart w:id="2166" w:name="_Toc166672960"/>
      <w:r>
        <w:rPr>
          <w:rFonts w:hint="eastAsia" w:ascii="宋体" w:hAnsi="宋体" w:eastAsia="宋体" w:cs="Times New Roman"/>
          <w:b/>
          <w:bCs w:val="0"/>
          <w:color w:val="auto"/>
          <w:kern w:val="0"/>
          <w:sz w:val="28"/>
          <w:szCs w:val="28"/>
          <w:highlight w:val="none"/>
          <w:lang w:val="en-US" w:eastAsia="zh-CN" w:bidi="ar-SA"/>
        </w:rPr>
        <w:t>附件7 文明施工及环境保护协议书</w:t>
      </w:r>
      <w:bookmarkEnd w:id="2164"/>
      <w:bookmarkEnd w:id="2165"/>
      <w:bookmarkEnd w:id="2166"/>
    </w:p>
    <w:p w14:paraId="2FFFDF4A">
      <w:pPr>
        <w:pStyle w:val="34"/>
        <w:snapToGrid w:val="0"/>
        <w:spacing w:line="400" w:lineRule="exact"/>
        <w:ind w:firstLine="420"/>
        <w:rPr>
          <w:rFonts w:ascii="宋体" w:hAnsi="宋体" w:cs="仿宋"/>
          <w:color w:val="auto"/>
          <w:szCs w:val="21"/>
          <w:highlight w:val="none"/>
        </w:rPr>
      </w:pPr>
    </w:p>
    <w:p w14:paraId="648D231E">
      <w:pPr>
        <w:pStyle w:val="34"/>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发包人（全称）：</w:t>
      </w:r>
    </w:p>
    <w:p w14:paraId="78C9ADCD">
      <w:pPr>
        <w:pStyle w:val="34"/>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b/>
          <w:color w:val="auto"/>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b/>
          <w:color w:val="auto"/>
          <w:sz w:val="21"/>
          <w:szCs w:val="21"/>
          <w:highlight w:val="none"/>
        </w:rPr>
        <w:t xml:space="preserve"> </w:t>
      </w:r>
    </w:p>
    <w:p w14:paraId="4FA4BA84">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依照国家、</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市的有关法规和政策，发包人、承包人双方经充分协商,特签订本文明施工协议书。</w:t>
      </w:r>
    </w:p>
    <w:p w14:paraId="2B594265">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一、本文明施工协议书作为合同的附件，与该合同具有同等效力。</w:t>
      </w:r>
    </w:p>
    <w:p w14:paraId="070CA4A3">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二、承包人文明施工和环境保护必须严格执行相关的法律、法规、规章、规范性文件、标准及发包人下发的相关规定。</w:t>
      </w:r>
    </w:p>
    <w:p w14:paraId="61ED00DF">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三、承包人的法定代表人、项目经理、文明施工负责人对本工程安</w:t>
      </w:r>
      <w:r>
        <w:rPr>
          <w:rFonts w:hint="eastAsia" w:ascii="宋体" w:hAnsi="宋体" w:cs="宋体"/>
          <w:color w:val="auto"/>
          <w:sz w:val="21"/>
          <w:szCs w:val="21"/>
          <w:highlight w:val="none"/>
          <w:lang w:val="en-US" w:eastAsia="zh-CN"/>
        </w:rPr>
        <w:t>全</w:t>
      </w:r>
      <w:r>
        <w:rPr>
          <w:rFonts w:hint="eastAsia" w:ascii="宋体" w:hAnsi="宋体" w:eastAsia="宋体" w:cs="宋体"/>
          <w:color w:val="auto"/>
          <w:sz w:val="21"/>
          <w:szCs w:val="21"/>
          <w:highlight w:val="none"/>
        </w:rPr>
        <w:t>文明施工工作各负其责。</w:t>
      </w:r>
    </w:p>
    <w:p w14:paraId="69032356">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四、根据</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市建设工程安全文明施工管理有关要求，发包人有权审查承包人文明施工管理体制是否符合市政府及有关主管部门的规定，有权向承包人提出文明施工的要求以及日常施工现场的督促检查。</w:t>
      </w:r>
    </w:p>
    <w:p w14:paraId="1FF62445">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五、承包人施工现场应按照</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市建委创建文明安全工地的标准和要求进行文明安全施工管理，包括有关设施的设置、办法的制定与实施和资料的准备。</w:t>
      </w:r>
    </w:p>
    <w:p w14:paraId="79DA627B">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六、承包人应通过有效的技术手段和管理措施将施工噪声控制到最低程度。</w:t>
      </w:r>
    </w:p>
    <w:p w14:paraId="21C01C32">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七、承包人在工程施工中，应严格遵守国家环境保护部门的有关规定。承包人有责任采取有效措施以预防和消除因施工造成的环境污染，对工程范围以外的土地及植被应注意保护，并应保证发包人避免由于污染而承担的索赔或罚款。</w:t>
      </w:r>
    </w:p>
    <w:p w14:paraId="2D78B85A">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八、承包人生产、生活设施应符合环保要求，并接受当地政府及有关部门的监督。</w:t>
      </w:r>
    </w:p>
    <w:p w14:paraId="7BCB6D4F">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九、承包人应在施工期间加强环保意识、保持工地清洁、控制扬尘、杜绝漏洒材料。</w:t>
      </w:r>
    </w:p>
    <w:p w14:paraId="4EDF361E">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十、承包人不得使用任何政府明令禁止使用的对人体有害的任何材料（如放射性材料、石棉制品等），承包人违背此项约定的责任和后果由承包人完全负责。</w:t>
      </w:r>
    </w:p>
    <w:p w14:paraId="4D2D735E">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十一、承包人应为防止进出场的车辆的遗洒和轮胎夹带物等污染周边</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公共道路等行为制定并落实必要的措施，这类措施应至少包括在现场出入口设立冲刷池等；承包人还应对施工临时污水排放系统建立符合标准的临时沉淀池和化粪池等。</w:t>
      </w:r>
    </w:p>
    <w:p w14:paraId="48F00E7E">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十二、承包人应及时处理施工及生活中产生的废弃物，运至指定地点弃置，如无法及时处理或运走，则必须设法防止散失。</w:t>
      </w:r>
    </w:p>
    <w:p w14:paraId="3E57B2C5">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三、整个工程施工期间，承包人应负责保持所有的现有道路、步行道、踏步和在它们地下的服务设施的使用功能；承包人应自费对那些因受他控制的因素引起的损害或损坏进行修缮直至达到政府有关管理机构满意，并支付与此相关的任何费用和罚款。</w:t>
      </w:r>
    </w:p>
    <w:p w14:paraId="4DF87DBE">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四、承包人应确保所有现场周边毗邻的道路、步行道和现场出入口等的干净和整洁，同时保证它们及周边公共交通、公众生活不因承包人和其他受承包人控制的施工操作、材料装卸、车辆、材料、物品、设备和工人而带来任何妨碍；承包人应保证发包人免于与上述事件有关的任何索赔、诉讼、损害和损失。</w:t>
      </w:r>
    </w:p>
    <w:p w14:paraId="2BD9A395">
      <w:pPr>
        <w:pStyle w:val="13"/>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hAnsi="宋体" w:eastAsia="宋体" w:cs="宋体"/>
          <w:color w:val="auto"/>
          <w:sz w:val="21"/>
          <w:highlight w:val="none"/>
        </w:rPr>
      </w:pPr>
      <w:r>
        <w:rPr>
          <w:rFonts w:hint="eastAsia" w:ascii="宋体" w:hAnsi="宋体" w:eastAsia="宋体" w:cs="宋体"/>
          <w:color w:val="auto"/>
          <w:sz w:val="21"/>
          <w:szCs w:val="21"/>
          <w:highlight w:val="none"/>
        </w:rPr>
        <w:t>十五、承包人应在施工永久围挡的入口安装电子控制及识别的门禁系统。</w:t>
      </w:r>
    </w:p>
    <w:p w14:paraId="7B1A1C5A">
      <w:pPr>
        <w:pStyle w:val="34"/>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六、承包人应按照发包人的要求安设施工围挡，并保持其在施工期内完整、整洁；承包人应按照发包人的要求对永久施工围挡进行亮化，并保持其亮化的效果直至工程结束；临时施工围挡也应进行必要的亮化，达到与永久施工围挡的协调及施工周围环境的美观。承包人按照发包人要求随旧随换，满足发包人公益宣传相关要求。</w:t>
      </w:r>
    </w:p>
    <w:p w14:paraId="4E9000A4">
      <w:pPr>
        <w:pStyle w:val="34"/>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十七、本协议未尽事宜，依据有关法规、规章处理，法规、规章没有明确规定的，经双方协商处理解决。</w:t>
      </w:r>
    </w:p>
    <w:p w14:paraId="3B847659">
      <w:pPr>
        <w:pStyle w:val="34"/>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十八、本协议自签订之日起生效。</w:t>
      </w:r>
    </w:p>
    <w:p w14:paraId="7492DA3F">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2E77FF6F">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02CAD311">
      <w:pPr>
        <w:pStyle w:val="34"/>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59521620">
      <w:pPr>
        <w:pStyle w:val="34"/>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发包人：（盖章）                    承包人：（盖章）</w:t>
      </w:r>
    </w:p>
    <w:p w14:paraId="4B551FD2">
      <w:pPr>
        <w:pStyle w:val="34"/>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法定代表人：                       法定代表人：</w:t>
      </w:r>
    </w:p>
    <w:p w14:paraId="26BD3ADB">
      <w:pPr>
        <w:pStyle w:val="34"/>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地址：                              地址：</w:t>
      </w:r>
    </w:p>
    <w:p w14:paraId="1C8CEA27">
      <w:pPr>
        <w:pStyle w:val="34"/>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电话：                              电话：</w:t>
      </w:r>
    </w:p>
    <w:p w14:paraId="42F48E6C">
      <w:pPr>
        <w:pStyle w:val="34"/>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年   月   日                    年   月   日</w:t>
      </w:r>
    </w:p>
    <w:p w14:paraId="7A9C4499">
      <w:pPr>
        <w:pStyle w:val="34"/>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仿宋"/>
          <w:b/>
          <w:color w:val="auto"/>
          <w:sz w:val="30"/>
          <w:szCs w:val="30"/>
          <w:highlight w:val="none"/>
        </w:rPr>
      </w:pPr>
      <w:r>
        <w:rPr>
          <w:rFonts w:ascii="宋体" w:hAnsi="宋体" w:cs="仿宋"/>
          <w:b/>
          <w:color w:val="auto"/>
          <w:sz w:val="30"/>
          <w:szCs w:val="30"/>
          <w:highlight w:val="none"/>
        </w:rPr>
        <w:br w:type="page"/>
      </w:r>
    </w:p>
    <w:p w14:paraId="06D19F78">
      <w:pPr>
        <w:pStyle w:val="3"/>
        <w:jc w:val="center"/>
        <w:rPr>
          <w:rFonts w:hint="eastAsia" w:ascii="宋体" w:hAnsi="宋体" w:eastAsia="宋体" w:cs="Times New Roman"/>
          <w:bCs w:val="0"/>
          <w:color w:val="auto"/>
          <w:kern w:val="0"/>
          <w:sz w:val="28"/>
          <w:szCs w:val="28"/>
          <w:highlight w:val="none"/>
          <w:lang w:val="en-US" w:eastAsia="zh-CN" w:bidi="ar-SA"/>
        </w:rPr>
      </w:pPr>
      <w:bookmarkStart w:id="2167" w:name="_Toc166672961"/>
      <w:bookmarkStart w:id="2168" w:name="_Toc256000193"/>
      <w:bookmarkStart w:id="2169" w:name="_Toc18926"/>
      <w:r>
        <w:rPr>
          <w:rFonts w:hint="eastAsia" w:ascii="宋体" w:hAnsi="宋体" w:eastAsia="宋体" w:cs="Times New Roman"/>
          <w:b/>
          <w:bCs w:val="0"/>
          <w:color w:val="auto"/>
          <w:kern w:val="0"/>
          <w:sz w:val="28"/>
          <w:szCs w:val="28"/>
          <w:highlight w:val="none"/>
          <w:lang w:val="en-US" w:eastAsia="zh-CN" w:bidi="ar-SA"/>
        </w:rPr>
        <w:t>附件8 安全生产协议书</w:t>
      </w:r>
      <w:bookmarkEnd w:id="2167"/>
      <w:bookmarkEnd w:id="2168"/>
      <w:bookmarkEnd w:id="2169"/>
    </w:p>
    <w:p w14:paraId="0BCC27C7">
      <w:pPr>
        <w:pStyle w:val="34"/>
        <w:snapToGrid w:val="0"/>
        <w:spacing w:line="400" w:lineRule="exact"/>
        <w:ind w:firstLine="480"/>
        <w:jc w:val="center"/>
        <w:rPr>
          <w:rFonts w:ascii="宋体" w:hAnsi="宋体" w:cs="仿宋"/>
          <w:color w:val="auto"/>
          <w:highlight w:val="none"/>
        </w:rPr>
      </w:pPr>
    </w:p>
    <w:p w14:paraId="2342A1D0">
      <w:pPr>
        <w:pStyle w:val="34"/>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
          <w:b/>
          <w:color w:val="auto"/>
          <w:szCs w:val="21"/>
          <w:highlight w:val="none"/>
          <w:lang w:val="zh-CN"/>
        </w:rPr>
      </w:pPr>
      <w:r>
        <w:rPr>
          <w:rFonts w:hint="eastAsia" w:ascii="宋体" w:hAnsi="宋体" w:cs="仿宋"/>
          <w:color w:val="auto"/>
          <w:szCs w:val="21"/>
          <w:highlight w:val="none"/>
        </w:rPr>
        <w:t>发包人（全称）：</w:t>
      </w:r>
    </w:p>
    <w:p w14:paraId="13C73D25">
      <w:pPr>
        <w:pStyle w:val="34"/>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
          <w:b/>
          <w:color w:val="auto"/>
          <w:szCs w:val="21"/>
          <w:highlight w:val="none"/>
        </w:rPr>
      </w:pPr>
      <w:r>
        <w:rPr>
          <w:rFonts w:hint="eastAsia" w:ascii="宋体" w:hAnsi="宋体" w:cs="仿宋"/>
          <w:color w:val="auto"/>
          <w:szCs w:val="21"/>
          <w:highlight w:val="none"/>
        </w:rPr>
        <w:t>承包人（全称）：</w:t>
      </w:r>
      <w:r>
        <w:rPr>
          <w:rFonts w:ascii="宋体" w:hAnsi="宋体" w:cs="仿宋"/>
          <w:b/>
          <w:color w:val="auto"/>
          <w:szCs w:val="21"/>
          <w:highlight w:val="none"/>
        </w:rPr>
        <w:t xml:space="preserve"> </w:t>
      </w:r>
    </w:p>
    <w:p w14:paraId="105E434D">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为贯彻“安全第一，预防为主”的方针，确保工程的施工安全，依照国家、</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市的有关法规和政策，发包人、承包人双方经充分协商</w:t>
      </w:r>
      <w:r>
        <w:rPr>
          <w:rFonts w:ascii="宋体" w:hAnsi="宋体" w:cs="仿宋"/>
          <w:color w:val="auto"/>
          <w:szCs w:val="21"/>
          <w:highlight w:val="none"/>
        </w:rPr>
        <w:t>,</w:t>
      </w:r>
      <w:r>
        <w:rPr>
          <w:rFonts w:hint="eastAsia" w:ascii="宋体" w:hAnsi="宋体" w:cs="仿宋"/>
          <w:color w:val="auto"/>
          <w:szCs w:val="21"/>
          <w:highlight w:val="none"/>
        </w:rPr>
        <w:t>特签订本安全生产协议书。</w:t>
      </w:r>
    </w:p>
    <w:p w14:paraId="13BBC86F">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一、本安全生产协议书作为合同的附件，与该合同具有同等效力。</w:t>
      </w:r>
    </w:p>
    <w:p w14:paraId="71581F70">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二、承包人的法定代表人、项目经理、安全生产负责人、工地的现场安全员应对本工程安全生产工作各负其责。</w:t>
      </w:r>
    </w:p>
    <w:p w14:paraId="5E3DAE71">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三、根据</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市建设工程安全文明施工管理有关要求，发包人有权审查承包人安全管理体制是否符合市政府及有关主管部门的规定，有权向承包人提出安全施工的要求以及日常施工现场的督促检查。</w:t>
      </w:r>
    </w:p>
    <w:p w14:paraId="43668036">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四、承包人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6D65D658">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五、承包人在施工中要认真执行</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市和</w:t>
      </w:r>
      <w:r>
        <w:rPr>
          <w:rFonts w:hint="eastAsia" w:ascii="宋体" w:hAnsi="宋体" w:cs="仿宋"/>
          <w:color w:val="auto"/>
          <w:szCs w:val="21"/>
          <w:highlight w:val="none"/>
          <w:lang w:val="en-US" w:eastAsia="zh-CN"/>
        </w:rPr>
        <w:t>发包人</w:t>
      </w:r>
      <w:r>
        <w:rPr>
          <w:rFonts w:hint="eastAsia" w:ascii="宋体" w:hAnsi="宋体" w:cs="仿宋"/>
          <w:color w:val="auto"/>
          <w:szCs w:val="21"/>
          <w:highlight w:val="none"/>
        </w:rPr>
        <w:t>工地安全管理的有关规定，发包人将上述各项标准作为施工过程中安全检查和安全奖惩的依据。</w:t>
      </w:r>
    </w:p>
    <w:p w14:paraId="36893135">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六、承包人施工人员中的电工、焊工、起重吊运工等特殊工种必须按国家《特种作业人员安全技术培训考核管理办法》持有有效操作证件上岗，严禁无证、违章操作；施工机具中的受压容器、电气设备必须具有符合安全要求的保护设施。</w:t>
      </w:r>
    </w:p>
    <w:p w14:paraId="6ACCFF27">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七、承包人在施工过程中，必须注意对地下管线及周围绿化和地面构筑物的保护。承包人要采取合理施工方案严格施工工艺、严格控制地表沉降，加强对地下管线和地面构造物的监控量测，及时采取有效措施保证地下管线和地表构造物的安全。（如果由于施工原因）在施工过程中造成的地下管线和地表构造物的损坏，由承包人承担全部责任。</w:t>
      </w:r>
    </w:p>
    <w:p w14:paraId="0A94E5F4">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八、承包人在施工过程中，应认真组织审核发包人下发的施工图纸，并严格按审核后的施工图纸及相应的国家有关标准施工，不允许随意改变施工工艺和方法，否则出现的任何施工质量和安全问题都将由承包人承担全部责任。</w:t>
      </w:r>
    </w:p>
    <w:p w14:paraId="6B7A1AA0">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九、若在施工过程中发生人员伤亡（含刑事案件）、火灾、爆炸等事故，承包人必须立即按有关规定及时上报发包人及政府主管部门，事故责任以及损失赔偿按有关规定执行。</w:t>
      </w:r>
    </w:p>
    <w:p w14:paraId="12F38339">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十、承包人对施工现场的安全生产负总责，对分包工程的安全生产承担连带责任。</w:t>
      </w:r>
    </w:p>
    <w:p w14:paraId="5F559E1D">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十一、承包人在合同签订之后，应尽快自觉配合发包人到有关部门办理开工报告手续。</w:t>
      </w:r>
    </w:p>
    <w:p w14:paraId="1FE5BE1B">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十二、发包人、承包人双方严格执行《建设工程安全生产管理条例》有关责任规定。</w:t>
      </w:r>
    </w:p>
    <w:p w14:paraId="2A25093D">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十三、本协议未尽事宜，依据有关法规、规章处理，法规、规章没有明确规定的，经双方协商处理解决。</w:t>
      </w:r>
    </w:p>
    <w:p w14:paraId="1037D285">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十四、本协议自签订之日起生效。</w:t>
      </w:r>
    </w:p>
    <w:p w14:paraId="2443D5F8">
      <w:pPr>
        <w:pStyle w:val="34"/>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383F455F">
      <w:pPr>
        <w:pStyle w:val="34"/>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13F77FF7">
      <w:pPr>
        <w:pStyle w:val="34"/>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364140A9">
      <w:pPr>
        <w:pStyle w:val="3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发包人：（盖章）                承包人：（盖章）</w:t>
      </w:r>
    </w:p>
    <w:p w14:paraId="38B18A78">
      <w:pPr>
        <w:pStyle w:val="3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法定代表人：                    法定代表人：</w:t>
      </w:r>
    </w:p>
    <w:p w14:paraId="4912268B">
      <w:pPr>
        <w:pStyle w:val="3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地址：                          地址：</w:t>
      </w:r>
    </w:p>
    <w:p w14:paraId="259EED16">
      <w:pPr>
        <w:pStyle w:val="3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电话：                          电话：</w:t>
      </w:r>
    </w:p>
    <w:p w14:paraId="7F06B1A8">
      <w:pPr>
        <w:pStyle w:val="3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年  月  日                      年  月   日</w:t>
      </w:r>
    </w:p>
    <w:p w14:paraId="75CBB17C">
      <w:pPr>
        <w:pStyle w:val="34"/>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p>
    <w:p w14:paraId="08CAA064">
      <w:pPr>
        <w:pStyle w:val="34"/>
        <w:rPr>
          <w:rFonts w:ascii="宋体" w:hAnsi="宋体"/>
          <w:color w:val="auto"/>
          <w:highlight w:val="none"/>
        </w:rPr>
      </w:pPr>
    </w:p>
    <w:p w14:paraId="643266EF">
      <w:pPr>
        <w:pStyle w:val="34"/>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35844904">
      <w:pPr>
        <w:pStyle w:val="3"/>
        <w:jc w:val="center"/>
        <w:rPr>
          <w:rFonts w:hint="eastAsia" w:ascii="宋体" w:hAnsi="宋体" w:eastAsia="宋体" w:cs="Times New Roman"/>
          <w:bCs w:val="0"/>
          <w:color w:val="auto"/>
          <w:kern w:val="0"/>
          <w:sz w:val="28"/>
          <w:szCs w:val="28"/>
          <w:highlight w:val="none"/>
          <w:lang w:val="en-US" w:eastAsia="zh-CN" w:bidi="ar-SA"/>
        </w:rPr>
      </w:pPr>
      <w:bookmarkStart w:id="2170" w:name="_Toc166672962"/>
      <w:bookmarkStart w:id="2171" w:name="_Toc256000194"/>
      <w:bookmarkStart w:id="2172" w:name="_Toc15117"/>
      <w:r>
        <w:rPr>
          <w:rFonts w:hint="eastAsia" w:ascii="宋体" w:hAnsi="宋体" w:eastAsia="宋体" w:cs="Times New Roman"/>
          <w:b/>
          <w:bCs w:val="0"/>
          <w:color w:val="auto"/>
          <w:kern w:val="0"/>
          <w:sz w:val="28"/>
          <w:szCs w:val="28"/>
          <w:highlight w:val="none"/>
          <w:lang w:val="en-US" w:eastAsia="zh-CN" w:bidi="ar-SA"/>
        </w:rPr>
        <w:t>附件9 廉洁合作协议书</w:t>
      </w:r>
      <w:bookmarkEnd w:id="2170"/>
      <w:bookmarkEnd w:id="2171"/>
      <w:bookmarkEnd w:id="2172"/>
    </w:p>
    <w:p w14:paraId="5E1D0C3A">
      <w:pPr>
        <w:pStyle w:val="34"/>
        <w:rPr>
          <w:rFonts w:ascii="宋体" w:hAnsi="宋体"/>
          <w:color w:val="auto"/>
          <w:highlight w:val="none"/>
        </w:rPr>
      </w:pPr>
    </w:p>
    <w:p w14:paraId="1625E42E">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bookmarkStart w:id="2173" w:name="_Toc472352512"/>
      <w:r>
        <w:rPr>
          <w:rFonts w:hint="eastAsia" w:ascii="宋体" w:hAnsi="宋体" w:eastAsia="宋体" w:cs="宋体"/>
          <w:color w:val="auto"/>
          <w:highlight w:val="none"/>
        </w:rPr>
        <w:t>发包人（全称）：</w:t>
      </w:r>
      <w:bookmarkEnd w:id="2173"/>
    </w:p>
    <w:p w14:paraId="134FBF9F">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bookmarkStart w:id="2174" w:name="_Toc472352513"/>
      <w:r>
        <w:rPr>
          <w:rFonts w:hint="eastAsia" w:ascii="宋体" w:hAnsi="宋体" w:eastAsia="宋体" w:cs="宋体"/>
          <w:color w:val="auto"/>
          <w:highlight w:val="none"/>
        </w:rPr>
        <w:t>承包人（全称）：</w:t>
      </w:r>
      <w:bookmarkEnd w:id="2174"/>
    </w:p>
    <w:p w14:paraId="3F186C3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75" w:name="_Toc472352514"/>
      <w:r>
        <w:rPr>
          <w:rFonts w:hint="eastAsia" w:ascii="宋体" w:hAnsi="宋体" w:eastAsia="宋体" w:cs="宋体"/>
          <w:color w:val="auto"/>
          <w:highlight w:val="none"/>
        </w:rPr>
        <w:t>发包人、承包人双方签署了</w:t>
      </w:r>
      <w:r>
        <w:rPr>
          <w:rFonts w:hint="eastAsia" w:ascii="宋体" w:hAnsi="宋体" w:eastAsia="宋体" w:cs="宋体"/>
          <w:i/>
          <w:iCs/>
          <w:color w:val="auto"/>
          <w:highlight w:val="none"/>
          <w:u w:val="single"/>
        </w:rPr>
        <w:t xml:space="preserve">                </w:t>
      </w:r>
      <w:r>
        <w:rPr>
          <w:rFonts w:hint="eastAsia" w:ascii="宋体" w:hAnsi="宋体" w:eastAsia="宋体" w:cs="宋体"/>
          <w:color w:val="auto"/>
          <w:highlight w:val="none"/>
        </w:rPr>
        <w:t>施工合同，为加强工程项目建设期间的廉洁合作，确保项目高效优质按期竣工，双方经协商签订本协议并作为双方共同遵守的廉洁合作行为准则。</w:t>
      </w:r>
      <w:bookmarkEnd w:id="2175"/>
    </w:p>
    <w:p w14:paraId="7AF3C37B">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76" w:name="_Toc472352515"/>
      <w:r>
        <w:rPr>
          <w:rFonts w:hint="eastAsia" w:ascii="宋体" w:hAnsi="宋体" w:eastAsia="宋体" w:cs="宋体"/>
          <w:color w:val="auto"/>
          <w:highlight w:val="none"/>
        </w:rPr>
        <w:t>1.发包人责任</w:t>
      </w:r>
      <w:bookmarkEnd w:id="2176"/>
    </w:p>
    <w:p w14:paraId="2A2C1CB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77" w:name="_Toc472352516"/>
      <w:r>
        <w:rPr>
          <w:rFonts w:hint="eastAsia" w:ascii="宋体" w:hAnsi="宋体" w:eastAsia="宋体" w:cs="宋体"/>
          <w:color w:val="auto"/>
          <w:highlight w:val="none"/>
        </w:rPr>
        <w:t>1.1.发包人有责任向承包人介绍本单位有关廉洁合作管理的各项制度和规定。</w:t>
      </w:r>
      <w:bookmarkEnd w:id="2177"/>
    </w:p>
    <w:p w14:paraId="330807D1">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78" w:name="_Toc472352517"/>
      <w:r>
        <w:rPr>
          <w:rFonts w:hint="eastAsia" w:ascii="宋体" w:hAnsi="宋体" w:eastAsia="宋体" w:cs="宋体"/>
          <w:color w:val="auto"/>
          <w:highlight w:val="none"/>
        </w:rPr>
        <w:t>1.2.发包人有责任对本单位项目管理人员进行廉洁合作教育。</w:t>
      </w:r>
      <w:bookmarkEnd w:id="2178"/>
    </w:p>
    <w:p w14:paraId="7623F96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79" w:name="_Toc472352518"/>
      <w:r>
        <w:rPr>
          <w:rFonts w:hint="eastAsia" w:ascii="宋体" w:hAnsi="宋体" w:eastAsia="宋体" w:cs="宋体"/>
          <w:color w:val="auto"/>
          <w:highlight w:val="none"/>
        </w:rPr>
        <w:t>1.3.发包人人员应严格遵守本单位有关廉洁合作管理的规定，不得接受承包人的宴请，不得接受任何形式的实物、现金或礼券。</w:t>
      </w:r>
      <w:bookmarkEnd w:id="2179"/>
    </w:p>
    <w:p w14:paraId="4B1EAAB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0" w:name="_Toc472352519"/>
      <w:r>
        <w:rPr>
          <w:rFonts w:hint="eastAsia" w:ascii="宋体" w:hAnsi="宋体" w:eastAsia="宋体" w:cs="宋体"/>
          <w:color w:val="auto"/>
          <w:highlight w:val="none"/>
        </w:rPr>
        <w:t>1.4.发包人在工程项目建设期间发现发包人的人员任何形式的索贿受贿行为，均应及时采取措施予以制止，并及时通报承包人领导。</w:t>
      </w:r>
      <w:bookmarkEnd w:id="2180"/>
    </w:p>
    <w:p w14:paraId="6027F38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1" w:name="_Toc472352520"/>
      <w:r>
        <w:rPr>
          <w:rFonts w:hint="eastAsia" w:ascii="宋体" w:hAnsi="宋体" w:eastAsia="宋体" w:cs="宋体"/>
          <w:color w:val="auto"/>
          <w:highlight w:val="none"/>
        </w:rPr>
        <w:t>1.5.发包人的人员如违反廉洁合作管理制度及本协议规定，发包人应视情节轻重、影响大小给予行政及经济处罚。</w:t>
      </w:r>
      <w:bookmarkEnd w:id="2181"/>
    </w:p>
    <w:p w14:paraId="73B32F1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2" w:name="_Toc472352521"/>
      <w:r>
        <w:rPr>
          <w:rFonts w:hint="eastAsia" w:ascii="宋体" w:hAnsi="宋体" w:eastAsia="宋体" w:cs="宋体"/>
          <w:color w:val="auto"/>
          <w:highlight w:val="none"/>
        </w:rPr>
        <w:t>1.6.对于承包人举报发包人人员违反廉洁合作规定的情况，发包人应及时进行调查，根据调查情况进行处理。</w:t>
      </w:r>
      <w:bookmarkEnd w:id="2182"/>
    </w:p>
    <w:p w14:paraId="5039524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3" w:name="_Toc472352522"/>
      <w:r>
        <w:rPr>
          <w:rFonts w:hint="eastAsia" w:ascii="宋体" w:hAnsi="宋体" w:eastAsia="宋体" w:cs="宋体"/>
          <w:color w:val="auto"/>
          <w:highlight w:val="none"/>
        </w:rPr>
        <w:t>2.承包人责任</w:t>
      </w:r>
      <w:bookmarkEnd w:id="2183"/>
    </w:p>
    <w:p w14:paraId="787CAD6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4" w:name="_Toc472352523"/>
      <w:r>
        <w:rPr>
          <w:rFonts w:hint="eastAsia" w:ascii="宋体" w:hAnsi="宋体" w:eastAsia="宋体" w:cs="宋体"/>
          <w:color w:val="auto"/>
          <w:highlight w:val="none"/>
        </w:rPr>
        <w:t>2.1.承包人应保证承包人有关人员了解发包人单位有关廉洁合作管理的各项制度及本协议的规定，并遵照执行。</w:t>
      </w:r>
      <w:bookmarkEnd w:id="2184"/>
    </w:p>
    <w:p w14:paraId="43423D64">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5" w:name="_Toc472352524"/>
      <w:r>
        <w:rPr>
          <w:rFonts w:hint="eastAsia" w:ascii="宋体" w:hAnsi="宋体" w:eastAsia="宋体" w:cs="宋体"/>
          <w:color w:val="auto"/>
          <w:highlight w:val="none"/>
        </w:rPr>
        <w:t>2.2.承包人不得宴请发包人人员，不得以任何形式赠送实物、现金或礼券。</w:t>
      </w:r>
      <w:bookmarkEnd w:id="2185"/>
    </w:p>
    <w:p w14:paraId="5523CE1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6" w:name="_Toc472352525"/>
      <w:r>
        <w:rPr>
          <w:rFonts w:hint="eastAsia" w:ascii="宋体" w:hAnsi="宋体" w:eastAsia="宋体" w:cs="宋体"/>
          <w:color w:val="auto"/>
          <w:highlight w:val="none"/>
        </w:rPr>
        <w:t>2.3.承包人在工程项目建设期间发现承包人人员任何向发包人的人员行贿行为，均应及时采取措施予以制止，并及时通报发包人单位领导。</w:t>
      </w:r>
      <w:bookmarkEnd w:id="2186"/>
    </w:p>
    <w:p w14:paraId="2B00D931">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7" w:name="_Toc472352526"/>
      <w:r>
        <w:rPr>
          <w:rFonts w:hint="eastAsia" w:ascii="宋体" w:hAnsi="宋体" w:eastAsia="宋体" w:cs="宋体"/>
          <w:color w:val="auto"/>
          <w:highlight w:val="none"/>
        </w:rPr>
        <w:t>2.4.承包人有责任接受发包人对承包人在工程项目建设期间廉洁合作管理执行情况的监督。</w:t>
      </w:r>
      <w:bookmarkEnd w:id="2187"/>
    </w:p>
    <w:p w14:paraId="1FD5577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8" w:name="_Toc472352527"/>
      <w:r>
        <w:rPr>
          <w:rFonts w:hint="eastAsia" w:ascii="宋体" w:hAnsi="宋体" w:eastAsia="宋体" w:cs="宋体"/>
          <w:color w:val="auto"/>
          <w:highlight w:val="none"/>
        </w:rPr>
        <w:t>2.5.承包人人员有义务就发包人人员任何形式的索贿或受贿行为及时向发包人单位领导举报；如承包人向发包人人员行贿，或发包人人员向承包人索贿，承包人满足其要求且并未向发包人举报的，一经查实，除追回由此给发包人造成的损失外，承包人承诺在合同价款的基础上再让利1%～5%（由发包人视情节严重情况而定）进行最终结算，并对本方知情不报人员进行相应处罚。</w:t>
      </w:r>
      <w:bookmarkEnd w:id="2188"/>
    </w:p>
    <w:p w14:paraId="5379929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189" w:name="_Toc472352528"/>
      <w:r>
        <w:rPr>
          <w:rFonts w:hint="eastAsia" w:ascii="宋体" w:hAnsi="宋体" w:eastAsia="宋体" w:cs="宋体"/>
          <w:color w:val="auto"/>
          <w:highlight w:val="none"/>
        </w:rPr>
        <w:t>2.6.如因承包人单位及人员在工程项目建设期间贿赂发包人人员，被检察机关立案查处的，发包人有权取消或终止工程合同的履行，由此给发包人造成的损失由承包人负责赔偿。</w:t>
      </w:r>
      <w:bookmarkEnd w:id="2189"/>
    </w:p>
    <w:p w14:paraId="5E1C5DA3">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045E69B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190" w:name="_Toc472352529"/>
      <w:r>
        <w:rPr>
          <w:rFonts w:hint="eastAsia" w:ascii="宋体" w:hAnsi="宋体" w:eastAsia="宋体" w:cs="宋体"/>
          <w:color w:val="auto"/>
          <w:highlight w:val="none"/>
        </w:rPr>
        <w:t>发包人（公章）：                     承包人（公章）：</w:t>
      </w:r>
      <w:bookmarkEnd w:id="2190"/>
      <w:r>
        <w:rPr>
          <w:rFonts w:hint="eastAsia" w:ascii="宋体" w:hAnsi="宋体" w:eastAsia="宋体" w:cs="宋体"/>
          <w:color w:val="auto"/>
          <w:highlight w:val="none"/>
        </w:rPr>
        <w:t xml:space="preserve"> </w:t>
      </w:r>
    </w:p>
    <w:p w14:paraId="6B9D4498">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7014419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191" w:name="_Toc472352530"/>
      <w:r>
        <w:rPr>
          <w:rFonts w:hint="eastAsia" w:ascii="宋体" w:hAnsi="宋体" w:eastAsia="宋体" w:cs="宋体"/>
          <w:color w:val="auto"/>
          <w:highlight w:val="none"/>
        </w:rPr>
        <w:t>法定代表人：                        法定代表人：</w:t>
      </w:r>
      <w:bookmarkEnd w:id="2191"/>
      <w:r>
        <w:rPr>
          <w:rFonts w:hint="eastAsia" w:ascii="宋体" w:hAnsi="宋体" w:eastAsia="宋体" w:cs="宋体"/>
          <w:color w:val="auto"/>
          <w:highlight w:val="none"/>
        </w:rPr>
        <w:t xml:space="preserve">   </w:t>
      </w:r>
    </w:p>
    <w:p w14:paraId="37B28E98">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51A2CA9B">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192" w:name="_Toc472352531"/>
      <w:r>
        <w:rPr>
          <w:rFonts w:hint="eastAsia" w:ascii="宋体" w:hAnsi="宋体" w:eastAsia="宋体" w:cs="宋体"/>
          <w:color w:val="auto"/>
          <w:highlight w:val="none"/>
        </w:rPr>
        <w:t>签约代表人：                        签约代表人：</w:t>
      </w:r>
      <w:bookmarkEnd w:id="2192"/>
    </w:p>
    <w:p w14:paraId="5587BC4D">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13C75E52">
      <w:pPr>
        <w:pStyle w:val="34"/>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2193" w:name="_Toc472352532"/>
      <w:r>
        <w:rPr>
          <w:rFonts w:hint="eastAsia" w:ascii="宋体" w:hAnsi="宋体" w:eastAsia="宋体" w:cs="宋体"/>
          <w:color w:val="auto"/>
          <w:highlight w:val="none"/>
        </w:rPr>
        <w:t>年     月     日</w:t>
      </w:r>
      <w:bookmarkEnd w:id="2193"/>
    </w:p>
    <w:p w14:paraId="21BBABE4">
      <w:pPr>
        <w:pStyle w:val="34"/>
        <w:widowControl/>
        <w:jc w:val="left"/>
        <w:rPr>
          <w:rFonts w:ascii="宋体" w:hAnsi="宋体"/>
          <w:color w:val="auto"/>
          <w:highlight w:val="none"/>
        </w:rPr>
      </w:pPr>
      <w:r>
        <w:rPr>
          <w:rFonts w:ascii="宋体" w:hAnsi="宋体"/>
          <w:color w:val="auto"/>
          <w:highlight w:val="none"/>
        </w:rPr>
        <w:br w:type="page"/>
      </w:r>
    </w:p>
    <w:p w14:paraId="5B0C349E">
      <w:pPr>
        <w:pStyle w:val="3"/>
        <w:jc w:val="center"/>
        <w:rPr>
          <w:rFonts w:hint="eastAsia" w:ascii="宋体" w:hAnsi="宋体" w:eastAsia="宋体" w:cs="Times New Roman"/>
          <w:bCs w:val="0"/>
          <w:color w:val="auto"/>
          <w:kern w:val="0"/>
          <w:sz w:val="28"/>
          <w:szCs w:val="28"/>
          <w:highlight w:val="none"/>
          <w:lang w:val="en-US" w:eastAsia="zh-CN" w:bidi="ar-SA"/>
        </w:rPr>
      </w:pPr>
      <w:bookmarkStart w:id="2194" w:name="_Toc267261701"/>
      <w:bookmarkStart w:id="2195" w:name="_Toc13451"/>
      <w:bookmarkStart w:id="2196" w:name="_Toc166672963"/>
      <w:bookmarkStart w:id="2197" w:name="_Toc256000195"/>
      <w:r>
        <w:rPr>
          <w:rFonts w:hint="eastAsia" w:ascii="宋体" w:hAnsi="宋体" w:eastAsia="宋体" w:cs="Times New Roman"/>
          <w:b/>
          <w:bCs w:val="0"/>
          <w:color w:val="auto"/>
          <w:kern w:val="0"/>
          <w:sz w:val="28"/>
          <w:szCs w:val="28"/>
          <w:highlight w:val="none"/>
          <w:lang w:val="en-US" w:eastAsia="zh-CN" w:bidi="ar-SA"/>
        </w:rPr>
        <w:t>附</w:t>
      </w:r>
      <w:bookmarkStart w:id="2198" w:name="_Toc296347230"/>
      <w:bookmarkStart w:id="2199" w:name="_Toc296891271"/>
      <w:bookmarkStart w:id="2200" w:name="_Toc296346732"/>
      <w:bookmarkStart w:id="2201" w:name="_Toc296944570"/>
      <w:bookmarkStart w:id="2202" w:name="_Toc296503231"/>
      <w:bookmarkStart w:id="2203" w:name="_Toc296891059"/>
      <w:r>
        <w:rPr>
          <w:rFonts w:hint="eastAsia" w:ascii="宋体" w:hAnsi="宋体" w:eastAsia="宋体" w:cs="Times New Roman"/>
          <w:b/>
          <w:bCs w:val="0"/>
          <w:color w:val="auto"/>
          <w:kern w:val="0"/>
          <w:sz w:val="28"/>
          <w:szCs w:val="28"/>
          <w:highlight w:val="none"/>
          <w:lang w:val="en-US" w:eastAsia="zh-CN" w:bidi="ar-SA"/>
        </w:rPr>
        <w:t>件10</w:t>
      </w:r>
      <w:bookmarkEnd w:id="2194"/>
      <w:bookmarkEnd w:id="2198"/>
      <w:bookmarkEnd w:id="2199"/>
      <w:bookmarkEnd w:id="2200"/>
      <w:bookmarkEnd w:id="2201"/>
      <w:bookmarkEnd w:id="2202"/>
      <w:bookmarkEnd w:id="2203"/>
      <w:r>
        <w:rPr>
          <w:rFonts w:hint="eastAsia" w:ascii="宋体" w:hAnsi="宋体" w:eastAsia="宋体" w:cs="Times New Roman"/>
          <w:b/>
          <w:bCs w:val="0"/>
          <w:color w:val="auto"/>
          <w:kern w:val="0"/>
          <w:sz w:val="28"/>
          <w:szCs w:val="28"/>
          <w:highlight w:val="none"/>
          <w:lang w:val="en-US" w:eastAsia="zh-CN" w:bidi="ar-SA"/>
        </w:rPr>
        <w:t xml:space="preserve"> 银行履约保函</w:t>
      </w:r>
      <w:bookmarkEnd w:id="2195"/>
      <w:bookmarkEnd w:id="2196"/>
      <w:bookmarkEnd w:id="2197"/>
    </w:p>
    <w:p w14:paraId="59796249">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color w:val="auto"/>
          <w:highlight w:val="none"/>
          <w:u w:val="single"/>
        </w:rPr>
        <w:t xml:space="preserve">    （发包人名称）  </w:t>
      </w:r>
      <w:r>
        <w:rPr>
          <w:rFonts w:hint="eastAsia" w:ascii="宋体" w:hAnsi="宋体" w:eastAsia="宋体" w:cs="宋体"/>
          <w:color w:val="auto"/>
          <w:highlight w:val="none"/>
        </w:rPr>
        <w:t>：</w:t>
      </w:r>
    </w:p>
    <w:p w14:paraId="72F24CA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（承包人名称）            </w:t>
      </w:r>
      <w:r>
        <w:rPr>
          <w:rFonts w:hint="eastAsia" w:ascii="宋体" w:hAnsi="宋体" w:eastAsia="宋体" w:cs="宋体"/>
          <w:color w:val="auto"/>
          <w:highlight w:val="none"/>
        </w:rPr>
        <w:t>（以下简称“承包人”）已保证按照与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（发包人名称）（以下简称“发包人”）签订的《</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合同》（以下简称“合同”）实施项目。</w:t>
      </w:r>
    </w:p>
    <w:p w14:paraId="04741609">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鉴于发包人在上述合同中要求承包人向发包人提交下述金额的由银行开具的保函，作为承包人履行本合同责任的保证金。</w:t>
      </w:r>
    </w:p>
    <w:p w14:paraId="7C9FCD6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本银行同意为承包人出具本保函。</w:t>
      </w:r>
    </w:p>
    <w:p w14:paraId="472A0790">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本银行在此代表承包人向发包人承担支付人民币（大写）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责任，我行无条件地且不可撤销的承诺：承包人在履行合同过程中，由于资金、技术、质量或非不可抗力等原因给发包人造成经济损失时，在发包人向本行提交书面索赔通知并要求得到上述金额内得任何付款时，本银行即予支付，不挑剔、不争辩、也不要求发包人出具证明或说明背景、理由。</w:t>
      </w:r>
    </w:p>
    <w:p w14:paraId="1BE0601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本银行放弃发包人应先向承包人要求赔偿上述金额然后再向本银行提出要求的权利。</w:t>
      </w:r>
    </w:p>
    <w:p w14:paraId="52302CD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本保函为见索即付的独立保函。</w:t>
      </w:r>
    </w:p>
    <w:p w14:paraId="457B68C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本银行进一步同意在发包人和承包人之间的合同条件、合同项下的项目或合同发生变化、补充或修改后，本银行承担本保函的责任也不改变，有关上述变化、补充和修改也无须通知本银行。</w:t>
      </w:r>
    </w:p>
    <w:p w14:paraId="3210011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本保函自发包人、承包人双方签订的合同生效之日起至发包人签发工程接收证书之日止一直有效。</w:t>
      </w:r>
    </w:p>
    <w:p w14:paraId="7857694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因本保函发生的纠纷，可由双方协商解决，协商不成的，任何一方均可向发包人所在地有管辖权的人民法院起诉。</w:t>
      </w:r>
    </w:p>
    <w:p w14:paraId="5AA01B6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p>
    <w:p w14:paraId="00CB7CA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银行名称：                          （盖章）</w:t>
      </w:r>
    </w:p>
    <w:p w14:paraId="6A6431E0">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银行法定代表人（或负责人）：            （签字或签章）</w:t>
      </w:r>
    </w:p>
    <w:p w14:paraId="4FBEFBD3">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地    址：                          </w:t>
      </w:r>
    </w:p>
    <w:p w14:paraId="4ABC49E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邮政编码：                          </w:t>
      </w:r>
    </w:p>
    <w:p w14:paraId="7E85DC0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日    期：           年     月    日</w:t>
      </w:r>
    </w:p>
    <w:p w14:paraId="39DDF253">
      <w:pPr>
        <w:pStyle w:val="3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val="0"/>
          <w:color w:val="auto"/>
          <w:kern w:val="0"/>
          <w:sz w:val="28"/>
          <w:szCs w:val="28"/>
          <w:highlight w:val="none"/>
        </w:rPr>
      </w:pPr>
      <w:r>
        <w:rPr>
          <w:rFonts w:hint="eastAsia" w:ascii="宋体" w:hAnsi="宋体" w:eastAsia="宋体" w:cs="宋体"/>
          <w:color w:val="auto"/>
          <w:highlight w:val="none"/>
        </w:rPr>
        <w:br w:type="page"/>
      </w:r>
      <w:bookmarkStart w:id="2204" w:name="_Toc166672964"/>
      <w:r>
        <w:rPr>
          <w:rFonts w:hint="eastAsia" w:ascii="宋体" w:hAnsi="宋体" w:eastAsia="宋体" w:cs="Times New Roman"/>
          <w:b/>
          <w:bCs w:val="0"/>
          <w:color w:val="auto"/>
          <w:kern w:val="0"/>
          <w:sz w:val="28"/>
          <w:szCs w:val="28"/>
          <w:highlight w:val="none"/>
          <w:lang w:val="en-US" w:eastAsia="zh-CN" w:bidi="ar-SA"/>
        </w:rPr>
        <w:t>附</w:t>
      </w:r>
      <w:bookmarkStart w:id="2205" w:name="_Toc296503232"/>
      <w:bookmarkStart w:id="2206" w:name="_Toc296944571"/>
      <w:bookmarkStart w:id="2207" w:name="_Toc296891060"/>
      <w:bookmarkStart w:id="2208" w:name="_Toc296891272"/>
      <w:bookmarkStart w:id="2209" w:name="_Toc296346733"/>
      <w:bookmarkStart w:id="2210" w:name="_Toc296347231"/>
      <w:bookmarkStart w:id="2211" w:name="_Toc267261702"/>
      <w:r>
        <w:rPr>
          <w:rFonts w:hint="eastAsia" w:ascii="宋体" w:hAnsi="宋体" w:eastAsia="宋体" w:cs="Times New Roman"/>
          <w:b/>
          <w:bCs w:val="0"/>
          <w:color w:val="auto"/>
          <w:kern w:val="0"/>
          <w:sz w:val="28"/>
          <w:szCs w:val="28"/>
          <w:highlight w:val="none"/>
          <w:lang w:val="en-US" w:eastAsia="zh-CN" w:bidi="ar-SA"/>
        </w:rPr>
        <w:t xml:space="preserve">件11 </w:t>
      </w:r>
      <w:bookmarkEnd w:id="2205"/>
      <w:bookmarkEnd w:id="2206"/>
      <w:bookmarkEnd w:id="2207"/>
      <w:bookmarkEnd w:id="2208"/>
      <w:bookmarkEnd w:id="2209"/>
      <w:bookmarkEnd w:id="2210"/>
      <w:bookmarkEnd w:id="2211"/>
      <w:r>
        <w:rPr>
          <w:rFonts w:hint="eastAsia" w:ascii="宋体" w:hAnsi="宋体" w:eastAsia="宋体" w:cs="Times New Roman"/>
          <w:b/>
          <w:bCs w:val="0"/>
          <w:color w:val="auto"/>
          <w:kern w:val="0"/>
          <w:sz w:val="28"/>
          <w:szCs w:val="28"/>
          <w:highlight w:val="none"/>
          <w:lang w:val="en-US" w:eastAsia="zh-CN" w:bidi="ar-SA"/>
        </w:rPr>
        <w:t>预付款担保</w:t>
      </w:r>
      <w:bookmarkEnd w:id="2204"/>
    </w:p>
    <w:p w14:paraId="6782D536">
      <w:pPr>
        <w:pStyle w:val="3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（发包人名称）</w:t>
      </w:r>
      <w:r>
        <w:rPr>
          <w:rFonts w:hint="eastAsia" w:ascii="宋体" w:hAnsi="宋体" w:eastAsia="宋体" w:cs="宋体"/>
          <w:color w:val="auto"/>
          <w:sz w:val="21"/>
          <w:szCs w:val="21"/>
          <w:highlight w:val="none"/>
        </w:rPr>
        <w:t>：</w:t>
      </w:r>
    </w:p>
    <w:p w14:paraId="4652B11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根据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w:t>
      </w:r>
      <w:r>
        <w:rPr>
          <w:rFonts w:hint="eastAsia" w:ascii="宋体" w:hAnsi="宋体" w:cs="宋体"/>
          <w:color w:val="auto"/>
          <w:sz w:val="21"/>
          <w:szCs w:val="21"/>
          <w:highlight w:val="none"/>
          <w:lang w:val="en-US" w:eastAsia="zh-CN"/>
        </w:rPr>
        <w:t>简</w:t>
      </w:r>
      <w:r>
        <w:rPr>
          <w:rFonts w:hint="eastAsia" w:ascii="宋体" w:hAnsi="宋体" w:eastAsia="宋体" w:cs="宋体"/>
          <w:color w:val="auto"/>
          <w:sz w:val="21"/>
          <w:szCs w:val="21"/>
          <w:highlight w:val="none"/>
        </w:rPr>
        <w:t>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（发包人名称）（以下简称“发包人”）于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（工程名称）《建设项目工程总承包合同》，承包人按约定的金额向你方提交一份预付款担保，即有权得到你方支付相等金额的预付款。我方愿意就你方提供给承包人的预付款为承包人提供连带责任担保。</w:t>
      </w:r>
    </w:p>
    <w:p w14:paraId="077FE489">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EAF5B4">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2D9512A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D1B26F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5767D76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5. 因本保函发生的纠纷，可由双方协商解决，协商不成的，任何一方均可向发包人所在地有管辖权的人民法院起诉。</w:t>
      </w:r>
    </w:p>
    <w:p w14:paraId="2BCF75E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72DA0D4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p>
    <w:p w14:paraId="35C041DE">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1E5F9C16">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担保人：                          （盖单位章）</w:t>
      </w:r>
    </w:p>
    <w:p w14:paraId="0A65B9E1">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法定代表人或其委托代理人：            （签字）</w:t>
      </w:r>
    </w:p>
    <w:p w14:paraId="67924724">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0B2181E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0D9D8C78">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21D99CC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4D4BD43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w:t>
      </w:r>
    </w:p>
    <w:p w14:paraId="0B0D2E1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年      月      日</w:t>
      </w:r>
    </w:p>
    <w:p w14:paraId="1E957CE1">
      <w:pPr>
        <w:pStyle w:val="3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val="0"/>
          <w:color w:val="auto"/>
          <w:kern w:val="0"/>
          <w:sz w:val="28"/>
          <w:szCs w:val="28"/>
          <w:highlight w:val="none"/>
        </w:rPr>
      </w:pPr>
      <w:r>
        <w:rPr>
          <w:rFonts w:hint="eastAsia" w:ascii="宋体" w:hAnsi="宋体" w:eastAsia="宋体" w:cs="宋体"/>
          <w:b/>
          <w:color w:val="auto"/>
          <w:sz w:val="21"/>
          <w:szCs w:val="21"/>
          <w:highlight w:val="none"/>
        </w:rPr>
        <w:br w:type="page"/>
      </w:r>
      <w:bookmarkStart w:id="2212" w:name="_Toc166672965"/>
      <w:r>
        <w:rPr>
          <w:rFonts w:hint="eastAsia" w:ascii="宋体" w:hAnsi="宋体" w:eastAsia="宋体" w:cs="Times New Roman"/>
          <w:b/>
          <w:bCs w:val="0"/>
          <w:color w:val="auto"/>
          <w:kern w:val="0"/>
          <w:sz w:val="28"/>
          <w:szCs w:val="28"/>
          <w:highlight w:val="none"/>
          <w:lang w:val="en-US" w:eastAsia="zh-CN" w:bidi="ar-SA"/>
        </w:rPr>
        <w:t>附</w:t>
      </w:r>
      <w:bookmarkStart w:id="2213" w:name="_Toc296944572"/>
      <w:bookmarkStart w:id="2214" w:name="_Toc296346734"/>
      <w:bookmarkStart w:id="2215" w:name="_Toc296347232"/>
      <w:bookmarkStart w:id="2216" w:name="_Toc296503233"/>
      <w:bookmarkStart w:id="2217" w:name="_Toc296891273"/>
      <w:bookmarkStart w:id="2218" w:name="_Toc296891061"/>
      <w:r>
        <w:rPr>
          <w:rFonts w:hint="eastAsia" w:ascii="宋体" w:hAnsi="宋体" w:eastAsia="宋体" w:cs="Times New Roman"/>
          <w:b/>
          <w:bCs w:val="0"/>
          <w:color w:val="auto"/>
          <w:kern w:val="0"/>
          <w:sz w:val="28"/>
          <w:szCs w:val="28"/>
          <w:highlight w:val="none"/>
          <w:lang w:val="en-US" w:eastAsia="zh-CN" w:bidi="ar-SA"/>
        </w:rPr>
        <w:t>件12</w:t>
      </w:r>
      <w:bookmarkEnd w:id="2213"/>
      <w:bookmarkEnd w:id="2214"/>
      <w:bookmarkEnd w:id="2215"/>
      <w:bookmarkEnd w:id="2216"/>
      <w:bookmarkEnd w:id="2217"/>
      <w:bookmarkEnd w:id="2218"/>
      <w:r>
        <w:rPr>
          <w:rFonts w:hint="eastAsia" w:ascii="宋体" w:hAnsi="宋体" w:eastAsia="宋体" w:cs="Times New Roman"/>
          <w:b/>
          <w:bCs w:val="0"/>
          <w:color w:val="auto"/>
          <w:kern w:val="0"/>
          <w:sz w:val="28"/>
          <w:szCs w:val="28"/>
          <w:highlight w:val="none"/>
          <w:lang w:val="en-US" w:eastAsia="zh-CN" w:bidi="ar-SA"/>
        </w:rPr>
        <w:t xml:space="preserve"> 支付担保</w:t>
      </w:r>
      <w:bookmarkEnd w:id="2212"/>
    </w:p>
    <w:p w14:paraId="6071FC68">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color w:val="auto"/>
          <w:highlight w:val="none"/>
          <w:u w:val="single"/>
        </w:rPr>
        <w:t xml:space="preserve">             （承包人）</w:t>
      </w:r>
      <w:r>
        <w:rPr>
          <w:rFonts w:hint="eastAsia" w:ascii="宋体" w:hAnsi="宋体" w:eastAsia="宋体" w:cs="宋体"/>
          <w:color w:val="auto"/>
          <w:highlight w:val="none"/>
        </w:rPr>
        <w:t>：</w:t>
      </w:r>
    </w:p>
    <w:p w14:paraId="5F89351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鉴于你方作为承包人已经与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（工程名称）《建设项目工程总承包合同》（以下称“主合同”），应发包人的申请，我方愿就发包人履行主合同约定的工程款支付义务以保证的方式向你方提供如下担保：</w:t>
      </w:r>
    </w:p>
    <w:p w14:paraId="356524D6">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一、保证的范围及保证金额</w:t>
      </w:r>
    </w:p>
    <w:p w14:paraId="7D1E24B6">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我方的保证范围是主合同约定的工程款。</w:t>
      </w:r>
    </w:p>
    <w:p w14:paraId="610B3C4C">
      <w:pPr>
        <w:pStyle w:val="34"/>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rPr>
          <w:rFonts w:hint="eastAsia" w:ascii="宋体" w:hAnsi="宋体" w:cs="宋体"/>
          <w:color w:val="auto"/>
          <w:spacing w:val="-6"/>
          <w:highlight w:val="none"/>
        </w:rPr>
      </w:pPr>
      <w:r>
        <w:rPr>
          <w:rFonts w:hint="eastAsia" w:ascii="宋体" w:hAnsi="宋体" w:eastAsia="宋体" w:cs="宋体"/>
          <w:color w:val="auto"/>
          <w:spacing w:val="-6"/>
          <w:sz w:val="21"/>
          <w:highlight w:val="none"/>
        </w:rPr>
        <w:t>2. 本保函所称主合同约定的工程款是指主合同约定的除工程质量保证金以外的合同价款。</w:t>
      </w:r>
    </w:p>
    <w:p w14:paraId="2F86D6A9">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B1645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二、保证的方式及保证期间</w:t>
      </w:r>
    </w:p>
    <w:p w14:paraId="5920434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我方保证的方式为：连带责任保证。</w:t>
      </w:r>
    </w:p>
    <w:p w14:paraId="5EB2F219">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    日内。</w:t>
      </w:r>
    </w:p>
    <w:p w14:paraId="5C793F1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1E8D7C0D">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三、承担保证责任的形式</w:t>
      </w:r>
    </w:p>
    <w:p w14:paraId="0200AE2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1FB47AE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四、代偿的安排</w:t>
      </w:r>
    </w:p>
    <w:p w14:paraId="6E9C3A74">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15CEFE5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9FD1047">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477DC558">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五、保证责任的解除</w:t>
      </w:r>
    </w:p>
    <w:p w14:paraId="00AD43A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241B6711">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58AC4033">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37B163A4">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1ECA5731">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145C3A72">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六、免责条款</w:t>
      </w:r>
    </w:p>
    <w:p w14:paraId="21DEE34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5912235B">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1DFEE9DB">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94DEF4F">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02C81315">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七、争议解决</w:t>
      </w:r>
    </w:p>
    <w:p w14:paraId="1B52BBA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     种方式解决：</w:t>
      </w:r>
    </w:p>
    <w:p w14:paraId="0AA7EC61">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（1）向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1F8ADA3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2B22C9BC">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八、保函的生效</w:t>
      </w:r>
    </w:p>
    <w:p w14:paraId="7B2B04EA">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5F74C906">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担保人：                                   （盖章）</w:t>
      </w:r>
    </w:p>
    <w:p w14:paraId="7048A636">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法定代表人或委托代理人：                   （签字）</w:t>
      </w:r>
    </w:p>
    <w:p w14:paraId="11601FB4">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地址：                                        </w:t>
      </w:r>
    </w:p>
    <w:p w14:paraId="4ADE80FE">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邮政编码：                                        </w:t>
      </w:r>
    </w:p>
    <w:p w14:paraId="7CC87DB0">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传真：                                        </w:t>
      </w:r>
    </w:p>
    <w:p w14:paraId="6FE0B76E">
      <w:pPr>
        <w:pStyle w:val="34"/>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08" w:num="1"/>
          <w:docGrid w:type="lines" w:linePitch="312" w:charSpace="0"/>
        </w:sectPr>
      </w:pPr>
      <w:r>
        <w:rPr>
          <w:rFonts w:hint="eastAsia" w:ascii="宋体" w:hAnsi="宋体" w:eastAsia="宋体" w:cs="宋体"/>
          <w:color w:val="auto"/>
          <w:highlight w:val="none"/>
        </w:rPr>
        <w:t xml:space="preserve">                            年      月      日</w:t>
      </w:r>
    </w:p>
    <w:p w14:paraId="28AADDD0">
      <w:pPr>
        <w:rPr>
          <w:rFonts w:hint="eastAsia"/>
          <w:color w:val="auto"/>
          <w:highlight w:val="none"/>
        </w:rPr>
      </w:pPr>
      <w:bookmarkStart w:id="2219" w:name="_Toc256000196"/>
      <w:bookmarkStart w:id="2220" w:name="_Toc122603037"/>
    </w:p>
    <w:p w14:paraId="5D9D5B8D">
      <w:pPr>
        <w:rPr>
          <w:rFonts w:hint="eastAsia"/>
          <w:color w:val="auto"/>
          <w:highlight w:val="none"/>
        </w:rPr>
      </w:pPr>
    </w:p>
    <w:p w14:paraId="529F32D6">
      <w:pPr>
        <w:rPr>
          <w:rFonts w:hint="eastAsia"/>
          <w:color w:val="auto"/>
          <w:highlight w:val="none"/>
        </w:rPr>
      </w:pPr>
    </w:p>
    <w:p w14:paraId="62ACA266">
      <w:pPr>
        <w:rPr>
          <w:rFonts w:hint="eastAsia"/>
          <w:color w:val="auto"/>
          <w:highlight w:val="none"/>
        </w:rPr>
      </w:pPr>
    </w:p>
    <w:p w14:paraId="04E6E879">
      <w:pPr>
        <w:rPr>
          <w:rFonts w:hint="eastAsia"/>
          <w:color w:val="auto"/>
          <w:highlight w:val="none"/>
        </w:rPr>
      </w:pPr>
    </w:p>
    <w:p w14:paraId="41C77837">
      <w:pPr>
        <w:rPr>
          <w:rFonts w:hint="eastAsia"/>
          <w:color w:val="auto"/>
          <w:highlight w:val="none"/>
        </w:rPr>
      </w:pPr>
    </w:p>
    <w:p w14:paraId="0988A2FD">
      <w:pPr>
        <w:rPr>
          <w:rFonts w:hint="eastAsia"/>
          <w:color w:val="auto"/>
          <w:highlight w:val="none"/>
        </w:rPr>
      </w:pPr>
    </w:p>
    <w:p w14:paraId="03496A70">
      <w:pPr>
        <w:rPr>
          <w:rFonts w:hint="eastAsia"/>
          <w:color w:val="auto"/>
          <w:highlight w:val="none"/>
        </w:rPr>
      </w:pPr>
    </w:p>
    <w:p w14:paraId="5B945D76">
      <w:pPr>
        <w:rPr>
          <w:rFonts w:hint="eastAsia"/>
          <w:color w:val="auto"/>
          <w:highlight w:val="none"/>
        </w:rPr>
      </w:pPr>
    </w:p>
    <w:p w14:paraId="75FE7EDA">
      <w:pPr>
        <w:rPr>
          <w:rFonts w:hint="eastAsia"/>
          <w:color w:val="auto"/>
          <w:highlight w:val="none"/>
        </w:rPr>
      </w:pPr>
    </w:p>
    <w:p w14:paraId="6D5E34FF">
      <w:pPr>
        <w:rPr>
          <w:rFonts w:hint="eastAsia"/>
          <w:color w:val="auto"/>
          <w:highlight w:val="none"/>
        </w:rPr>
      </w:pPr>
    </w:p>
    <w:p w14:paraId="1569FFD0">
      <w:pPr>
        <w:rPr>
          <w:rFonts w:hint="eastAsia"/>
          <w:color w:val="auto"/>
          <w:highlight w:val="none"/>
        </w:rPr>
      </w:pPr>
    </w:p>
    <w:p w14:paraId="7B5DF77A">
      <w:pPr>
        <w:rPr>
          <w:rFonts w:hint="eastAsia"/>
          <w:color w:val="auto"/>
          <w:highlight w:val="none"/>
        </w:rPr>
      </w:pPr>
    </w:p>
    <w:p w14:paraId="66E7264A">
      <w:pPr>
        <w:rPr>
          <w:rFonts w:hint="eastAsia"/>
          <w:color w:val="auto"/>
          <w:highlight w:val="none"/>
        </w:rPr>
      </w:pPr>
    </w:p>
    <w:p w14:paraId="2B5F2C36">
      <w:pPr>
        <w:rPr>
          <w:rFonts w:hint="eastAsia"/>
          <w:color w:val="auto"/>
          <w:highlight w:val="none"/>
        </w:rPr>
      </w:pPr>
    </w:p>
    <w:p w14:paraId="6FB64FF1">
      <w:pPr>
        <w:pStyle w:val="2"/>
        <w:spacing w:before="120" w:after="120" w:line="400" w:lineRule="exact"/>
        <w:jc w:val="center"/>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t>第二卷</w:t>
      </w:r>
      <w:bookmarkEnd w:id="2219"/>
      <w:bookmarkEnd w:id="2220"/>
    </w:p>
    <w:p w14:paraId="03D6A3A9">
      <w:pPr>
        <w:rPr>
          <w:rFonts w:hint="eastAsia" w:ascii="黑体" w:eastAsia="黑体"/>
          <w:color w:val="auto"/>
          <w:sz w:val="48"/>
          <w:szCs w:val="48"/>
          <w:highlight w:val="none"/>
        </w:rPr>
      </w:pPr>
    </w:p>
    <w:p w14:paraId="6D469B8F">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1BC6B2B">
      <w:pPr>
        <w:rPr>
          <w:rFonts w:hint="eastAsia"/>
          <w:color w:val="auto"/>
          <w:highlight w:val="none"/>
        </w:rPr>
      </w:pPr>
      <w:bookmarkStart w:id="2221" w:name="_Toc152265814_1"/>
      <w:bookmarkStart w:id="2222" w:name="_Toc256000197"/>
    </w:p>
    <w:p w14:paraId="1EA14D37">
      <w:pPr>
        <w:rPr>
          <w:rFonts w:hint="eastAsia"/>
          <w:color w:val="auto"/>
          <w:highlight w:val="none"/>
        </w:rPr>
      </w:pPr>
    </w:p>
    <w:p w14:paraId="799A082F">
      <w:pPr>
        <w:rPr>
          <w:rFonts w:hint="eastAsia"/>
          <w:color w:val="auto"/>
          <w:highlight w:val="none"/>
        </w:rPr>
      </w:pPr>
    </w:p>
    <w:p w14:paraId="14D5C4C4">
      <w:pPr>
        <w:rPr>
          <w:rFonts w:hint="eastAsia"/>
          <w:color w:val="auto"/>
          <w:highlight w:val="none"/>
        </w:rPr>
      </w:pPr>
    </w:p>
    <w:p w14:paraId="33980A9D">
      <w:pPr>
        <w:rPr>
          <w:rFonts w:hint="eastAsia"/>
          <w:color w:val="auto"/>
          <w:highlight w:val="none"/>
        </w:rPr>
      </w:pPr>
    </w:p>
    <w:p w14:paraId="6125EE90">
      <w:pPr>
        <w:rPr>
          <w:rFonts w:hint="eastAsia"/>
          <w:color w:val="auto"/>
          <w:highlight w:val="none"/>
        </w:rPr>
      </w:pPr>
    </w:p>
    <w:p w14:paraId="3D07284E">
      <w:pPr>
        <w:rPr>
          <w:rFonts w:hint="eastAsia"/>
          <w:color w:val="auto"/>
          <w:highlight w:val="none"/>
        </w:rPr>
      </w:pPr>
    </w:p>
    <w:p w14:paraId="055B3EC0">
      <w:pPr>
        <w:rPr>
          <w:rFonts w:hint="eastAsia"/>
          <w:color w:val="auto"/>
          <w:highlight w:val="none"/>
        </w:rPr>
      </w:pPr>
    </w:p>
    <w:p w14:paraId="248EDBB6">
      <w:pPr>
        <w:rPr>
          <w:rFonts w:hint="eastAsia"/>
          <w:color w:val="auto"/>
          <w:highlight w:val="none"/>
        </w:rPr>
      </w:pPr>
    </w:p>
    <w:p w14:paraId="1487E9B9">
      <w:pPr>
        <w:rPr>
          <w:rFonts w:hint="eastAsia"/>
          <w:color w:val="auto"/>
          <w:highlight w:val="none"/>
        </w:rPr>
      </w:pPr>
    </w:p>
    <w:p w14:paraId="0CC0A6B7">
      <w:pPr>
        <w:rPr>
          <w:rFonts w:hint="eastAsia"/>
          <w:color w:val="auto"/>
          <w:highlight w:val="none"/>
        </w:rPr>
      </w:pPr>
    </w:p>
    <w:p w14:paraId="7DE943F2">
      <w:pPr>
        <w:rPr>
          <w:rFonts w:hint="eastAsia"/>
          <w:color w:val="auto"/>
          <w:highlight w:val="none"/>
        </w:rPr>
      </w:pPr>
    </w:p>
    <w:p w14:paraId="0941A31F">
      <w:pPr>
        <w:rPr>
          <w:rFonts w:hint="eastAsia"/>
          <w:color w:val="auto"/>
          <w:highlight w:val="none"/>
        </w:rPr>
      </w:pPr>
    </w:p>
    <w:p w14:paraId="1C63711C">
      <w:pPr>
        <w:rPr>
          <w:rFonts w:hint="eastAsia"/>
          <w:color w:val="auto"/>
          <w:highlight w:val="none"/>
        </w:rPr>
      </w:pPr>
    </w:p>
    <w:p w14:paraId="79DF3014">
      <w:pPr>
        <w:rPr>
          <w:rFonts w:hint="eastAsia"/>
          <w:color w:val="auto"/>
          <w:highlight w:val="none"/>
        </w:rPr>
      </w:pPr>
    </w:p>
    <w:p w14:paraId="7D270AF6">
      <w:pPr>
        <w:pStyle w:val="2"/>
        <w:spacing w:before="120" w:after="120" w:line="400" w:lineRule="exact"/>
        <w:jc w:val="center"/>
        <w:rPr>
          <w:rFonts w:hint="default" w:eastAsia="黑体"/>
          <w:color w:val="auto"/>
          <w:highlight w:val="none"/>
          <w:lang w:val="en-US" w:eastAsia="zh-CN"/>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五</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2221"/>
      <w:r>
        <w:rPr>
          <w:rFonts w:hint="eastAsia" w:ascii="黑体" w:hAnsi="黑体" w:eastAsia="黑体"/>
          <w:b w:val="0"/>
          <w:bCs w:val="0"/>
          <w:color w:val="auto"/>
          <w:sz w:val="32"/>
          <w:highlight w:val="none"/>
          <w:lang w:val="en-US" w:eastAsia="zh-CN"/>
        </w:rPr>
        <w:t>发包人要求</w:t>
      </w:r>
      <w:bookmarkEnd w:id="2222"/>
    </w:p>
    <w:p w14:paraId="1FD455CB">
      <w:pPr>
        <w:pStyle w:val="40"/>
        <w:adjustRightInd w:val="0"/>
        <w:snapToGrid w:val="0"/>
        <w:spacing w:line="360" w:lineRule="auto"/>
        <w:ind w:firstLine="422" w:firstLineChars="200"/>
        <w:rPr>
          <w:rFonts w:ascii="Arial" w:hAnsi="Arial" w:cs="Arial"/>
          <w:b/>
          <w:color w:val="auto"/>
          <w:sz w:val="21"/>
          <w:szCs w:val="21"/>
          <w:highlight w:val="none"/>
        </w:rPr>
      </w:pPr>
    </w:p>
    <w:p w14:paraId="18063EA4">
      <w:pPr>
        <w:pStyle w:val="44"/>
        <w:widowControl/>
        <w:shd w:val="clear" w:color="auto" w:fill="auto"/>
        <w:jc w:val="left"/>
        <w:rPr>
          <w:color w:val="auto"/>
          <w:sz w:val="21"/>
          <w:szCs w:val="21"/>
          <w:highlight w:val="none"/>
        </w:rPr>
      </w:pPr>
      <w:r>
        <w:rPr>
          <w:rFonts w:hint="eastAsia" w:ascii="宋体" w:hAnsi="宋体" w:cs="宋体"/>
          <w:b/>
          <w:bCs/>
          <w:color w:val="auto"/>
          <w:kern w:val="0"/>
          <w:sz w:val="21"/>
          <w:szCs w:val="21"/>
          <w:highlight w:val="none"/>
        </w:rPr>
        <w:t xml:space="preserve">一、工程概述 </w:t>
      </w:r>
    </w:p>
    <w:p w14:paraId="1685027B">
      <w:pPr>
        <w:pStyle w:val="44"/>
        <w:widowControl/>
        <w:shd w:val="clear" w:color="auto" w:fill="auto"/>
        <w:spacing w:line="360" w:lineRule="auto"/>
        <w:jc w:val="left"/>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（一）工程范围:</w:t>
      </w:r>
    </w:p>
    <w:p w14:paraId="1770A20B">
      <w:pPr>
        <w:pStyle w:val="44"/>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图设计范围：包含但不限于建设范围内施工图设计，地基处理、场平设计、产业园施工图设计（含建筑、结构、给排水系统、水消防工程、暖通工程、电气工程、弱电工程专项设计）、景观设计及施工图预算编制，现场设代、配合实验、验收等；</w:t>
      </w:r>
    </w:p>
    <w:p w14:paraId="75D88141">
      <w:pPr>
        <w:pStyle w:val="44"/>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建安工程及室外配套工程范围：包含不限于基础工程（含桩基础、独立基础等）、土建工程、装修工程、安装工程（钢结构安装、给排水系统、水消防工程、暖通工程、电气工程、弱电工程）、室外配套工程（道路工程、电力工程、弱电工程、照明工程、控制工程、消防报警工程、给水外线工程、雨污水外线工程、消防外线工程)、专项工程（地基</w:t>
      </w:r>
      <w:r>
        <w:rPr>
          <w:rFonts w:hint="eastAsia" w:ascii="宋体" w:hAnsi="宋体" w:cs="宋体"/>
          <w:color w:val="auto"/>
          <w:kern w:val="0"/>
          <w:sz w:val="21"/>
          <w:szCs w:val="21"/>
          <w:highlight w:val="none"/>
        </w:rPr>
        <w:t>处理、降排水、基坑支护等）建筑施工图所示的全部工程内容。</w:t>
      </w:r>
    </w:p>
    <w:p w14:paraId="00667784">
      <w:pPr>
        <w:pStyle w:val="44"/>
        <w:widowControl/>
        <w:spacing w:line="360" w:lineRule="auto"/>
        <w:jc w:val="left"/>
        <w:rPr>
          <w:color w:val="auto"/>
          <w:sz w:val="21"/>
          <w:szCs w:val="21"/>
          <w:highlight w:val="none"/>
        </w:rPr>
      </w:pPr>
      <w:r>
        <w:rPr>
          <w:rFonts w:hint="eastAsia" w:ascii="宋体" w:hAnsi="宋体" w:cs="宋体"/>
          <w:b/>
          <w:bCs/>
          <w:color w:val="auto"/>
          <w:kern w:val="0"/>
          <w:sz w:val="21"/>
          <w:szCs w:val="21"/>
          <w:highlight w:val="none"/>
        </w:rPr>
        <w:t>（二）工期要求、质量要求：</w:t>
      </w:r>
    </w:p>
    <w:p w14:paraId="37877DF0">
      <w:pPr>
        <w:pStyle w:val="44"/>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1.项目工期：</w:t>
      </w:r>
      <w:r>
        <w:rPr>
          <w:rFonts w:hint="eastAsia" w:ascii="宋体" w:hAnsi="宋体" w:cs="宋体"/>
          <w:color w:val="auto"/>
          <w:kern w:val="0"/>
          <w:sz w:val="21"/>
          <w:szCs w:val="21"/>
          <w:highlight w:val="none"/>
        </w:rPr>
        <w:t>2025年x月x日开工至202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rPr>
        <w:t>年x月x日竣工，共计730日历天；设计周期为自合同签订之日起60日历天内提交全部施工图纸。（设计服务期、施工期具体以双方签订的合同为准）</w:t>
      </w:r>
    </w:p>
    <w:p w14:paraId="3590B05F">
      <w:pPr>
        <w:pStyle w:val="47"/>
        <w:adjustRightInd w:val="0"/>
        <w:snapToGrid w:val="0"/>
        <w:spacing w:line="360" w:lineRule="auto"/>
        <w:ind w:firstLine="420" w:firstLineChars="200"/>
        <w:rPr>
          <w:rFonts w:ascii="Calibri" w:hAnsi="Calibri"/>
          <w:color w:val="auto"/>
          <w:sz w:val="21"/>
          <w:szCs w:val="21"/>
          <w:highlight w:val="none"/>
        </w:rPr>
      </w:pPr>
      <w:r>
        <w:rPr>
          <w:rFonts w:hint="eastAsia" w:ascii="宋体" w:hAnsi="宋体" w:cs="宋体"/>
          <w:color w:val="auto"/>
          <w:kern w:val="0"/>
          <w:sz w:val="21"/>
          <w:szCs w:val="21"/>
          <w:highlight w:val="none"/>
        </w:rPr>
        <w:t>2.</w:t>
      </w:r>
      <w:r>
        <w:rPr>
          <w:rFonts w:hint="eastAsia" w:ascii="Arial" w:hAnsi="Arial" w:cs="Arial"/>
          <w:color w:val="auto"/>
          <w:sz w:val="21"/>
          <w:szCs w:val="21"/>
          <w:highlight w:val="none"/>
          <w:lang w:val="zh-CN"/>
        </w:rPr>
        <w:t>设计质量标准：符合国家、行业设计规范和标准。施工质量标准：符合现行国家有关工程施工质量验收规范。</w:t>
      </w:r>
    </w:p>
    <w:p w14:paraId="7A005F02">
      <w:pPr>
        <w:pStyle w:val="44"/>
        <w:widowControl/>
        <w:spacing w:line="360" w:lineRule="auto"/>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二、国家、行业技术标准及管理规定</w:t>
      </w:r>
    </w:p>
    <w:p w14:paraId="71F453AD">
      <w:pPr>
        <w:pStyle w:val="44"/>
        <w:widowControl/>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下列标准中有与现行标准不符的，以现行标准为准。</w:t>
      </w:r>
    </w:p>
    <w:p w14:paraId="584C577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《建筑制图标准》GB/T50104-2010</w:t>
      </w:r>
    </w:p>
    <w:p w14:paraId="79DB718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《工程建设标准强制性条文》(房屋建筑部分)2013年版</w:t>
      </w:r>
    </w:p>
    <w:p w14:paraId="30547A4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《民用建筑设计统一标准》GB50352-2019</w:t>
      </w:r>
    </w:p>
    <w:p w14:paraId="108E756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《民用建筑热工设计规范》GB50176-2016</w:t>
      </w:r>
    </w:p>
    <w:p w14:paraId="24318DC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《民用建筑节能设计标准实施细则(采暖居住建筑部分)》DB21/1007-1998</w:t>
      </w:r>
    </w:p>
    <w:p w14:paraId="6639FB3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《居住建筑节能设计标准》DB21/T1476-2011(辽宁省)</w:t>
      </w:r>
    </w:p>
    <w:p w14:paraId="4C4A7A84">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《既有居住建筑节能节能改造技术规程》JGJ/T129-2012</w:t>
      </w:r>
    </w:p>
    <w:p w14:paraId="32EF444F">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《建筑外门窗气密、水密、抗风压性能分级及检测方法》GB/T7106-2019</w:t>
      </w:r>
    </w:p>
    <w:p w14:paraId="4EC6EB3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《既有居住建筑节能改造技术规程》DB21/T1823-2010</w:t>
      </w:r>
    </w:p>
    <w:p w14:paraId="50CF0371">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《建筑外墙防水工程技术规程》JGJ/T235-2011</w:t>
      </w:r>
    </w:p>
    <w:p w14:paraId="58F2236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《屋面工程技术规范》GB50345-2012</w:t>
      </w:r>
    </w:p>
    <w:p w14:paraId="3CEF2416">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《坡屋面工程技术规范》GB50693-2011</w:t>
      </w:r>
    </w:p>
    <w:p w14:paraId="6447C33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《外墙外保温工程技术规程》JGJ144-2019</w:t>
      </w:r>
    </w:p>
    <w:p w14:paraId="62276EF6">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《墙体材料应用统一技术规范》GB50574-2010</w:t>
      </w:r>
    </w:p>
    <w:p w14:paraId="7090C28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《无机轻集料砂浆保温系统技术规程》JGJ253-2011</w:t>
      </w:r>
    </w:p>
    <w:p w14:paraId="2580DED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《抹灰砂浆技术规程》JGJ/T220-2010</w:t>
      </w:r>
    </w:p>
    <w:p w14:paraId="19405A83">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《外墙内保温工程技术规程》JGJ/T261-2011</w:t>
      </w:r>
    </w:p>
    <w:p w14:paraId="3EA8352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《住宅信报箱工程技术规范》GB50631-2010</w:t>
      </w:r>
    </w:p>
    <w:p w14:paraId="4DFD31E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《预拌砂浆应用技术规程》JGJ/T223-2010</w:t>
      </w:r>
    </w:p>
    <w:p w14:paraId="16CC8DE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《泡沫混凝土外墙外保温工程技术规程》DB21/T2117-2013</w:t>
      </w:r>
    </w:p>
    <w:p w14:paraId="7DB66B4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《硬泡聚氨酯保温防水工程技术规范》GB50404-2017</w:t>
      </w:r>
    </w:p>
    <w:p w14:paraId="1BC6806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《建筑玻璃应用技术规程》JGJ113-2009</w:t>
      </w:r>
    </w:p>
    <w:p w14:paraId="4F5AB61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《建筑设计防火规范》GB50016-2014</w:t>
      </w:r>
    </w:p>
    <w:p w14:paraId="67F8D9C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《辽宁省民用建筑外墙保温系统防火暂行规定》(辽公通[2014]234号)</w:t>
      </w:r>
    </w:p>
    <w:p w14:paraId="5D28B09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《外墙外保温工程技术规程》 JGJ144-2019</w:t>
      </w:r>
    </w:p>
    <w:p w14:paraId="267FD52F">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《既有建筑维护与改造通用规范[附条文说明]》GB5502-2021</w:t>
      </w:r>
    </w:p>
    <w:p w14:paraId="022B238F">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《城市居住区规划设计标准》GB 50180-2018</w:t>
      </w:r>
    </w:p>
    <w:p w14:paraId="1BBAB83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《城乡建设用地竖向规划规范》CJJ83-2016</w:t>
      </w:r>
    </w:p>
    <w:p w14:paraId="1964A4F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《建筑与小区雨水控制及利用工程技术规范》GB 50400-2016</w:t>
      </w:r>
    </w:p>
    <w:p w14:paraId="4F4A234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《城市公共设施规划规范》GB 50442-2008</w:t>
      </w:r>
    </w:p>
    <w:p w14:paraId="3A1955A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《城市环境卫生设施规划标准》GB/T 50337-2018</w:t>
      </w:r>
    </w:p>
    <w:p w14:paraId="2956369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《总图制图标准》GB/T 50103-2010</w:t>
      </w:r>
    </w:p>
    <w:p w14:paraId="2607A80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《绿色建筑评价标准》GB/T 50378-2019</w:t>
      </w:r>
    </w:p>
    <w:p w14:paraId="21D4FAF6">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《种植屋面工程技术规程》JGJ 155-2013</w:t>
      </w:r>
    </w:p>
    <w:p w14:paraId="24D4E790">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《无障碍设计规范》GB 50763-2012</w:t>
      </w:r>
    </w:p>
    <w:p w14:paraId="026E4F0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《海绵城市建设技术指南 --低影响开发雨水系统构建》 (试行)</w:t>
      </w:r>
    </w:p>
    <w:p w14:paraId="3C06689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《建筑设计防火规范》 GB 50016-2014</w:t>
      </w:r>
    </w:p>
    <w:p w14:paraId="35F421F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《居住区环境景观设计导则 》</w:t>
      </w:r>
    </w:p>
    <w:p w14:paraId="478D882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《建筑玻璃应用技术规程》JGJ 113-2015</w:t>
      </w:r>
    </w:p>
    <w:p w14:paraId="173E233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《木结构设计标准》GB 5005-2017</w:t>
      </w:r>
    </w:p>
    <w:p w14:paraId="1B68EE0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《建筑地面设计规范》GB 50037-2013</w:t>
      </w:r>
    </w:p>
    <w:p w14:paraId="0378343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《建筑与市政工程无障碍通用规范》GB 55019-2021</w:t>
      </w:r>
    </w:p>
    <w:p w14:paraId="19F44A01">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《城市居住区规划设计规范》(GB50180-2016)</w:t>
      </w:r>
    </w:p>
    <w:p w14:paraId="10D06F49">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《无障碍设计规范》GB50763-2012</w:t>
      </w:r>
    </w:p>
    <w:p w14:paraId="5A436384">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《园林绿化工程施工及验收规范》CJJ82-2012</w:t>
      </w:r>
    </w:p>
    <w:p w14:paraId="26040C5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《环境景观室外工程细部构造》05J012-1</w:t>
      </w:r>
    </w:p>
    <w:p w14:paraId="20FAFAB9">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《砌体结构设计规范》GB50003-2011</w:t>
      </w:r>
    </w:p>
    <w:p w14:paraId="048539C0">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《城市绿化工程施工及验收规范》CJJ/T82</w:t>
      </w:r>
    </w:p>
    <w:p w14:paraId="53DC28C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《混凝土结构设计规范》GB50010-2010</w:t>
      </w:r>
    </w:p>
    <w:p w14:paraId="2024D7F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《城市道路绿化与规划设计规范》CJJ75-97</w:t>
      </w:r>
    </w:p>
    <w:p w14:paraId="3F74AB34">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《城市绿化和园林绿地用植物材料-木本苗》CJ/T34</w:t>
      </w:r>
    </w:p>
    <w:p w14:paraId="6A53D86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《给水排水管道工程施工及验收规范》GB50268-2008</w:t>
      </w:r>
    </w:p>
    <w:p w14:paraId="2D9B75B9">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《建筑给水排水设计规范》GB 50015-2009</w:t>
      </w:r>
    </w:p>
    <w:p w14:paraId="3966F80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《风景园林图例图示标准》CJJ/T67-2015</w:t>
      </w:r>
    </w:p>
    <w:p w14:paraId="646D307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《低压配电装置及线路设计规范》GB 50054-2011</w:t>
      </w:r>
    </w:p>
    <w:p w14:paraId="5EC01FC6">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《城市道路工程设计规范》CJJ37-2012(2016年版)</w:t>
      </w:r>
    </w:p>
    <w:p w14:paraId="32B1DDC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《园林绿化工程施工及验收规范》CJJ 82-2012 </w:t>
      </w:r>
    </w:p>
    <w:p w14:paraId="49C39BA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《公园设计规范》GB51192-2016</w:t>
      </w:r>
    </w:p>
    <w:p w14:paraId="225DB684">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《环境景观室外工程细部构造》15J012-1</w:t>
      </w:r>
    </w:p>
    <w:p w14:paraId="5EB28979">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《城市绿地设计规范》GB 50420-2007 </w:t>
      </w:r>
    </w:p>
    <w:p w14:paraId="2613FE8F">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《城市绿化工程施工及验收规范》CJJ82-99</w:t>
      </w:r>
    </w:p>
    <w:p w14:paraId="5D60584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《种植屋面工程技术规程》JGJ 155-2007</w:t>
      </w:r>
    </w:p>
    <w:p w14:paraId="59A81BE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《民用建筑电气设计标准》GB51348-2019</w:t>
      </w:r>
    </w:p>
    <w:p w14:paraId="4691934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《建筑设计防火规范》 GB50016-2014(2018年版)</w:t>
      </w:r>
    </w:p>
    <w:p w14:paraId="214669A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《建筑物防雷设计规范》GB50057-2010</w:t>
      </w:r>
    </w:p>
    <w:p w14:paraId="16CFA1EB">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《供配电系统设计规范》GB50052-2009</w:t>
      </w:r>
    </w:p>
    <w:p w14:paraId="4A2FD10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《低压配电设计规范》GB50054-2011</w:t>
      </w:r>
    </w:p>
    <w:p w14:paraId="1D3AD333">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《建筑照明设计标准》GB50034-2013</w:t>
      </w:r>
    </w:p>
    <w:p w14:paraId="0EFE4D1C">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《火灾自动报警系统设计规范》GB50116-2013</w:t>
      </w:r>
    </w:p>
    <w:p w14:paraId="7FC44186">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《电力工程电缆设计标准》 GB50217-2018</w:t>
      </w:r>
    </w:p>
    <w:p w14:paraId="7B04104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《建筑物电子信息系统防雷技术规范》GB50343-2012</w:t>
      </w:r>
    </w:p>
    <w:p w14:paraId="223C483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《有线电视网络工程设计标准》 GB50200-2018</w:t>
      </w:r>
    </w:p>
    <w:p w14:paraId="77F29205">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《综合布线系统工程设计规范》 GB50311-2016</w:t>
      </w:r>
    </w:p>
    <w:p w14:paraId="6666059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《建筑机电工程抗震设计规范》GB50981-2014</w:t>
      </w:r>
    </w:p>
    <w:p w14:paraId="25D28B49">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《消防应急照明和疏散指示系统技术标准》GB51309-2018</w:t>
      </w:r>
    </w:p>
    <w:p w14:paraId="09816AC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《建筑装饰装修工程质量验收规范》GB50210-2001</w:t>
      </w:r>
    </w:p>
    <w:p w14:paraId="3A6AE4D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《室外排水设计标准》(GB50014-2021)</w:t>
      </w:r>
    </w:p>
    <w:p w14:paraId="46B06E27">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《给水排水管道工程施工及验收规范》(GB50268-2008)</w:t>
      </w:r>
    </w:p>
    <w:p w14:paraId="63404AF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《建筑机电工程抗震设计规范》(GB50981-2014)</w:t>
      </w:r>
    </w:p>
    <w:p w14:paraId="7484BC4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《室外给水排水和燃气热力工程抗震设计规范》(GB50032-2003)</w:t>
      </w:r>
    </w:p>
    <w:p w14:paraId="6A16C50D">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《室外排水设计规范》GB50014-2006(2016版)</w:t>
      </w:r>
    </w:p>
    <w:p w14:paraId="1B03CFC0">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《城市工程管线综合规划规范》(GB20289-2016)</w:t>
      </w:r>
    </w:p>
    <w:p w14:paraId="5597C6CE">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《危险房屋鉴定标准》 JGJ 125-2016</w:t>
      </w:r>
    </w:p>
    <w:p w14:paraId="6CE23F0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《砌体结构设计规范》 GB 50003-2011</w:t>
      </w:r>
    </w:p>
    <w:p w14:paraId="2C721E60">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《砌体结构加固设计规范》 GB 50702-2011</w:t>
      </w:r>
    </w:p>
    <w:p w14:paraId="42F610C2">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《混凝土结构加固设计规范》 GB 50367-2013</w:t>
      </w:r>
    </w:p>
    <w:p w14:paraId="4AF7E9BA">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《建筑结构加固工程施工质量验收规范》 GB 50550-2010</w:t>
      </w:r>
    </w:p>
    <w:p w14:paraId="08FE44A8">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《工程结构加固材料安全性鉴定技术规范》 GB 50728-2011</w:t>
      </w:r>
    </w:p>
    <w:p w14:paraId="625ACC64">
      <w:pPr>
        <w:pStyle w:val="2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《砌体结构工程施工质量验收规范》 GB 50203-2011</w:t>
      </w:r>
    </w:p>
    <w:p w14:paraId="60546F6E">
      <w:pPr>
        <w:pStyle w:val="44"/>
        <w:widowControl/>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三、管理团队人员要求</w:t>
      </w:r>
    </w:p>
    <w:p w14:paraId="1D207DCF">
      <w:pPr>
        <w:pStyle w:val="22"/>
        <w:widowControl/>
        <w:jc w:val="left"/>
        <w:rPr>
          <w:color w:val="auto"/>
          <w:sz w:val="21"/>
          <w:szCs w:val="21"/>
          <w:highlight w:val="none"/>
        </w:rPr>
      </w:pPr>
      <w:r>
        <w:rPr>
          <w:rFonts w:hint="eastAsia" w:ascii="宋体" w:hAnsi="宋体" w:cs="宋体"/>
          <w:b/>
          <w:bCs/>
          <w:color w:val="auto"/>
          <w:kern w:val="0"/>
          <w:sz w:val="21"/>
          <w:szCs w:val="21"/>
          <w:highlight w:val="none"/>
        </w:rPr>
        <w:t>1、协调小组</w:t>
      </w:r>
    </w:p>
    <w:tbl>
      <w:tblPr>
        <w:tblStyle w:val="2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032"/>
      </w:tblGrid>
      <w:tr w14:paraId="52E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90" w:type="dxa"/>
            <w:tcBorders>
              <w:top w:val="single" w:color="auto" w:sz="4" w:space="0"/>
              <w:left w:val="single" w:color="auto" w:sz="4" w:space="0"/>
              <w:bottom w:val="single" w:color="auto" w:sz="4" w:space="0"/>
              <w:right w:val="single" w:color="auto" w:sz="4" w:space="0"/>
            </w:tcBorders>
            <w:noWrap w:val="0"/>
            <w:vAlign w:val="center"/>
          </w:tcPr>
          <w:p w14:paraId="264E2C9F">
            <w:pPr>
              <w:pStyle w:val="22"/>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 称</w:t>
            </w:r>
          </w:p>
        </w:tc>
        <w:tc>
          <w:tcPr>
            <w:tcW w:w="7032" w:type="dxa"/>
            <w:tcBorders>
              <w:top w:val="single" w:color="auto" w:sz="4" w:space="0"/>
              <w:left w:val="single" w:color="auto" w:sz="4" w:space="0"/>
              <w:bottom w:val="single" w:color="auto" w:sz="4" w:space="0"/>
              <w:right w:val="single" w:color="auto" w:sz="4" w:space="0"/>
            </w:tcBorders>
            <w:noWrap w:val="0"/>
            <w:vAlign w:val="center"/>
          </w:tcPr>
          <w:p w14:paraId="1E5DBE96">
            <w:pPr>
              <w:pStyle w:val="22"/>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有关要求</w:t>
            </w:r>
          </w:p>
        </w:tc>
      </w:tr>
      <w:tr w14:paraId="615C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noWrap w:val="0"/>
            <w:vAlign w:val="center"/>
          </w:tcPr>
          <w:p w14:paraId="27004B9C">
            <w:pPr>
              <w:pStyle w:val="22"/>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项目经理</w:t>
            </w:r>
          </w:p>
        </w:tc>
        <w:tc>
          <w:tcPr>
            <w:tcW w:w="7032" w:type="dxa"/>
            <w:tcBorders>
              <w:top w:val="single" w:color="auto" w:sz="4" w:space="0"/>
              <w:left w:val="single" w:color="auto" w:sz="4" w:space="0"/>
              <w:bottom w:val="single" w:color="auto" w:sz="4" w:space="0"/>
              <w:right w:val="single" w:color="auto" w:sz="4" w:space="0"/>
            </w:tcBorders>
            <w:noWrap w:val="0"/>
            <w:vAlign w:val="center"/>
          </w:tcPr>
          <w:p w14:paraId="18CA35BF">
            <w:pPr>
              <w:pStyle w:val="22"/>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具备有效的建筑工程专业一级注册建造师证书，具备有效的安全生产考核合格证书，无负责的在建工程。项目经理须为联合体牵头单位的在职人员。须提供近期连续6个月的社保证明。</w:t>
            </w:r>
          </w:p>
        </w:tc>
      </w:tr>
      <w:tr w14:paraId="6E88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noWrap w:val="0"/>
            <w:vAlign w:val="center"/>
          </w:tcPr>
          <w:p w14:paraId="105A5A43">
            <w:pPr>
              <w:pStyle w:val="22"/>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设计负责人</w:t>
            </w:r>
          </w:p>
        </w:tc>
        <w:tc>
          <w:tcPr>
            <w:tcW w:w="7032" w:type="dxa"/>
            <w:tcBorders>
              <w:top w:val="single" w:color="auto" w:sz="4" w:space="0"/>
              <w:left w:val="single" w:color="auto" w:sz="4" w:space="0"/>
              <w:bottom w:val="single" w:color="auto" w:sz="4" w:space="0"/>
              <w:right w:val="single" w:color="auto" w:sz="4" w:space="0"/>
            </w:tcBorders>
            <w:noWrap w:val="0"/>
            <w:vAlign w:val="center"/>
          </w:tcPr>
          <w:p w14:paraId="455E1739">
            <w:pPr>
              <w:pStyle w:val="10"/>
              <w:tabs>
                <w:tab w:val="left" w:pos="720"/>
              </w:tabs>
              <w:adjustRightInd w:val="0"/>
              <w:spacing w:after="0"/>
              <w:ind w:left="0" w:leftChars="0" w:firstLine="0"/>
              <w:rPr>
                <w:rFonts w:hint="eastAsia" w:ascii="宋体" w:hAnsi="宋体" w:cs="宋体"/>
                <w:color w:val="auto"/>
                <w:szCs w:val="21"/>
                <w:highlight w:val="none"/>
              </w:rPr>
            </w:pPr>
            <w:r>
              <w:rPr>
                <w:rFonts w:hint="eastAsia" w:ascii="宋体" w:hAnsi="宋体" w:cs="宋体"/>
                <w:color w:val="auto"/>
                <w:kern w:val="0"/>
                <w:szCs w:val="21"/>
                <w:highlight w:val="none"/>
              </w:rPr>
              <w:t>具有一级注册建筑师执业资格</w:t>
            </w:r>
            <w:r>
              <w:rPr>
                <w:rFonts w:hint="eastAsia" w:ascii="宋体" w:hAnsi="宋体" w:cs="宋体"/>
                <w:color w:val="auto"/>
                <w:sz w:val="24"/>
                <w:szCs w:val="24"/>
                <w:highlight w:val="none"/>
              </w:rPr>
              <w:t>，</w:t>
            </w:r>
            <w:r>
              <w:rPr>
                <w:rFonts w:hint="eastAsia" w:ascii="宋体" w:hAnsi="宋体" w:cs="宋体"/>
                <w:color w:val="auto"/>
                <w:szCs w:val="21"/>
                <w:highlight w:val="none"/>
              </w:rPr>
              <w:t>且具</w:t>
            </w:r>
            <w:r>
              <w:rPr>
                <w:rFonts w:hint="eastAsia" w:ascii="宋体" w:hAnsi="宋体" w:cs="宋体"/>
                <w:color w:val="auto"/>
                <w:szCs w:val="21"/>
                <w:highlight w:val="none"/>
              </w:rPr>
              <w:t>有高级</w:t>
            </w:r>
            <w:r>
              <w:rPr>
                <w:rFonts w:hint="eastAsia" w:ascii="宋体" w:hAnsi="宋体" w:cs="宋体"/>
                <w:color w:val="auto"/>
                <w:szCs w:val="21"/>
                <w:highlight w:val="none"/>
              </w:rPr>
              <w:t>及以上职称。</w:t>
            </w:r>
          </w:p>
          <w:p w14:paraId="236FB16D">
            <w:pPr>
              <w:pStyle w:val="22"/>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须提供近期连续6个月的社保证明。</w:t>
            </w:r>
          </w:p>
        </w:tc>
      </w:tr>
      <w:tr w14:paraId="359C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noWrap w:val="0"/>
            <w:vAlign w:val="center"/>
          </w:tcPr>
          <w:p w14:paraId="6AF2EBE7">
            <w:pPr>
              <w:pStyle w:val="22"/>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施工负责人</w:t>
            </w:r>
          </w:p>
        </w:tc>
        <w:tc>
          <w:tcPr>
            <w:tcW w:w="7032" w:type="dxa"/>
            <w:tcBorders>
              <w:top w:val="single" w:color="auto" w:sz="4" w:space="0"/>
              <w:left w:val="single" w:color="auto" w:sz="4" w:space="0"/>
              <w:bottom w:val="single" w:color="auto" w:sz="4" w:space="0"/>
              <w:right w:val="single" w:color="auto" w:sz="4" w:space="0"/>
            </w:tcBorders>
            <w:noWrap w:val="0"/>
            <w:vAlign w:val="center"/>
          </w:tcPr>
          <w:p w14:paraId="7C39B522">
            <w:pPr>
              <w:pStyle w:val="22"/>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具备有效的建筑工程专业一级注册建造师证书，具备有效的安全生产考核合格证书，无负责的在建工程。须提供近期连续6个月的社保证明。</w:t>
            </w:r>
          </w:p>
        </w:tc>
      </w:tr>
    </w:tbl>
    <w:p w14:paraId="1DF2C74D">
      <w:pPr>
        <w:pStyle w:val="22"/>
        <w:widowControl/>
        <w:jc w:val="left"/>
        <w:rPr>
          <w:color w:val="auto"/>
          <w:highlight w:val="none"/>
        </w:rPr>
      </w:pPr>
    </w:p>
    <w:p w14:paraId="06B5FA9D">
      <w:pPr>
        <w:pStyle w:val="47"/>
        <w:widowControl/>
        <w:numPr>
          <w:ilvl w:val="0"/>
          <w:numId w:val="5"/>
        </w:numPr>
        <w:jc w:val="left"/>
        <w:rPr>
          <w:rFonts w:ascii="宋体" w:hAnsi="宋体" w:cs="宋体"/>
          <w:b/>
          <w:bCs/>
          <w:color w:val="auto"/>
          <w:kern w:val="0"/>
          <w:sz w:val="24"/>
          <w:szCs w:val="24"/>
          <w:highlight w:val="none"/>
        </w:rPr>
      </w:pPr>
      <w:r>
        <w:rPr>
          <w:rFonts w:hint="eastAsia" w:ascii="宋体" w:hAnsi="宋体" w:cs="宋体"/>
          <w:b/>
          <w:bCs/>
          <w:color w:val="auto"/>
          <w:kern w:val="0"/>
          <w:sz w:val="21"/>
          <w:szCs w:val="21"/>
          <w:highlight w:val="none"/>
        </w:rPr>
        <w:t>施工团队</w:t>
      </w:r>
    </w:p>
    <w:tbl>
      <w:tblPr>
        <w:tblStyle w:val="2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067"/>
        <w:gridCol w:w="5957"/>
      </w:tblGrid>
      <w:tr w14:paraId="49B4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4E68AC9B">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技术负责人</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DF68835">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1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4DA547C3">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具有高级及以上职称。</w:t>
            </w:r>
          </w:p>
        </w:tc>
      </w:tr>
      <w:tr w14:paraId="1E35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774C537D">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施工员</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21D95A0">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2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0ED11E7C">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持证上岗。</w:t>
            </w:r>
          </w:p>
        </w:tc>
      </w:tr>
      <w:tr w14:paraId="182D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5C01F31A">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安全员</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83E7070">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2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7337ACCA">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持证上岗。</w:t>
            </w:r>
          </w:p>
        </w:tc>
      </w:tr>
      <w:tr w14:paraId="4E7B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5789491D">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劳务员或材料员</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7E52901">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1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559A298A">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持证上岗。</w:t>
            </w:r>
          </w:p>
        </w:tc>
      </w:tr>
      <w:tr w14:paraId="6919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6C616E6F">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机械员</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0F0B416">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1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75B614B7">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持证上岗。</w:t>
            </w:r>
          </w:p>
        </w:tc>
      </w:tr>
      <w:tr w14:paraId="023B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14:paraId="3668FD85">
            <w:pPr>
              <w:pStyle w:val="47"/>
              <w:widowControl/>
              <w:jc w:val="center"/>
              <w:rPr>
                <w:rFonts w:ascii="Calibri" w:hAnsi="Calibri"/>
                <w:b/>
                <w:bCs/>
                <w:color w:val="auto"/>
                <w:szCs w:val="21"/>
                <w:highlight w:val="none"/>
              </w:rPr>
            </w:pPr>
            <w:r>
              <w:rPr>
                <w:rFonts w:hint="eastAsia" w:ascii="宋体" w:hAnsi="宋体" w:cs="宋体"/>
                <w:b/>
                <w:bCs/>
                <w:color w:val="auto"/>
                <w:kern w:val="0"/>
                <w:szCs w:val="21"/>
                <w:highlight w:val="none"/>
              </w:rPr>
              <w:t>质量员</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052AC69">
            <w:pPr>
              <w:pStyle w:val="47"/>
              <w:widowControl/>
              <w:jc w:val="center"/>
              <w:rPr>
                <w:rFonts w:ascii="Calibri" w:hAnsi="Calibri"/>
                <w:color w:val="auto"/>
                <w:szCs w:val="21"/>
                <w:highlight w:val="none"/>
              </w:rPr>
            </w:pPr>
            <w:r>
              <w:rPr>
                <w:rFonts w:hint="eastAsia" w:ascii="宋体" w:hAnsi="宋体" w:cs="宋体"/>
                <w:color w:val="auto"/>
                <w:kern w:val="0"/>
                <w:szCs w:val="21"/>
                <w:highlight w:val="none"/>
              </w:rPr>
              <w:t>1 人</w:t>
            </w:r>
          </w:p>
        </w:tc>
        <w:tc>
          <w:tcPr>
            <w:tcW w:w="5957" w:type="dxa"/>
            <w:tcBorders>
              <w:top w:val="single" w:color="auto" w:sz="4" w:space="0"/>
              <w:left w:val="single" w:color="auto" w:sz="4" w:space="0"/>
              <w:bottom w:val="single" w:color="auto" w:sz="4" w:space="0"/>
              <w:right w:val="single" w:color="auto" w:sz="4" w:space="0"/>
            </w:tcBorders>
            <w:noWrap w:val="0"/>
            <w:vAlign w:val="center"/>
          </w:tcPr>
          <w:p w14:paraId="45B8862A">
            <w:pPr>
              <w:pStyle w:val="47"/>
              <w:widowControl/>
              <w:jc w:val="left"/>
              <w:rPr>
                <w:rFonts w:ascii="Calibri" w:hAnsi="Calibri"/>
                <w:color w:val="auto"/>
                <w:szCs w:val="21"/>
                <w:highlight w:val="none"/>
              </w:rPr>
            </w:pPr>
            <w:r>
              <w:rPr>
                <w:rFonts w:hint="eastAsia" w:ascii="宋体" w:hAnsi="宋体" w:cs="宋体"/>
                <w:color w:val="auto"/>
                <w:kern w:val="0"/>
                <w:szCs w:val="21"/>
                <w:highlight w:val="none"/>
              </w:rPr>
              <w:t>持证上岗。</w:t>
            </w:r>
          </w:p>
        </w:tc>
      </w:tr>
      <w:tr w14:paraId="2537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538B202B">
            <w:pPr>
              <w:pStyle w:val="47"/>
              <w:widowControl/>
              <w:jc w:val="left"/>
              <w:rPr>
                <w:rFonts w:ascii="Calibri" w:hAnsi="Calibri"/>
                <w:color w:val="auto"/>
                <w:highlight w:val="none"/>
              </w:rPr>
            </w:pPr>
            <w:r>
              <w:rPr>
                <w:rFonts w:hint="eastAsia" w:ascii="Calibri" w:hAnsi="Calibri"/>
                <w:color w:val="auto"/>
                <w:highlight w:val="none"/>
              </w:rPr>
              <w:t>其他要求：</w:t>
            </w:r>
          </w:p>
          <w:p w14:paraId="46E7DB92">
            <w:pPr>
              <w:pStyle w:val="47"/>
              <w:widowControl/>
              <w:jc w:val="left"/>
              <w:rPr>
                <w:rFonts w:ascii="Calibri" w:hAnsi="Calibri"/>
                <w:color w:val="auto"/>
                <w:highlight w:val="none"/>
              </w:rPr>
            </w:pPr>
            <w:r>
              <w:rPr>
                <w:rFonts w:hint="eastAsia" w:ascii="Calibri" w:hAnsi="Calibri"/>
                <w:color w:val="auto"/>
                <w:highlight w:val="none"/>
              </w:rPr>
              <w:t>1、施工团队人员应为投标人自有人员，团队人员不得兼任，并能真正全程参与工程建设，须提供近期连续6个月的社保证明。</w:t>
            </w:r>
          </w:p>
          <w:p w14:paraId="16155811">
            <w:pPr>
              <w:pStyle w:val="35"/>
              <w:jc w:val="both"/>
              <w:rPr>
                <w:color w:val="auto"/>
                <w:highlight w:val="non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rPr>
              <w:t>施工团队人员为最低配备标准，投标人未按要求提供按废标处理</w:t>
            </w:r>
            <w:r>
              <w:rPr>
                <w:rFonts w:hint="eastAsia" w:ascii="宋体" w:hAnsi="宋体" w:cs="宋体"/>
                <w:color w:val="auto"/>
                <w:sz w:val="21"/>
                <w:szCs w:val="21"/>
                <w:highlight w:val="none"/>
              </w:rPr>
              <w:t>。</w:t>
            </w:r>
          </w:p>
        </w:tc>
      </w:tr>
    </w:tbl>
    <w:p w14:paraId="738A48D6">
      <w:pPr>
        <w:pStyle w:val="47"/>
        <w:widowControl/>
        <w:jc w:val="left"/>
        <w:rPr>
          <w:rFonts w:ascii="宋体" w:hAnsi="宋体" w:cs="宋体"/>
          <w:b/>
          <w:bCs/>
          <w:color w:val="auto"/>
          <w:kern w:val="0"/>
          <w:sz w:val="24"/>
          <w:szCs w:val="24"/>
          <w:highlight w:val="none"/>
        </w:rPr>
      </w:pPr>
    </w:p>
    <w:p w14:paraId="2B296425">
      <w:pPr>
        <w:pStyle w:val="47"/>
        <w:widowControl/>
        <w:jc w:val="left"/>
        <w:rPr>
          <w:rFonts w:ascii="Calibri" w:hAnsi="Calibri"/>
          <w:color w:val="auto"/>
          <w:sz w:val="21"/>
          <w:szCs w:val="21"/>
          <w:highlight w:val="none"/>
        </w:rPr>
      </w:pPr>
      <w:r>
        <w:rPr>
          <w:rFonts w:hint="eastAsia" w:ascii="宋体" w:hAnsi="宋体" w:cs="宋体"/>
          <w:b/>
          <w:bCs/>
          <w:color w:val="auto"/>
          <w:kern w:val="0"/>
          <w:sz w:val="21"/>
          <w:szCs w:val="21"/>
          <w:highlight w:val="none"/>
        </w:rPr>
        <w:t>3</w:t>
      </w:r>
      <w:r>
        <w:rPr>
          <w:rFonts w:hint="eastAsia" w:ascii="宋体" w:hAnsi="宋体" w:cs="宋体"/>
          <w:b/>
          <w:bCs/>
          <w:color w:val="auto"/>
          <w:kern w:val="0"/>
          <w:sz w:val="24"/>
          <w:szCs w:val="24"/>
          <w:highlight w:val="none"/>
        </w:rPr>
        <w:t>、</w:t>
      </w:r>
      <w:r>
        <w:rPr>
          <w:rFonts w:hint="eastAsia" w:ascii="宋体" w:hAnsi="宋体" w:cs="宋体"/>
          <w:b/>
          <w:bCs/>
          <w:color w:val="auto"/>
          <w:kern w:val="0"/>
          <w:sz w:val="21"/>
          <w:szCs w:val="21"/>
          <w:highlight w:val="none"/>
        </w:rPr>
        <w:t>设计团队</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6340"/>
      </w:tblGrid>
      <w:tr w14:paraId="74DB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639FC42B">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 称</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3D37AD55">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有关要求</w:t>
            </w:r>
          </w:p>
        </w:tc>
      </w:tr>
      <w:tr w14:paraId="5889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05C55CD2">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建筑专业负责人</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3DAE355A">
            <w:pPr>
              <w:pStyle w:val="47"/>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1 人，具有一级注册建筑师执业资格，同时具有工程师及以上职称。</w:t>
            </w:r>
          </w:p>
        </w:tc>
      </w:tr>
      <w:tr w14:paraId="535B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7383786B">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结构专业负责人</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6DFFE7D8">
            <w:pPr>
              <w:pStyle w:val="47"/>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1 人，具有一级注册结构师执业资格，同时具有工程师及以上职称。</w:t>
            </w:r>
          </w:p>
        </w:tc>
      </w:tr>
      <w:tr w14:paraId="6F0B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0C8A6611">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给排水专业负责人</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08CC2FE8">
            <w:pPr>
              <w:pStyle w:val="47"/>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1 人，具有注册公用设备工程师（给水排水）执业资格，同时具有工程师及以上职称。</w:t>
            </w:r>
          </w:p>
        </w:tc>
      </w:tr>
      <w:tr w14:paraId="44A9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290257F6">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暖通专业负责人</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2C3DB1F3">
            <w:pPr>
              <w:pStyle w:val="47"/>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1 人，具有注册公用设备工程师（暖通空调）执业资格，同时具有工程师及以上职称。</w:t>
            </w:r>
          </w:p>
        </w:tc>
      </w:tr>
      <w:tr w14:paraId="301E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left w:val="single" w:color="auto" w:sz="4" w:space="0"/>
              <w:bottom w:val="single" w:color="auto" w:sz="4" w:space="0"/>
              <w:right w:val="single" w:color="auto" w:sz="4" w:space="0"/>
            </w:tcBorders>
            <w:noWrap w:val="0"/>
            <w:vAlign w:val="center"/>
          </w:tcPr>
          <w:p w14:paraId="3E53D790">
            <w:pPr>
              <w:pStyle w:val="47"/>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电气专业负责人</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6772F43D">
            <w:pPr>
              <w:pStyle w:val="47"/>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rPr>
              <w:t>1 人，具有注册电气工程师（供配电）执业资格，同时具有工程师及以上职称。</w:t>
            </w:r>
          </w:p>
        </w:tc>
      </w:tr>
      <w:tr w14:paraId="53A8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14:paraId="1A470D46">
            <w:pPr>
              <w:pStyle w:val="47"/>
              <w:widowControl/>
              <w:jc w:val="left"/>
              <w:rPr>
                <w:rFonts w:ascii="Calibri" w:hAnsi="Calibri"/>
                <w:color w:val="auto"/>
                <w:highlight w:val="none"/>
              </w:rPr>
            </w:pPr>
            <w:r>
              <w:rPr>
                <w:rFonts w:hint="eastAsia" w:ascii="Calibri" w:hAnsi="Calibri"/>
                <w:color w:val="auto"/>
                <w:highlight w:val="none"/>
              </w:rPr>
              <w:t>其他要求：</w:t>
            </w:r>
          </w:p>
          <w:p w14:paraId="507321AD">
            <w:pPr>
              <w:pStyle w:val="47"/>
              <w:widowControl/>
              <w:jc w:val="left"/>
              <w:rPr>
                <w:rFonts w:ascii="Calibri" w:hAnsi="Calibri"/>
                <w:color w:val="auto"/>
                <w:highlight w:val="none"/>
              </w:rPr>
            </w:pPr>
            <w:r>
              <w:rPr>
                <w:rFonts w:hint="eastAsia" w:ascii="Calibri" w:hAnsi="Calibri"/>
                <w:color w:val="auto"/>
                <w:highlight w:val="none"/>
              </w:rPr>
              <w:t>1、设计负责人不得与建筑专业负责人为同一人。</w:t>
            </w:r>
          </w:p>
          <w:p w14:paraId="2B2A8867">
            <w:pPr>
              <w:pStyle w:val="47"/>
              <w:widowControl/>
              <w:jc w:val="left"/>
              <w:rPr>
                <w:rFonts w:ascii="Calibri" w:hAnsi="Calibri"/>
                <w:color w:val="auto"/>
                <w:highlight w:val="none"/>
              </w:rPr>
            </w:pPr>
            <w:r>
              <w:rPr>
                <w:rFonts w:hint="eastAsia" w:ascii="Calibri" w:hAnsi="Calibri"/>
                <w:color w:val="auto"/>
                <w:highlight w:val="none"/>
              </w:rPr>
              <w:t>2、提供上述人员近期连续6个月的社保证明。</w:t>
            </w:r>
          </w:p>
          <w:p w14:paraId="79060621">
            <w:pPr>
              <w:pStyle w:val="35"/>
              <w:jc w:val="both"/>
              <w:rPr>
                <w:color w:val="auto"/>
                <w:highlight w:val="none"/>
              </w:rPr>
            </w:pPr>
            <w:r>
              <w:rPr>
                <w:rFonts w:hint="eastAsia" w:ascii="宋体" w:hAnsi="宋体" w:cs="宋体"/>
                <w:color w:val="auto"/>
                <w:sz w:val="21"/>
                <w:szCs w:val="21"/>
                <w:highlight w:val="none"/>
              </w:rPr>
              <w:t>3、</w:t>
            </w:r>
            <w:r>
              <w:rPr>
                <w:rFonts w:hint="eastAsia" w:ascii="宋体" w:hAnsi="宋体" w:cs="宋体"/>
                <w:b/>
                <w:bCs/>
                <w:color w:val="auto"/>
                <w:sz w:val="21"/>
                <w:szCs w:val="21"/>
                <w:highlight w:val="none"/>
              </w:rPr>
              <w:t>设计团队人员为最低配备标准，投标人未按要求提供按废标处理</w:t>
            </w:r>
            <w:r>
              <w:rPr>
                <w:rFonts w:hint="eastAsia" w:ascii="宋体" w:hAnsi="宋体" w:cs="宋体"/>
                <w:color w:val="auto"/>
                <w:sz w:val="21"/>
                <w:szCs w:val="21"/>
                <w:highlight w:val="none"/>
              </w:rPr>
              <w:t>。</w:t>
            </w:r>
          </w:p>
        </w:tc>
      </w:tr>
    </w:tbl>
    <w:p w14:paraId="155D36DE">
      <w:pPr>
        <w:pStyle w:val="44"/>
        <w:widowControl/>
        <w:jc w:val="left"/>
        <w:rPr>
          <w:rFonts w:hint="eastAsia" w:ascii="宋体" w:hAnsi="宋体" w:cs="宋体"/>
          <w:b/>
          <w:bCs/>
          <w:color w:val="auto"/>
          <w:szCs w:val="21"/>
          <w:highlight w:val="none"/>
        </w:rPr>
      </w:pPr>
      <w:r>
        <w:rPr>
          <w:rFonts w:hint="eastAsia" w:ascii="宋体" w:hAnsi="宋体" w:cs="宋体"/>
          <w:b/>
          <w:bCs/>
          <w:color w:val="auto"/>
          <w:sz w:val="21"/>
          <w:szCs w:val="21"/>
          <w:highlight w:val="none"/>
        </w:rPr>
        <w:t>说明：管理团队人员若为退休返聘人员，不算在项目管理团队人员内。</w:t>
      </w:r>
    </w:p>
    <w:p w14:paraId="7DBB5295">
      <w:pPr>
        <w:pStyle w:val="44"/>
        <w:widowControl/>
        <w:jc w:val="left"/>
        <w:rPr>
          <w:rFonts w:hint="eastAsia" w:ascii="宋体" w:hAnsi="宋体" w:cs="宋体"/>
          <w:b/>
          <w:bCs/>
          <w:color w:val="auto"/>
          <w:sz w:val="24"/>
          <w:szCs w:val="24"/>
          <w:highlight w:val="none"/>
        </w:rPr>
      </w:pPr>
    </w:p>
    <w:p w14:paraId="71FD7003">
      <w:pPr>
        <w:pStyle w:val="44"/>
        <w:widowControl/>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w:t>
      </w:r>
      <w:r>
        <w:rPr>
          <w:rFonts w:ascii="Arial" w:hAnsi="Arial" w:cs="Arial"/>
          <w:b/>
          <w:color w:val="auto"/>
          <w:sz w:val="21"/>
          <w:szCs w:val="21"/>
          <w:highlight w:val="none"/>
        </w:rPr>
        <w:t>对施工、验收阶段的要求</w:t>
      </w:r>
    </w:p>
    <w:p w14:paraId="6A02A9EC">
      <w:pPr>
        <w:pStyle w:val="40"/>
        <w:numPr>
          <w:ilvl w:val="0"/>
          <w:numId w:val="6"/>
        </w:numPr>
        <w:adjustRightInd w:val="0"/>
        <w:snapToGrid w:val="0"/>
        <w:spacing w:line="360" w:lineRule="auto"/>
        <w:ind w:left="420" w:leftChars="200"/>
        <w:rPr>
          <w:rFonts w:ascii="Arial" w:hAnsi="Arial" w:cs="Arial"/>
          <w:b/>
          <w:color w:val="auto"/>
          <w:sz w:val="21"/>
          <w:szCs w:val="21"/>
          <w:highlight w:val="none"/>
        </w:rPr>
      </w:pPr>
      <w:r>
        <w:rPr>
          <w:rFonts w:ascii="Arial" w:hAnsi="Arial" w:cs="Arial"/>
          <w:b/>
          <w:color w:val="auto"/>
          <w:sz w:val="21"/>
          <w:szCs w:val="21"/>
          <w:highlight w:val="none"/>
        </w:rPr>
        <w:t>提供条件</w:t>
      </w:r>
    </w:p>
    <w:p w14:paraId="37CC8409">
      <w:pPr>
        <w:pStyle w:val="40"/>
        <w:adjustRightInd w:val="0"/>
        <w:snapToGrid w:val="0"/>
        <w:spacing w:line="360" w:lineRule="auto"/>
        <w:ind w:firstLine="420" w:firstLineChars="200"/>
        <w:rPr>
          <w:color w:val="auto"/>
          <w:sz w:val="21"/>
          <w:szCs w:val="21"/>
          <w:highlight w:val="none"/>
        </w:rPr>
      </w:pPr>
      <w:r>
        <w:rPr>
          <w:rFonts w:ascii="Arial" w:hAnsi="Arial" w:cs="Arial"/>
          <w:bCs/>
          <w:color w:val="auto"/>
          <w:sz w:val="21"/>
          <w:szCs w:val="21"/>
          <w:highlight w:val="none"/>
        </w:rPr>
        <w:t>承包人</w:t>
      </w:r>
      <w:r>
        <w:rPr>
          <w:rFonts w:hint="eastAsia" w:ascii="Arial" w:hAnsi="Arial" w:cs="Arial"/>
          <w:bCs/>
          <w:color w:val="auto"/>
          <w:sz w:val="21"/>
          <w:szCs w:val="21"/>
          <w:highlight w:val="none"/>
        </w:rPr>
        <w:t>在施工现场应配备指挥车辆1-2辆，配备专职驾驶员，保证现场对外协调联络使用，指挥车应服从招标人调度。指挥车辆所发生的所有费用（如驾驶人员工资、燃油费、维修费、保养费等）均在本次报价内。</w:t>
      </w:r>
    </w:p>
    <w:p w14:paraId="4B20F198">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 工期要求</w:t>
      </w:r>
    </w:p>
    <w:p w14:paraId="65B549E2">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2.1 合同工期</w:t>
      </w:r>
    </w:p>
    <w:p w14:paraId="1881FFE0">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2.1.1 本工程合同工期和计划开、竣工日期为承包人在投标函附录中承诺的工期和计划开、竣工日期，并在合同协议书中载明。</w:t>
      </w:r>
    </w:p>
    <w:p w14:paraId="50B50F9D">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 2 关于工期的一般规定</w:t>
      </w:r>
    </w:p>
    <w:p w14:paraId="7FD3DD9C">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2.2.1 承包人在投标函中承诺的工期和计划开、竣工日期之间发生矛盾或者不一致时，以承包人承诺的工期为准。实际开工日期以监理人发出的开工通知中载明的开工日期为准。</w:t>
      </w:r>
    </w:p>
    <w:p w14:paraId="2C985ECE">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495F4ED">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2.2.3 承包人在投标函附录中所承诺的工期应当包括实施并完成规定的暂估价项目和实际可能发生的暂列金额在内的所有工作的工期。</w:t>
      </w:r>
    </w:p>
    <w:p w14:paraId="4C8B5AFC">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 质量要求</w:t>
      </w:r>
    </w:p>
    <w:p w14:paraId="2D61A3BD">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w:t>
      </w:r>
      <w:r>
        <w:rPr>
          <w:rFonts w:ascii="Arial" w:hAnsi="Arial" w:cs="Arial"/>
          <w:b/>
          <w:color w:val="auto"/>
          <w:sz w:val="21"/>
          <w:szCs w:val="21"/>
          <w:highlight w:val="none"/>
        </w:rPr>
        <w:t>.1 质量标准</w:t>
      </w:r>
    </w:p>
    <w:p w14:paraId="0BFCEE81">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3.1.1 本工程要求的质量标准为符合现行国家有关工程施工验收规范和标准的要求（合格）。</w:t>
      </w:r>
    </w:p>
    <w:p w14:paraId="30291674">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3.2 特殊质量要求</w:t>
      </w:r>
    </w:p>
    <w:p w14:paraId="64D085F4">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3.2.1 有关本工程质量方面的特殊要求如下：</w:t>
      </w:r>
      <w:r>
        <w:rPr>
          <w:rFonts w:ascii="Arial" w:hAnsi="Arial" w:cs="Arial"/>
          <w:bCs/>
          <w:color w:val="auto"/>
          <w:sz w:val="21"/>
          <w:szCs w:val="21"/>
          <w:highlight w:val="none"/>
          <w:u w:val="single"/>
        </w:rPr>
        <w:t xml:space="preserve">      无             </w:t>
      </w:r>
      <w:r>
        <w:rPr>
          <w:rFonts w:ascii="Arial" w:hAnsi="Arial" w:cs="Arial"/>
          <w:bCs/>
          <w:color w:val="auto"/>
          <w:sz w:val="21"/>
          <w:szCs w:val="21"/>
          <w:highlight w:val="none"/>
        </w:rPr>
        <w:t>。</w:t>
      </w:r>
    </w:p>
    <w:p w14:paraId="5F4B1106">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3.2.2 按照</w:t>
      </w:r>
      <w:r>
        <w:rPr>
          <w:rFonts w:hint="eastAsia" w:ascii="Arial" w:hAnsi="Arial" w:cs="Arial"/>
          <w:bCs/>
          <w:color w:val="auto"/>
          <w:sz w:val="21"/>
          <w:szCs w:val="21"/>
          <w:highlight w:val="none"/>
        </w:rPr>
        <w:t>《城镇道路工程施工与质量验收规范》（CJJ1-2008）</w:t>
      </w:r>
      <w:r>
        <w:rPr>
          <w:rFonts w:ascii="Arial" w:hAnsi="Arial" w:cs="Arial"/>
          <w:bCs/>
          <w:color w:val="auto"/>
          <w:sz w:val="21"/>
          <w:szCs w:val="21"/>
          <w:highlight w:val="none"/>
        </w:rPr>
        <w:t>进行施工管理，严格落实</w:t>
      </w:r>
      <w:r>
        <w:rPr>
          <w:rFonts w:hint="eastAsia" w:ascii="Arial" w:hAnsi="Arial" w:cs="Arial"/>
          <w:bCs/>
          <w:color w:val="auto"/>
          <w:sz w:val="21"/>
          <w:szCs w:val="21"/>
          <w:highlight w:val="none"/>
        </w:rPr>
        <w:t>市政</w:t>
      </w:r>
      <w:r>
        <w:rPr>
          <w:rFonts w:ascii="Arial" w:hAnsi="Arial" w:cs="Arial"/>
          <w:bCs/>
          <w:color w:val="auto"/>
          <w:sz w:val="21"/>
          <w:szCs w:val="21"/>
          <w:highlight w:val="none"/>
        </w:rPr>
        <w:t>设计要求。</w:t>
      </w:r>
    </w:p>
    <w:p w14:paraId="5B46FA57">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 3 施工工艺样板及首段验收的管理</w:t>
      </w:r>
    </w:p>
    <w:p w14:paraId="0ADE7DB4">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3.3.1 施工单位应在分部（子分部）工程施工图完成后，应及时组织专业技术人员根据设计文件和工程办要求，梳理施工过程中需要进行施工工艺样板及首段验收的工序，按分部工程形成《施工工艺样板一览表》、《首段（首件）验收一览表》，并经监理人审核后报发包人。</w:t>
      </w:r>
    </w:p>
    <w:p w14:paraId="41518010">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3.3.2 施工工艺样板应包括但不限于：</w:t>
      </w:r>
      <w:r>
        <w:rPr>
          <w:rFonts w:hint="eastAsia" w:ascii="Arial" w:hAnsi="Arial" w:cs="Arial"/>
          <w:bCs/>
          <w:color w:val="auto"/>
          <w:sz w:val="21"/>
          <w:szCs w:val="21"/>
          <w:highlight w:val="none"/>
        </w:rPr>
        <w:t>管道安装</w:t>
      </w:r>
      <w:r>
        <w:rPr>
          <w:rFonts w:ascii="Arial" w:hAnsi="Arial" w:cs="Arial"/>
          <w:bCs/>
          <w:color w:val="auto"/>
          <w:sz w:val="21"/>
          <w:szCs w:val="21"/>
          <w:highlight w:val="none"/>
        </w:rPr>
        <w:t>施工、</w:t>
      </w:r>
      <w:r>
        <w:rPr>
          <w:rFonts w:hint="eastAsia" w:ascii="Arial" w:hAnsi="Arial" w:cs="Arial"/>
          <w:bCs/>
          <w:color w:val="auto"/>
          <w:sz w:val="21"/>
          <w:szCs w:val="21"/>
          <w:highlight w:val="none"/>
        </w:rPr>
        <w:t>道路</w:t>
      </w:r>
      <w:r>
        <w:rPr>
          <w:rFonts w:ascii="Arial" w:hAnsi="Arial" w:cs="Arial"/>
          <w:bCs/>
          <w:color w:val="auto"/>
          <w:sz w:val="21"/>
          <w:szCs w:val="21"/>
          <w:highlight w:val="none"/>
        </w:rPr>
        <w:t>施工等；首段验收至少应包括：</w:t>
      </w:r>
      <w:r>
        <w:rPr>
          <w:rFonts w:hint="eastAsia" w:ascii="Arial" w:hAnsi="Arial" w:cs="Arial"/>
          <w:bCs/>
          <w:color w:val="auto"/>
          <w:sz w:val="21"/>
          <w:szCs w:val="21"/>
          <w:highlight w:val="none"/>
        </w:rPr>
        <w:t>桥梁桩基础</w:t>
      </w:r>
      <w:r>
        <w:rPr>
          <w:rFonts w:ascii="Arial" w:hAnsi="Arial" w:cs="Arial"/>
          <w:bCs/>
          <w:color w:val="auto"/>
          <w:sz w:val="21"/>
          <w:szCs w:val="21"/>
          <w:highlight w:val="none"/>
        </w:rPr>
        <w:t>施工、</w:t>
      </w:r>
      <w:r>
        <w:rPr>
          <w:rFonts w:hint="eastAsia" w:ascii="Arial" w:hAnsi="Arial" w:cs="Arial"/>
          <w:bCs/>
          <w:color w:val="auto"/>
          <w:sz w:val="21"/>
          <w:szCs w:val="21"/>
          <w:highlight w:val="none"/>
        </w:rPr>
        <w:t>桥台</w:t>
      </w:r>
      <w:r>
        <w:rPr>
          <w:rFonts w:ascii="Arial" w:hAnsi="Arial" w:cs="Arial"/>
          <w:bCs/>
          <w:color w:val="auto"/>
          <w:sz w:val="21"/>
          <w:szCs w:val="21"/>
          <w:highlight w:val="none"/>
        </w:rPr>
        <w:t>施工、</w:t>
      </w:r>
      <w:r>
        <w:rPr>
          <w:rFonts w:hint="eastAsia" w:ascii="Arial" w:hAnsi="Arial" w:cs="Arial"/>
          <w:bCs/>
          <w:color w:val="auto"/>
          <w:sz w:val="21"/>
          <w:szCs w:val="21"/>
          <w:highlight w:val="none"/>
        </w:rPr>
        <w:t>现浇梁</w:t>
      </w:r>
      <w:r>
        <w:rPr>
          <w:rFonts w:ascii="Arial" w:hAnsi="Arial" w:cs="Arial"/>
          <w:bCs/>
          <w:color w:val="auto"/>
          <w:sz w:val="21"/>
          <w:szCs w:val="21"/>
          <w:highlight w:val="none"/>
        </w:rPr>
        <w:t>施工、</w:t>
      </w:r>
      <w:r>
        <w:rPr>
          <w:rFonts w:hint="eastAsia" w:ascii="Arial" w:hAnsi="Arial" w:cs="Arial"/>
          <w:bCs/>
          <w:color w:val="auto"/>
          <w:sz w:val="21"/>
          <w:szCs w:val="21"/>
          <w:highlight w:val="none"/>
        </w:rPr>
        <w:t>管道安装</w:t>
      </w:r>
      <w:r>
        <w:rPr>
          <w:rFonts w:ascii="Arial" w:hAnsi="Arial" w:cs="Arial"/>
          <w:bCs/>
          <w:color w:val="auto"/>
          <w:sz w:val="21"/>
          <w:szCs w:val="21"/>
          <w:highlight w:val="none"/>
        </w:rPr>
        <w:t>施工、</w:t>
      </w:r>
      <w:r>
        <w:rPr>
          <w:rFonts w:hint="eastAsia" w:ascii="Arial" w:hAnsi="Arial" w:cs="Arial"/>
          <w:bCs/>
          <w:color w:val="auto"/>
          <w:sz w:val="21"/>
          <w:szCs w:val="21"/>
          <w:highlight w:val="none"/>
        </w:rPr>
        <w:t>道路路基回填</w:t>
      </w:r>
      <w:r>
        <w:rPr>
          <w:rFonts w:ascii="Arial" w:hAnsi="Arial" w:cs="Arial"/>
          <w:bCs/>
          <w:color w:val="auto"/>
          <w:sz w:val="21"/>
          <w:szCs w:val="21"/>
          <w:highlight w:val="none"/>
        </w:rPr>
        <w:t>施工、</w:t>
      </w:r>
      <w:r>
        <w:rPr>
          <w:rFonts w:hint="eastAsia" w:ascii="Arial" w:hAnsi="Arial" w:cs="Arial"/>
          <w:bCs/>
          <w:color w:val="auto"/>
          <w:sz w:val="21"/>
          <w:szCs w:val="21"/>
          <w:highlight w:val="none"/>
        </w:rPr>
        <w:t>路面沥青铺设</w:t>
      </w:r>
      <w:r>
        <w:rPr>
          <w:rFonts w:ascii="Arial" w:hAnsi="Arial" w:cs="Arial"/>
          <w:bCs/>
          <w:color w:val="auto"/>
          <w:sz w:val="21"/>
          <w:szCs w:val="21"/>
          <w:highlight w:val="none"/>
        </w:rPr>
        <w:t>施工等。</w:t>
      </w:r>
    </w:p>
    <w:p w14:paraId="117D8316">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3.3.3 施工单位应严格按照设计和规范要求进行施工工艺样板及首段（首件）施工，施工完成后承包人应及时报监理人、发包人组织验收。</w:t>
      </w:r>
    </w:p>
    <w:p w14:paraId="4E9DF430">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3.3.4 施工单位应根据验收时各方提出的意见进行整改，验收合格后方可进行大面积施工。</w:t>
      </w:r>
    </w:p>
    <w:p w14:paraId="787EA0E2">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4. 适用规范和标准 适用规范和标准</w:t>
      </w:r>
    </w:p>
    <w:p w14:paraId="673AC9C5">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4.1 适用的规范、标准和规程</w:t>
      </w:r>
    </w:p>
    <w:p w14:paraId="243B1E91">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4.1.1 除合同另有约定外，本工程适用现行国家、行业和地方规范、标准和规程。构成合同文件的任何内容与适用的规范、标准和规程之间出现矛盾，承包人应书面要求监理人予以澄清，除监理人有特别指示外，承包人应按照其中要求最严格的标准执行。</w:t>
      </w:r>
    </w:p>
    <w:p w14:paraId="5F36E405">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40475EA0">
      <w:pPr>
        <w:pStyle w:val="4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 安全文明施工</w:t>
      </w:r>
    </w:p>
    <w:p w14:paraId="66E5C293">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 安全目标</w:t>
      </w:r>
    </w:p>
    <w:p w14:paraId="24AD5939">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 安全目标：零事故、零火情，安全生产标准化</w:t>
      </w:r>
    </w:p>
    <w:p w14:paraId="72A1D63B">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w:t>
      </w:r>
      <w:r>
        <w:rPr>
          <w:rFonts w:hint="eastAsia" w:ascii="Arial" w:hAnsi="Arial" w:cs="Arial"/>
          <w:bCs/>
          <w:color w:val="auto"/>
          <w:sz w:val="21"/>
          <w:szCs w:val="21"/>
          <w:highlight w:val="none"/>
        </w:rPr>
        <w:t>2</w:t>
      </w:r>
      <w:r>
        <w:rPr>
          <w:rFonts w:ascii="Arial" w:hAnsi="Arial" w:cs="Arial"/>
          <w:bCs/>
          <w:color w:val="auto"/>
          <w:sz w:val="21"/>
          <w:szCs w:val="21"/>
          <w:highlight w:val="none"/>
        </w:rPr>
        <w:t xml:space="preserve"> 其</w:t>
      </w:r>
      <w:r>
        <w:rPr>
          <w:rFonts w:hint="eastAsia" w:ascii="Arial" w:hAnsi="Arial" w:cs="Arial"/>
          <w:bCs/>
          <w:color w:val="auto"/>
          <w:sz w:val="21"/>
          <w:szCs w:val="21"/>
          <w:highlight w:val="none"/>
          <w:lang w:val="en-US" w:eastAsia="zh-CN"/>
        </w:rPr>
        <w:t>他</w:t>
      </w:r>
      <w:r>
        <w:rPr>
          <w:rFonts w:ascii="Arial" w:hAnsi="Arial" w:cs="Arial"/>
          <w:bCs/>
          <w:color w:val="auto"/>
          <w:sz w:val="21"/>
          <w:szCs w:val="21"/>
          <w:highlight w:val="none"/>
        </w:rPr>
        <w:t>安全管理要求：严格执行相关规定。</w:t>
      </w:r>
    </w:p>
    <w:p w14:paraId="1EAD516A">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  安全防护</w:t>
      </w:r>
    </w:p>
    <w:p w14:paraId="06AE0B63">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 在工程施工、竣工、交付及修补任何缺陷的过程中，承包人应当始终遵守国家和地方有关安全生产的法律、法规、规范、标准和规程等，按照通用合同条款第 7.6.2 款的约定履行其安全施工职责。</w:t>
      </w:r>
    </w:p>
    <w:p w14:paraId="6D7BAA18">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5.2.2 承包</w:t>
      </w:r>
      <w:r>
        <w:rPr>
          <w:rFonts w:ascii="Arial" w:hAnsi="Arial" w:cs="Arial"/>
          <w:bCs/>
          <w:color w:val="auto"/>
          <w:sz w:val="21"/>
          <w:szCs w:val="21"/>
          <w:highlight w:val="none"/>
        </w:rPr>
        <w:t>人应坚持“安全第一，预防为主”的方针，建立、健全安全生产责任制度和安全生产教育培训制度。在整个工程施工期间，承包人应在施工场地（现场）设立、提供和维护并在有关工作完成或竣工后撤除：</w:t>
      </w:r>
    </w:p>
    <w:p w14:paraId="01751D09">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（1）设立在现场入口显著位置的现场施工总平面图、总平面管理、安全生产、文明施工、环境保护、质量控制、材料管理等的规章制度和主要参建单位名称和工程概况等说明的图板；</w:t>
      </w:r>
    </w:p>
    <w:p w14:paraId="32061692">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（2）为确保工程安全施工须设立足够的标志、宣传画、标语、指示牌、警告牌、火警、匪警和急救电话提示牌等；</w:t>
      </w:r>
    </w:p>
    <w:p w14:paraId="54E9B859">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（3）洞口和临边位置的安全防护设施，包括护身栏杆、脚手架、洞口盖板和加筋、竖井防护栏杆、防护棚、防护网、坡道等等；</w:t>
      </w:r>
    </w:p>
    <w:p w14:paraId="73C6DCE4">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（4）安全带、安全绳、安全帽、安全网、绝缘鞋、绝缘手套、防护口罩和防护衣等安全生产用品；</w:t>
      </w:r>
    </w:p>
    <w:p w14:paraId="3E5EF870">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（5）所有机械设备包括各类电动工具的安全保护和接地装置和操作说明；</w:t>
      </w:r>
    </w:p>
    <w:p w14:paraId="04BDBA70">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（6）装备良好的临时急救站和配备称职的医护人员；</w:t>
      </w:r>
    </w:p>
    <w:p w14:paraId="415633FD">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（7）主要作业场所和临时安全疏散通道24小时36伏安全照明和必要的警示等以防止各种可能的事故；</w:t>
      </w:r>
    </w:p>
    <w:p w14:paraId="663B3ABF">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（8）足够数量的和合格的手提灭火器；</w:t>
      </w:r>
    </w:p>
    <w:p w14:paraId="0D41F6F9">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（9）装备良好的易燃易爆物品仓库和相应的使用管理制度；</w:t>
      </w:r>
    </w:p>
    <w:p w14:paraId="66CD47EF">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（10）对涉及明火施工的工作制定诸如用火证等的管理制度；</w:t>
      </w:r>
    </w:p>
    <w:p w14:paraId="6EBE1497">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（11）其他：</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3AA67BD7">
      <w:pPr>
        <w:pStyle w:val="4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5.2.3 安全文明施工费用必须专款专用，承包人应对其由于安全文明施工费用和施工安全措施不到位而发生的安全事故承担全部责任。</w:t>
      </w:r>
    </w:p>
    <w:p w14:paraId="7B4998C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 w:val="21"/>
          <w:szCs w:val="21"/>
          <w:highlight w:val="none"/>
        </w:rPr>
        <w:t>5.2.4 承包人应建立专门的施工场地（现场）安全生产管理机构，配备足够数量和符合有关规定的专职安全生产管理人员，负责日常安全生产巡查和专项检查，召集和主持现场全体人员参加的安全生产例会（每周至少一次），负责安全技术交底和技术方案的安全把关，</w:t>
      </w:r>
      <w:r>
        <w:rPr>
          <w:rFonts w:ascii="Arial" w:hAnsi="Arial" w:cs="Arial"/>
          <w:bCs/>
          <w:color w:val="auto"/>
          <w:szCs w:val="21"/>
          <w:highlight w:val="none"/>
        </w:rPr>
        <w:t>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5A2365D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5.2.5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492ABB7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42AA6EB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54468B7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7786B2D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4597851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5661A66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5.2.11 在永久工程和施工边坡、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07865EE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7ED834D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5.2.13 承包人应成立应急救援小组，配备必要的应急救援器材和设备，制定灾害和生产安全事故的应急救援预案，并将应急救援预案报送监理人。应急救援预案应能随时组织应</w:t>
      </w:r>
      <w:r>
        <w:rPr>
          <w:rFonts w:hint="eastAsia" w:ascii="Arial" w:hAnsi="Arial" w:cs="Arial"/>
          <w:bCs/>
          <w:color w:val="auto"/>
          <w:szCs w:val="21"/>
          <w:highlight w:val="none"/>
          <w:lang w:val="en-US" w:eastAsia="zh-CN"/>
        </w:rPr>
        <w:t>急</w:t>
      </w:r>
      <w:r>
        <w:rPr>
          <w:rFonts w:ascii="Arial" w:hAnsi="Arial" w:cs="Arial"/>
          <w:bCs/>
          <w:color w:val="auto"/>
          <w:szCs w:val="21"/>
          <w:highlight w:val="none"/>
        </w:rPr>
        <w:t>专职人员、并定期组织演练。</w:t>
      </w:r>
    </w:p>
    <w:p w14:paraId="0797E39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5A3CD0C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5.2.15 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32A0192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5.2.16 承包人应按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565D187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5.2.17 承包人还应根据有关法律、法规、规定和条例等的要求，制定一套安全生产应急措施和程序，保证一旦出现任何安全事故，能立即保护好现场，抢救伤员和财产，保证施工生产的正常进行，防止损失扩大。</w:t>
      </w:r>
    </w:p>
    <w:p w14:paraId="702AFFDA">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5.3 临时消防</w:t>
      </w:r>
    </w:p>
    <w:p w14:paraId="480A278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5.3.1 承包人应建立消防安全责任制度，制定用火、用电和使用易燃易爆等危险品的消防安全管理制度和操作规程。各项制度和规程等应满足相关法律法规和政府消防管理机构的要求。</w:t>
      </w:r>
    </w:p>
    <w:p w14:paraId="544C193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5.3.2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4B13AEC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5.3.3 承包人应当成立由项目主要负责人担任组长的临时消防组或消防队，宣传消防基本知识和基本操作培训，组织消防演练，保证一旦发生火灾，能够组织有效的自救，保护生命和财产安全。</w:t>
      </w:r>
    </w:p>
    <w:p w14:paraId="2C27045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5.3.4 施工场地（现场）内的易燃、易爆物品应单独和安全地存放，设专人进行存放和领用管理。施工场地（现场）储有或正在使用易燃、易爆或可燃材料时或有明火施工的工序，应当实行严格的“用火证”管理制度。</w:t>
      </w:r>
    </w:p>
    <w:p w14:paraId="6AAB471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5.3.5 临时消防方面的其他要求如下：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26535B46">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5.4 临时供电</w:t>
      </w:r>
    </w:p>
    <w:p w14:paraId="7D8FA4C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5.4.1 承包人应当根据《施工现场临时用电安全技术规范》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C1B616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412308F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6FAB6B4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5.4.4 承包人应在施工作业区、施工道路、临时设施、办公区和生活区设置足够的照明，地下工程照明系统的电压不得高于 36V，在潮湿和易触及带电体场所的照明供电电压不应大于 24V。不便于使用电器照明的工作面应采用特殊照明设施。</w:t>
      </w:r>
    </w:p>
    <w:p w14:paraId="1BDECC8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5.4.5 凡可能漏电伤人或易受雷击的电器及</w:t>
      </w:r>
      <w:r>
        <w:rPr>
          <w:rFonts w:hint="eastAsia" w:ascii="Arial" w:hAnsi="Arial" w:cs="Arial"/>
          <w:bCs/>
          <w:color w:val="auto"/>
          <w:szCs w:val="21"/>
          <w:highlight w:val="none"/>
        </w:rPr>
        <w:t>实体工程</w:t>
      </w:r>
      <w:r>
        <w:rPr>
          <w:rFonts w:ascii="Arial" w:hAnsi="Arial" w:cs="Arial"/>
          <w:bCs/>
          <w:color w:val="auto"/>
          <w:szCs w:val="21"/>
          <w:highlight w:val="none"/>
        </w:rPr>
        <w:t>均应设置接地和避雷装置。承包人应负责避雷装置的采购、安装、管理和维修，并建立定期检查制度。</w:t>
      </w:r>
    </w:p>
    <w:p w14:paraId="67C8E92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5.4.6 临时用电方面的其他要求如下：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5D9AB907">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5.5 劳动保护</w:t>
      </w:r>
    </w:p>
    <w:p w14:paraId="7F087D1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5.5.1 承包人应遵守所有适用于本合同的劳动法规及其他有关法律、法规、规章和规定中关于工人工资标准、劳动时间和劳动条件的规定，合理安排现场作业人员的劳动和休息时间，保障劳动者必</w:t>
      </w:r>
      <w:r>
        <w:rPr>
          <w:rFonts w:hint="eastAsia" w:ascii="Arial" w:hAnsi="Arial" w:cs="Arial"/>
          <w:bCs/>
          <w:color w:val="auto"/>
          <w:szCs w:val="21"/>
          <w:highlight w:val="none"/>
          <w:lang w:val="en-US" w:eastAsia="zh-CN"/>
        </w:rPr>
        <w:t>需</w:t>
      </w:r>
      <w:r>
        <w:rPr>
          <w:rFonts w:ascii="Arial" w:hAnsi="Arial" w:cs="Arial"/>
          <w:bCs/>
          <w:color w:val="auto"/>
          <w:szCs w:val="21"/>
          <w:highlight w:val="none"/>
        </w:rPr>
        <w:t>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230C414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DEC2C0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56E657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w:t>
      </w:r>
      <w:r>
        <w:rPr>
          <w:rFonts w:hint="eastAsia" w:ascii="Arial" w:hAnsi="Arial" w:cs="Arial"/>
          <w:bCs/>
          <w:color w:val="auto"/>
          <w:szCs w:val="21"/>
          <w:highlight w:val="none"/>
          <w:lang w:val="en-US" w:eastAsia="zh-CN"/>
        </w:rPr>
        <w:t>他</w:t>
      </w:r>
      <w:r>
        <w:rPr>
          <w:rFonts w:ascii="Arial" w:hAnsi="Arial" w:cs="Arial"/>
          <w:bCs/>
          <w:color w:val="auto"/>
          <w:szCs w:val="21"/>
          <w:highlight w:val="none"/>
        </w:rPr>
        <w:t>害虫，以防对施工人员、现场和永久工程造成任何危害。</w:t>
      </w:r>
    </w:p>
    <w:p w14:paraId="28846AC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5.5.5 承包人应在现场设立专门的临时医疗站，配备足够的设施、药物和称职的医务人员，承包人还应准备急救担架，用于一旦发生安全事故时对受伤人员的急救。</w:t>
      </w:r>
    </w:p>
    <w:p w14:paraId="7968759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5.5.6 劳动保护方面的其他要求如下：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25976B85">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5.6 脚手架</w:t>
      </w:r>
    </w:p>
    <w:p w14:paraId="48F57B3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5.6.1 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14:paraId="38C6C3D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5.6.2 所有脚手架，尤其是大型、复杂、高耸和非常规脚手架，要编制专项施工方案，还应当经过安全验算，脚手架安全验算结果必须报送监理人核查后方可实施。</w:t>
      </w:r>
    </w:p>
    <w:p w14:paraId="089B67F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5.6.3 搭设爬架、挂架、超高脚手架等特种或新型脚手架时，承包人应确保此类脚手架的安全性和保证此类脚手架已经过有关行政管理部门允许使用的批准。</w:t>
      </w:r>
    </w:p>
    <w:p w14:paraId="49039D1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5.6.4 承包人应当加强脚手架的日常安全巡查，及时对其中的安全隐患进行整改，确保脚手架使用安全。雨、雪、雾、霜和大风等天气后，承包人必须对脚手架进行安全巡查，并及时消除安全隐患。</w:t>
      </w:r>
    </w:p>
    <w:p w14:paraId="79BFE25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5.6.5 承包人应允许发包人、监理人、专业分包人、独立承包人（如果有）和有关行政管理部门或者机构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E8E1D3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5.6.6 脚手架的其他要求如下：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5D5580F3">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5.7 安全生产保证措施</w:t>
      </w:r>
    </w:p>
    <w:p w14:paraId="49DD4E1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5.7.1 承包人应根据《中华人民共和国安全生产法》、《职业健康安全管理体系规范》、《中华人民共和国消防法》、《中华人民共和国道路交通安全法》、《中华人民共和国传染病防治法实施办法》和地方有关的法规等，</w:t>
      </w:r>
      <w:r>
        <w:rPr>
          <w:rFonts w:hint="eastAsia" w:ascii="Arial" w:hAnsi="Arial" w:cs="Arial"/>
          <w:bCs/>
          <w:strike w:val="0"/>
          <w:dstrike w:val="0"/>
          <w:color w:val="auto"/>
          <w:szCs w:val="21"/>
          <w:highlight w:val="none"/>
          <w:lang w:val="en-US" w:eastAsia="zh-CN"/>
        </w:rPr>
        <w:t>并按照合同约定</w:t>
      </w:r>
      <w:r>
        <w:rPr>
          <w:rFonts w:ascii="Arial" w:hAnsi="Arial" w:cs="Arial"/>
          <w:bCs/>
          <w:strike w:val="0"/>
          <w:dstrike w:val="0"/>
          <w:color w:val="auto"/>
          <w:szCs w:val="21"/>
          <w:highlight w:val="none"/>
        </w:rPr>
        <w:t>，编制</w:t>
      </w:r>
      <w:r>
        <w:rPr>
          <w:rFonts w:ascii="Arial" w:hAnsi="Arial" w:cs="Arial"/>
          <w:bCs/>
          <w:color w:val="auto"/>
          <w:szCs w:val="21"/>
          <w:highlight w:val="none"/>
        </w:rPr>
        <w:t>一份施工安全生产保证措施，报送监理人审批。</w:t>
      </w:r>
    </w:p>
    <w:p w14:paraId="26DCE3D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5.7.2 安全生产保证措施是承包人阐明其安全管理方针、管理体系、安全制度和安全措施等的文件，其内容应当反映现行法律法规规定的和合同条款约定的以及本条上述约定的承包人安全职责，包括但不限于：</w:t>
      </w:r>
    </w:p>
    <w:p w14:paraId="5147793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（1）施工安全管理机构的设置；</w:t>
      </w:r>
    </w:p>
    <w:p w14:paraId="35B0C06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（2）专职安全管理人员的配备；</w:t>
      </w:r>
    </w:p>
    <w:p w14:paraId="7F3FF35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（3）安全责任制度和管理措施；</w:t>
      </w:r>
    </w:p>
    <w:p w14:paraId="4354922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（4）安全教育和培训制度及管理措施；</w:t>
      </w:r>
    </w:p>
    <w:p w14:paraId="291B908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（5）各项安全生产规章制度和操作规程；</w:t>
      </w:r>
    </w:p>
    <w:p w14:paraId="655E858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（6）各项施工安全措施和防护措施；</w:t>
      </w:r>
    </w:p>
    <w:p w14:paraId="51753BB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（7）危险品管理和使用制度；</w:t>
      </w:r>
    </w:p>
    <w:p w14:paraId="28F2812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（8）安全设施、设备、器材和劳动保护用品的配置；</w:t>
      </w:r>
    </w:p>
    <w:p w14:paraId="6BC65D4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（9）其他：</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0A0EA55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5.7.3 施工安全措施的项目和范围，应符合国家颁发的《安全技术措施计划的项目总名称表》及其附录 H、I、J 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7E66105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5.7.4安全生产保证措施应</w:t>
      </w:r>
      <w:r>
        <w:rPr>
          <w:rFonts w:ascii="Arial" w:hAnsi="Arial" w:cs="Arial"/>
          <w:bCs/>
          <w:color w:val="auto"/>
          <w:szCs w:val="21"/>
          <w:highlight w:val="none"/>
        </w:rPr>
        <w:t>当在专用合同条款约定的期限内报送</w:t>
      </w:r>
      <w:r>
        <w:rPr>
          <w:rFonts w:ascii="Arial" w:hAnsi="Arial" w:cs="Arial"/>
          <w:bCs/>
          <w:color w:val="auto"/>
          <w:szCs w:val="21"/>
          <w:highlight w:val="none"/>
        </w:rPr>
        <w:t>监理人审批。承包人应当严格执行经监理人批准的安全生产保证措施，并及时补充、修订和完善安全生产保证措施，确保安全生产。</w:t>
      </w:r>
    </w:p>
    <w:p w14:paraId="341CEDB7">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5.8  文明施工</w:t>
      </w:r>
    </w:p>
    <w:p w14:paraId="497AB5F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5.8.1 承包人应遵守国家和工程所在地有关法规、规范、规程和标准的规定， 履行文明施工义务，确保文明施工专项费用专款专用。</w:t>
      </w:r>
    </w:p>
    <w:p w14:paraId="451BD3E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5.8.2 承包人应当规范现场施工秩序，实行标准化管理：</w:t>
      </w:r>
    </w:p>
    <w:p w14:paraId="7152514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 承包人的施工场地（现场）必须干净整洁、做到无积水、无淤泥、无杂物，材料堆放整齐；</w:t>
      </w:r>
    </w:p>
    <w:p w14:paraId="5632CB4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 施工现场土方应当集中堆放，裸露的场地和集中堆放的土方应当采取覆盖、固化或绿化等措施；</w:t>
      </w:r>
    </w:p>
    <w:p w14:paraId="2357529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 施工场地（现场）应进行硬化处理，定期定时洒水，做好防治扬尘和大气污染工作；</w:t>
      </w:r>
    </w:p>
    <w:p w14:paraId="5C9159D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 严格遵守“工完、料尽、场地净”的原则，不留垃圾、不留剩余施工材料和施工机具，各种设备运转正常；</w:t>
      </w:r>
    </w:p>
    <w:p w14:paraId="0A3FF78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 承包人修建的施工临时设施应符合监理人批准的施工规划要求，并应满足本节规定的各项安全要求；</w:t>
      </w:r>
    </w:p>
    <w:p w14:paraId="132DC78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 监理人可要求承包人在施工场地（现场）设置各级承包人的安全文明施工责任牌等文明施工警示牌；</w:t>
      </w:r>
    </w:p>
    <w:p w14:paraId="2B7EE10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 材料进入现场应按指定位置堆放整齐，不得影响现场施工和堵塞施工、消防通道。材料堆放场地应有专职的管理人员；</w:t>
      </w:r>
    </w:p>
    <w:p w14:paraId="627F9C4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 施工和安装用的各种扣件、紧固件、绳索具、小型配件、</w:t>
      </w:r>
      <w:r>
        <w:rPr>
          <w:rFonts w:hint="eastAsia" w:ascii="Arial" w:hAnsi="Arial" w:cs="Arial"/>
          <w:bCs/>
          <w:color w:val="auto"/>
          <w:szCs w:val="21"/>
          <w:highlight w:val="none"/>
          <w:lang w:val="en-US" w:eastAsia="zh-CN"/>
        </w:rPr>
        <w:t>螺</w:t>
      </w:r>
      <w:r>
        <w:rPr>
          <w:rFonts w:ascii="Arial" w:hAnsi="Arial" w:cs="Arial"/>
          <w:bCs/>
          <w:color w:val="auto"/>
          <w:szCs w:val="21"/>
          <w:highlight w:val="none"/>
        </w:rPr>
        <w:t>钉等应在专设的仓库内装箱放置；</w:t>
      </w:r>
    </w:p>
    <w:p w14:paraId="7C713ED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 现场风、水管及照明电线的布置应安全、合理、规范、有序，做到整齐美观。不得随意架设和造成隐患或影响施工；</w:t>
      </w:r>
    </w:p>
    <w:p w14:paraId="185C27C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（10）拆除工程施工时应采取有效的降尘措施。</w:t>
      </w:r>
    </w:p>
    <w:p w14:paraId="05B1CCE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5.8.3 承包人应为其雇佣的施工工人建立并维护相应的生活宿舍、食堂、浴室、厕所和文化活动室等，其标准应满足政府有关机构的生活标准和卫生标准等的要求。</w:t>
      </w:r>
    </w:p>
    <w:p w14:paraId="3E402B6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40F1554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5.8.5 在工程施工期间，承包人应始终避免现场出现不必要的障碍物，妥当存放并处置施工设备和多余的材料，及时从现场清除运走任何废料、垃圾或不再需要的临时工程和设施。</w:t>
      </w:r>
    </w:p>
    <w:p w14:paraId="1EB3D95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5.8.6 承包人应为现场的工人和其他所有工作人员提供符合卫生要求的厕所，厕所应贴有</w:t>
      </w:r>
      <w:r>
        <w:rPr>
          <w:rFonts w:hint="eastAsia" w:ascii="Arial" w:hAnsi="Arial" w:cs="Arial"/>
          <w:bCs/>
          <w:color w:val="auto"/>
          <w:szCs w:val="21"/>
          <w:highlight w:val="none"/>
          <w:lang w:val="en-US" w:eastAsia="zh-CN"/>
        </w:rPr>
        <w:t>瓷</w:t>
      </w:r>
      <w:r>
        <w:rPr>
          <w:rFonts w:ascii="Arial" w:hAnsi="Arial" w:cs="Arial"/>
          <w:bCs/>
          <w:color w:val="auto"/>
          <w:szCs w:val="21"/>
          <w:highlight w:val="none"/>
        </w:rPr>
        <w:t>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3B4F46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5.8.7 承包人应在现场设立固定的垃圾临时存放点并在各区域设立必要的垃圾箱。</w:t>
      </w:r>
      <w:r>
        <w:rPr>
          <w:rFonts w:hint="eastAsia" w:ascii="Arial" w:hAnsi="Arial" w:cs="Arial"/>
          <w:bCs/>
          <w:color w:val="auto"/>
          <w:szCs w:val="21"/>
          <w:highlight w:val="none"/>
        </w:rPr>
        <w:t>施工现场</w:t>
      </w:r>
      <w:r>
        <w:rPr>
          <w:rFonts w:ascii="Arial" w:hAnsi="Arial" w:cs="Arial"/>
          <w:bCs/>
          <w:color w:val="auto"/>
          <w:szCs w:val="21"/>
          <w:highlight w:val="none"/>
        </w:rPr>
        <w:t>垃圾的清运，必须采用相应容器或管道运输，严禁</w:t>
      </w:r>
      <w:r>
        <w:rPr>
          <w:rFonts w:hint="eastAsia" w:ascii="Arial" w:hAnsi="Arial" w:cs="Arial"/>
          <w:bCs/>
          <w:color w:val="auto"/>
          <w:szCs w:val="21"/>
          <w:highlight w:val="none"/>
        </w:rPr>
        <w:t>随意</w:t>
      </w:r>
      <w:r>
        <w:rPr>
          <w:rFonts w:ascii="Arial" w:hAnsi="Arial" w:cs="Arial"/>
          <w:bCs/>
          <w:color w:val="auto"/>
          <w:szCs w:val="21"/>
          <w:highlight w:val="none"/>
        </w:rPr>
        <w:t>抛掷；所有垃圾必须在当天清除出现场，并按有关行政管理部门的规定，运送到指定的垃圾消纳场。</w:t>
      </w:r>
    </w:p>
    <w:p w14:paraId="2E22449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w:t>
      </w:r>
      <w:r>
        <w:rPr>
          <w:rFonts w:hint="eastAsia" w:ascii="Arial" w:hAnsi="Arial" w:cs="Arial"/>
          <w:bCs/>
          <w:color w:val="auto"/>
          <w:szCs w:val="21"/>
          <w:highlight w:val="none"/>
          <w:lang w:val="en-US" w:eastAsia="zh-CN"/>
        </w:rPr>
        <w:t>筑</w:t>
      </w:r>
      <w:r>
        <w:rPr>
          <w:rFonts w:ascii="Arial" w:hAnsi="Arial" w:cs="Arial"/>
          <w:bCs/>
          <w:color w:val="auto"/>
          <w:szCs w:val="21"/>
          <w:highlight w:val="none"/>
        </w:rPr>
        <w:t>、材料运输、材料装卸、现场清理等工作中应采取一切必要的措施防止影响公共交通。</w:t>
      </w:r>
    </w:p>
    <w:p w14:paraId="5013642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14:paraId="491CEF5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5.8.10 文明施工方面的其他要求如下：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5A40D892">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5.9 环境保护</w:t>
      </w:r>
    </w:p>
    <w:p w14:paraId="02DCCCA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5.9.1 在工程施工、完工及修补任何缺陷的过程中，承包人应当始终遵守国家和工程所在地有关环境保护、水土保护和污染防治的法律、法规、规章、规范、标准和规程等，按照合同约定履行其环境与生态保护职责。</w:t>
      </w:r>
    </w:p>
    <w:p w14:paraId="41E2ECC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B3405D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24A6601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34D6B0E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1F6B9C1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0214753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5.9.7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29A629A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0A5FD1B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5.9.9 环境保护方面的其他要求如下：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49855D04">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5.10  施工环保措施计划</w:t>
      </w:r>
    </w:p>
    <w:p w14:paraId="146D02B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5.10.1施工环保措施计划是承包人阐明环保方针和拟采用的环保措施及方法等的文件，其内容应包括但不限于：</w:t>
      </w:r>
    </w:p>
    <w:p w14:paraId="641803F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  承包人生活区（如果有）的生活用水和生活污水处理措施；</w:t>
      </w:r>
    </w:p>
    <w:p w14:paraId="6DEE7BE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  施工生产废水处理措施；</w:t>
      </w:r>
    </w:p>
    <w:p w14:paraId="0F83F54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  施工扬尘和废气的处理措施；</w:t>
      </w:r>
    </w:p>
    <w:p w14:paraId="4A7ACB0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  施工噪声和光污染控制措施；</w:t>
      </w:r>
    </w:p>
    <w:p w14:paraId="151E498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  节能减排措施；</w:t>
      </w:r>
    </w:p>
    <w:p w14:paraId="7372008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  不可再生资源循环利用措施；</w:t>
      </w:r>
    </w:p>
    <w:p w14:paraId="01BF940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  固体废弃物处理措施；</w:t>
      </w:r>
    </w:p>
    <w:p w14:paraId="5A6196A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  人群健康保护和卫生防疫措施；</w:t>
      </w:r>
    </w:p>
    <w:p w14:paraId="64E0EC3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  防止误用有害材料的保证措施；</w:t>
      </w:r>
    </w:p>
    <w:p w14:paraId="6C8A937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 施工边坡工程的水土流失保护措施；</w:t>
      </w:r>
    </w:p>
    <w:p w14:paraId="3D66652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（11） 道路污染防治措施；</w:t>
      </w:r>
    </w:p>
    <w:p w14:paraId="6EC291C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（12） 完工后场地清理及其植被（如果有）恢复的规划和措施；</w:t>
      </w:r>
    </w:p>
    <w:p w14:paraId="087543C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（13） 其他：</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4918C6F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5.10.2 施工环保措施计划应当报送监理人审批。承包人应当严格执行经监理人批准的施工环保措施计划，并及时补充、修订和完善施工环保措施计划。</w:t>
      </w:r>
    </w:p>
    <w:p w14:paraId="0FAD08E2">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5.11  绿色施工管理方面</w:t>
      </w:r>
    </w:p>
    <w:p w14:paraId="75E231C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5.11.1 承包人必须严格执行《建设工程安全生产条例》（国务院令 393 号）、《辽宁省大气污染防治条例》等法律法规</w:t>
      </w:r>
      <w:r>
        <w:rPr>
          <w:rFonts w:hint="eastAsia" w:ascii="Arial" w:hAnsi="Arial" w:cs="Arial"/>
          <w:bCs/>
          <w:color w:val="auto"/>
          <w:szCs w:val="21"/>
          <w:highlight w:val="none"/>
          <w:lang w:val="en-US" w:eastAsia="zh-CN"/>
        </w:rPr>
        <w:t>和当地</w:t>
      </w:r>
      <w:r>
        <w:rPr>
          <w:rFonts w:ascii="Arial" w:hAnsi="Arial" w:cs="Arial"/>
          <w:bCs/>
          <w:color w:val="auto"/>
          <w:szCs w:val="21"/>
          <w:highlight w:val="none"/>
        </w:rPr>
        <w:t>的相关要求。</w:t>
      </w:r>
    </w:p>
    <w:p w14:paraId="5DD2AC6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5.11.2 承包人认真落实环境保护、绿色施工、安全标准化的各项要求</w:t>
      </w:r>
      <w:r>
        <w:rPr>
          <w:rFonts w:hint="eastAsia" w:ascii="Arial" w:hAnsi="Arial" w:cs="Arial"/>
          <w:bCs/>
          <w:color w:val="auto"/>
          <w:szCs w:val="21"/>
          <w:highlight w:val="none"/>
        </w:rPr>
        <w:t>。</w:t>
      </w:r>
    </w:p>
    <w:p w14:paraId="23C2682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5.11.3 承包人项目负责人为绿色施工第一责任人，应落实《辽宁省建设工程施工现场管理办法》《绿色施工管理规程》（DB11/513-2015）的相关要求；承包人编制的施工组织设计必须包括绿色施工现场管理措施，监理人应审核施工组织设计中的绿色施工技术措施。</w:t>
      </w:r>
    </w:p>
    <w:p w14:paraId="42FFC5A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5.11.4 承包人应选择有资质的运输单位签订委托清运合同，选用符合要求的渣土运输车，并按要求办理渣土及建筑垃圾消纳手续。必须在施工现场出入口设置车辆冲洗设施，车辆出场时必须将车轮、车身清理干净；基坑土方施工阶段，必须安装高效洗轮机。场地道路硬化优先选用预制混凝土板材铺装。承包人日常应做好现场洒水降尘工作，严禁使用消防用水进行洒水降尘。</w:t>
      </w:r>
    </w:p>
    <w:p w14:paraId="79D91A12">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5.12  “危大”工程安全管理</w:t>
      </w:r>
    </w:p>
    <w:p w14:paraId="0EE0A80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5.12.1 承包人必须严格执行《危险性较大的分部分项工程安全管理规定》（建设部令 37 号）等相关要求；必须严格执行《“危大”工程安全管理流程》。</w:t>
      </w:r>
    </w:p>
    <w:p w14:paraId="71932D3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5.12.2 承包人应对基坑实施监测和巡视。</w:t>
      </w:r>
    </w:p>
    <w:p w14:paraId="0B33AF4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5.12.3 “危大”工程方案必须经过承包人技术负责人审批；需要专家论证的，必须组织专家论证，承包人单位应当根据论证报告修改完善专项方案，并经承包人技术负责人、项目总监理工程师签字后，方可组织实施。“危大”工程专项方案经论证后需做重大修改的，承包人应当按照论证报告修改，并重新组织专家进行论证，不得擅自修改、调整专项方案。</w:t>
      </w:r>
    </w:p>
    <w:p w14:paraId="6DBEB50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5.12.4 承包人应制定“危大”工程施工关键环节控制点，“危大”工程施工过程中，项目经理必须在岗带班。安全负责人及技术负责人应在“危大”工程施工关键环节进行现场旁站管理；承包人应组织“危大”工程分部或分段验收，验收合格后方可进入下一道工序。</w:t>
      </w:r>
    </w:p>
    <w:p w14:paraId="77F998F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5.12.5 模架、脚手架工程必须严格按照方案施工，且必须在基础验收完毕合格后方可搭设。模板支架应使用承插盘扣式脚手架，外脚手架应选择技术成熟的架体，承包人如使用新型架体，必须符合《“采用不符合工程建设强制性标准的新技术、新工艺、新材料核准”行政许可实施细则》（建标[2005]124号）的要求。</w:t>
      </w:r>
    </w:p>
    <w:p w14:paraId="3053454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5.12.6 施工现场采购或租用的钢管、扣件、U 托等构配件规格、尺寸必须符合规范要求。</w:t>
      </w:r>
    </w:p>
    <w:p w14:paraId="424CFAA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5.12.7 承包人应将大体量钢筋绑扎等危险性较大、存在群死群伤风险的工程纳入“危大”工程管理，必须编制专项施工方案，必须加强过程安全管理，并严格履行验收程序，验收合格方可进行下一道工序施工。</w:t>
      </w:r>
    </w:p>
    <w:p w14:paraId="3990FE28">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6 . 治安保卫</w:t>
      </w:r>
    </w:p>
    <w:p w14:paraId="633161F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6.1 承包人应为施工场地（现场）提供 24 小时的保安保卫服务，配备足够的保安人员和保安设备，防止未经批准的任何人进入现场，控制人员、材料和设备等的进出场，防止现场材料、设备或其他任何物品的失窃，禁止任何现场内的打架斗殴事件。</w:t>
      </w:r>
    </w:p>
    <w:p w14:paraId="647B1DC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FB327C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6.3 承包人应制定并实施严格的施工场地（现场）出入制度并报监理人审批；车辆的出入须有出入审批制度，并有指定的专人负责管理；人员进出现场应有出入证，出入证须以经过监理人批准的格式印制。</w:t>
      </w:r>
    </w:p>
    <w:p w14:paraId="64DA194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w:t>
      </w:r>
      <w:r>
        <w:rPr>
          <w:rFonts w:hint="eastAsia" w:ascii="Arial" w:hAnsi="Arial" w:cs="Arial"/>
          <w:bCs/>
          <w:color w:val="auto"/>
          <w:szCs w:val="21"/>
          <w:highlight w:val="none"/>
          <w:lang w:val="en-US" w:eastAsia="zh-CN"/>
        </w:rPr>
        <w:t>戴</w:t>
      </w:r>
      <w:r>
        <w:rPr>
          <w:rFonts w:ascii="Arial" w:hAnsi="Arial" w:cs="Arial"/>
          <w:bCs/>
          <w:color w:val="auto"/>
          <w:szCs w:val="21"/>
          <w:highlight w:val="none"/>
        </w:rPr>
        <w:t>安全帽，确保所有经发包人和监理人批准的参观人员的人身安全。</w:t>
      </w:r>
    </w:p>
    <w:p w14:paraId="7E6133A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0501CDE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5D0CF8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6.7 采取“智慧工地”建设，实行劳务用工实名制管理。</w:t>
      </w:r>
    </w:p>
    <w:p w14:paraId="1982D7E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6.8 施工场地（现场）治安管理计划的要求：</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1F9C47C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6.9 突发治安事件紧急预案的要求：</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5844526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6.10 治安保卫方面的其他要求如下：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5AED5739">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7. 地上、地下设施和周边建筑物的临时保护</w:t>
      </w:r>
    </w:p>
    <w:p w14:paraId="376FEA6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7.1 承包人应为施工场地及其周边现有的地上、地下设施和建筑物提供足够的临时保护设施，确保施工过程中这些设施和建筑物不会受到干扰和破坏。</w:t>
      </w:r>
    </w:p>
    <w:p w14:paraId="7B5E5A5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7.2 承包人应当制订现有设施临时保护方案和应急处理方案，并在本工程开工前至少提前 7 天报送监理人，监理人应在收到现有设施临时保护方案后的3 天内批复承包人。承包人应当严格执行经监理人批准的保护方案，并保证在任何可能影响周边现有的地上、地下设施或周边建筑物的施工作业开始前，相应的临时保护设施能够落实到位。</w:t>
      </w:r>
    </w:p>
    <w:p w14:paraId="1541637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7.3 发包人特别提醒承包人注意以下地上、地下设施和周边建筑物的保护：</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0B655D3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7.4 地上、地下设施和周边建筑物的临时保护的其他要求如下：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690A5463">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8. 样品和材料代换</w:t>
      </w:r>
    </w:p>
    <w:p w14:paraId="2395C5B7">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8.1 样品</w:t>
      </w:r>
    </w:p>
    <w:p w14:paraId="03AD446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8.1.1 本工程需要承包人提供样品的材料和工程设备如下：</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20688C1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8.1.2 对于约定的材料和工程设备，承包人应按照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733E77F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8.1.3 依法不需要招标的、以暂估价形式包括在工程量清单中的材料和工程设备，所附资料除约定的内容外，还应附上价格资料，每一类材料设备，至少应准备符合合同要求的三个产品，价格分高、中、低三档，以便监理人及发包人选择和批准。</w:t>
      </w:r>
    </w:p>
    <w:p w14:paraId="62E3951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8.1.4 得到批准后的样品由监理人负责存放。但承包人应为保存样品提供适当和固定的场所并保持适当和良好的环境条件。</w:t>
      </w:r>
    </w:p>
    <w:p w14:paraId="04FC9C4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8.1.5 提供样品和提供存放样品场所的费用由承包人承担。</w:t>
      </w:r>
    </w:p>
    <w:p w14:paraId="7E05BA92">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8.2 材料代换</w:t>
      </w:r>
    </w:p>
    <w:p w14:paraId="6E6AAA9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8.2.1 如果任何后继法律、法规、规章、规范、标准和规程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19F7A30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8.2.2 如果使用替代品，承包人应至少在被替代品按批准的进度计划用于永久工程前 56 天以书面形式通知监理人并随此通知提交下列文件：</w:t>
      </w:r>
    </w:p>
    <w:p w14:paraId="11DB0E2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 拟被替代的合同约定的材料和工程设备的名称、数量、规格、型号、品牌、性能、价格及其他任何详细资料；</w:t>
      </w:r>
    </w:p>
    <w:p w14:paraId="62EF6E1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 拟采用的替代品的名称、数量、规格、型号、品牌、性能、价格及其他任何必要的详细资料；</w:t>
      </w:r>
    </w:p>
    <w:p w14:paraId="4241D3D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 替代品使用的工程部位；</w:t>
      </w:r>
    </w:p>
    <w:p w14:paraId="683426C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 采用替代品的理由和原因说明；</w:t>
      </w:r>
    </w:p>
    <w:p w14:paraId="1137348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 替代品与合同中约定的产品之间的差异以及使用替代品后可能对工程产生的任何影响；</w:t>
      </w:r>
    </w:p>
    <w:p w14:paraId="7C74303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 价格上的差异；</w:t>
      </w:r>
    </w:p>
    <w:p w14:paraId="3433144A">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 监理人为做出适当的决定而随时要求承包人提供的任何其他文件。监理人在收到此类通知及上述文件后，应在 28 天内向承包人给出书面指示。如果 28 天内监理人未给出书面指示，应视为监理人和发包人已经批准使用上述替代品，承包人可以据此使用替代品。</w:t>
      </w:r>
    </w:p>
    <w:p w14:paraId="516CD91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8.2.3 任何情况下，替代品都应遵守本合同中对相关材料和工程设备的要求。</w:t>
      </w:r>
    </w:p>
    <w:p w14:paraId="7585A30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8.2.4 如果承包人根据本条约定使用了替代品，监理人应与承包人适当协商之后并在合理的期限内确定替代材料和工程设备与合同中约定的材料和工程设备之间的价值差值，并决定：</w:t>
      </w:r>
    </w:p>
    <w:p w14:paraId="0BF4273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（1）如果替代材料和工程设备的价值高于合同中约定的材料和工程设备的价值，则将高出部分的价值追加到合同价格中并相应地通知承包人；</w:t>
      </w:r>
    </w:p>
    <w:p w14:paraId="78E7DB5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（2）如果替代材料和工程设备的价值低于合同中约定的材料和工程设备的价值，则将节余部分的价值从合同价格中扣除并相应地通知承包人。</w:t>
      </w:r>
    </w:p>
    <w:p w14:paraId="7ADCEEF1">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9. 进度报告和进度例会</w:t>
      </w:r>
    </w:p>
    <w:p w14:paraId="0459C81F">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9.1 进度报告</w:t>
      </w:r>
    </w:p>
    <w:p w14:paraId="194A3FF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9.1.1 施工过程中，承包人应向监理人及发包人指定的代表呈递一份每日的日进度报表、每周的周进度报表和每月的月进度报表。除非监理人同意，日进度报表应在次日上午九点前递交，周进度报表应在次周的周一上午九时前递交，月进度报表应随约定的进度付款申请单一并递交。</w:t>
      </w:r>
    </w:p>
    <w:p w14:paraId="7A44261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32ED487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w:t>
      </w:r>
      <w:r>
        <w:rPr>
          <w:rFonts w:hint="eastAsia" w:ascii="Arial" w:hAnsi="Arial" w:cs="Arial"/>
          <w:bCs/>
          <w:color w:val="auto"/>
          <w:szCs w:val="21"/>
          <w:highlight w:val="none"/>
          <w:lang w:val="en-US" w:eastAsia="zh-CN"/>
        </w:rPr>
        <w:t>记</w:t>
      </w:r>
      <w:r>
        <w:rPr>
          <w:rFonts w:ascii="Arial" w:hAnsi="Arial" w:cs="Arial"/>
          <w:bCs/>
          <w:color w:val="auto"/>
          <w:szCs w:val="21"/>
          <w:highlight w:val="none"/>
        </w:rPr>
        <w:t>录、质量状况评价、安全施工措施计划实施情况、安全事故以及人员伤亡和财产损失情况（如果有）、环境保护措施实施和文明施工措施实施情况。</w:t>
      </w:r>
    </w:p>
    <w:p w14:paraId="4639E87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2D1770B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9.1.5 各个进度报表的格式和内容应经过监理人的审批。进度报表应如实填写，由承包人授权代表签名，并报监理人的指定代表签名确认后再行分发。</w:t>
      </w:r>
    </w:p>
    <w:p w14:paraId="42A0ADE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9.1.6 如果监理人认为必要，进度报告和进度照片应同时以存储在磁盘或光盘中的数据文件的形式递交给发包人和监理人。数据文件采用的应用软件及其版本应经过监理人的审批。</w:t>
      </w:r>
    </w:p>
    <w:p w14:paraId="7C31A3E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9.1.7 有关进度报告的其他要求：</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33201F3B">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9.2 进度例会</w:t>
      </w:r>
    </w:p>
    <w:p w14:paraId="7DDC4E8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9.2.1 监理人将主持召开</w:t>
      </w:r>
      <w:r>
        <w:rPr>
          <w:rFonts w:hint="eastAsia" w:ascii="Arial" w:hAnsi="Arial" w:cs="Arial"/>
          <w:bCs/>
          <w:color w:val="auto"/>
          <w:szCs w:val="21"/>
          <w:highlight w:val="none"/>
          <w:lang w:val="en-US" w:eastAsia="zh-CN"/>
        </w:rPr>
        <w:t>由</w:t>
      </w:r>
      <w:r>
        <w:rPr>
          <w:rFonts w:ascii="Arial" w:hAnsi="Arial" w:cs="Arial"/>
          <w:bCs/>
          <w:color w:val="auto"/>
          <w:szCs w:val="21"/>
          <w:highlight w:val="none"/>
        </w:rPr>
        <w:t>发包人、承包人、独立承包人和主要分包人等与本工程建设有关各方出席的每周一次的进度例会。必要时，发包人人员可随时召集所有上述各方或其中部分单位参加的会议。承包人应保证能代表其当场作出决定的高级管理人员出席会议。</w:t>
      </w:r>
    </w:p>
    <w:p w14:paraId="086E9BC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9.2.2进度例会的内容将涉及合同管理、进度协调和工程管理的各个方面，由监理人准备的会议议题将随会议通知在会议召开前至少 24 小时发给各参会方。</w:t>
      </w:r>
    </w:p>
    <w:p w14:paraId="04CDC21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9.2.3 监理人应当做好会议记录，并在会议结束时由与会各方签字确认。监理人应根据会议记录整理出会议纪要，并在相应会议后 24 小时内分发给出席会议的各方。会议纪要应当如实反映会议记录的内容，包括任何决定、存在的问题、责任方、有关工作的时间目标等等。各方在收到会议纪要后 24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16772DAD">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9.2.4 有关进度例会的其他要求：</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4F4297F7">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10. 试验和检验</w:t>
      </w:r>
    </w:p>
    <w:p w14:paraId="5038404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10.1 承包人应当按照工程施工验收规范和标准的规定，对用于永久工程的主要材料、半成品、成品、工程设备等进行</w:t>
      </w:r>
      <w:r>
        <w:rPr>
          <w:rFonts w:ascii="Arial" w:hAnsi="Arial" w:cs="Arial"/>
          <w:bCs/>
          <w:color w:val="auto"/>
          <w:szCs w:val="21"/>
          <w:highlight w:val="none"/>
        </w:rPr>
        <w:t>试验和检验。</w:t>
      </w:r>
    </w:p>
    <w:p w14:paraId="1544FE7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10.2 本工程需要承包人进行试验和检验的材料、工程设备和工艺如下：按工程需要进行。监理人可以根据工程需要，指示承包人进行其他现场材料和工艺的试验和检验。</w:t>
      </w:r>
    </w:p>
    <w:p w14:paraId="436C9C2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10.3 本工程需要由监理人和承包人共同进行试验和检验的材料、工程设备和工艺如下：按工程需要进行。</w:t>
      </w:r>
    </w:p>
    <w:p w14:paraId="6AE6167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10.4 本条上述约定需要进行检验的材料、工程设备和工艺在经过检验并获得监理人批准以前，不得用于任何永久工程。</w:t>
      </w:r>
    </w:p>
    <w:p w14:paraId="4516C76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10.5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2844B55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25825F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10.7 承包人应在监理人的监督下，对涉及结构安全的试块、试件以及有关材料进行现场取样，并送 发包人选定 质量检测单位进行检测。</w:t>
      </w:r>
    </w:p>
    <w:p w14:paraId="7CBE38D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10.8 除合同另有约定外，承包人应负担承包范围的所有材料、工程设备和工艺检验的费用。</w:t>
      </w:r>
    </w:p>
    <w:p w14:paraId="3E025CB5">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11. 竣工验收和工程移交</w:t>
      </w:r>
    </w:p>
    <w:p w14:paraId="5ABB07A0">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11.1  竣工验收前的清理</w:t>
      </w:r>
    </w:p>
    <w:p w14:paraId="298EF49B">
      <w:pPr>
        <w:pStyle w:val="40"/>
        <w:adjustRightInd w:val="0"/>
        <w:snapToGrid w:val="0"/>
        <w:spacing w:line="360" w:lineRule="auto"/>
        <w:ind w:right="-475" w:rightChars="-226" w:firstLine="420" w:firstLineChars="200"/>
        <w:rPr>
          <w:rFonts w:ascii="Arial" w:hAnsi="Arial" w:cs="Arial"/>
          <w:bCs/>
          <w:color w:val="auto"/>
          <w:szCs w:val="21"/>
          <w:highlight w:val="none"/>
        </w:rPr>
      </w:pPr>
      <w:r>
        <w:rPr>
          <w:rFonts w:ascii="Arial" w:hAnsi="Arial" w:cs="Arial"/>
          <w:bCs/>
          <w:color w:val="auto"/>
          <w:szCs w:val="21"/>
          <w:highlight w:val="none"/>
        </w:rPr>
        <w:t>11.1在向监理人提交竣工验收申请报告前，承包人应当完成竣工验收前的清理工作，包括但不限于：</w:t>
      </w:r>
    </w:p>
    <w:p w14:paraId="3658ED56">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（1）从</w:t>
      </w:r>
      <w:r>
        <w:rPr>
          <w:rFonts w:hint="eastAsia" w:ascii="Arial" w:hAnsi="Arial" w:cs="Arial"/>
          <w:bCs/>
          <w:color w:val="auto"/>
          <w:szCs w:val="21"/>
          <w:highlight w:val="none"/>
        </w:rPr>
        <w:t>管道、水井及泵站等永久工程内</w:t>
      </w:r>
      <w:r>
        <w:rPr>
          <w:rFonts w:ascii="Arial" w:hAnsi="Arial" w:cs="Arial"/>
          <w:bCs/>
          <w:color w:val="auto"/>
          <w:szCs w:val="21"/>
          <w:highlight w:val="none"/>
        </w:rPr>
        <w:t>清除所有剩余材料、杂物、垃圾等；</w:t>
      </w:r>
    </w:p>
    <w:p w14:paraId="7E96E2C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（2）清洗工程的</w:t>
      </w:r>
      <w:r>
        <w:rPr>
          <w:rFonts w:ascii="Arial" w:hAnsi="Arial" w:cs="Arial"/>
          <w:bCs/>
          <w:color w:val="auto"/>
          <w:szCs w:val="21"/>
          <w:highlight w:val="none"/>
        </w:rPr>
        <w:t>所有</w:t>
      </w:r>
      <w:r>
        <w:rPr>
          <w:rFonts w:hint="eastAsia" w:ascii="Arial" w:hAnsi="Arial" w:cs="Arial"/>
          <w:bCs/>
          <w:color w:val="auto"/>
          <w:szCs w:val="21"/>
          <w:highlight w:val="none"/>
        </w:rPr>
        <w:t>桥</w:t>
      </w:r>
      <w:r>
        <w:rPr>
          <w:rFonts w:ascii="Arial" w:hAnsi="Arial" w:cs="Arial"/>
          <w:bCs/>
          <w:color w:val="auto"/>
          <w:szCs w:val="21"/>
          <w:highlight w:val="none"/>
        </w:rPr>
        <w:t>面、墙面、路面</w:t>
      </w:r>
      <w:r>
        <w:rPr>
          <w:rFonts w:hint="eastAsia" w:ascii="Arial" w:hAnsi="Arial" w:cs="Arial"/>
          <w:bCs/>
          <w:color w:val="auto"/>
          <w:szCs w:val="21"/>
          <w:highlight w:val="none"/>
        </w:rPr>
        <w:t>、人行道</w:t>
      </w:r>
      <w:r>
        <w:rPr>
          <w:rFonts w:ascii="Arial" w:hAnsi="Arial" w:cs="Arial"/>
          <w:bCs/>
          <w:color w:val="auto"/>
          <w:szCs w:val="21"/>
          <w:highlight w:val="none"/>
        </w:rPr>
        <w:t>等表面</w:t>
      </w:r>
      <w:r>
        <w:rPr>
          <w:rFonts w:ascii="Arial" w:hAnsi="Arial" w:cs="Arial"/>
          <w:bCs/>
          <w:color w:val="auto"/>
          <w:szCs w:val="21"/>
          <w:highlight w:val="none"/>
        </w:rPr>
        <w:t>；</w:t>
      </w:r>
    </w:p>
    <w:p w14:paraId="21BA537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（3）修缮所有损坏、清除所有污迹、替换所有需更换的</w:t>
      </w:r>
      <w:r>
        <w:rPr>
          <w:rFonts w:hint="eastAsia" w:ascii="Arial" w:hAnsi="Arial" w:cs="Arial"/>
          <w:bCs/>
          <w:color w:val="auto"/>
          <w:szCs w:val="21"/>
          <w:highlight w:val="none"/>
        </w:rPr>
        <w:t>现场配套机电设备</w:t>
      </w:r>
      <w:r>
        <w:rPr>
          <w:rFonts w:ascii="Arial" w:hAnsi="Arial" w:cs="Arial"/>
          <w:bCs/>
          <w:color w:val="auto"/>
          <w:szCs w:val="21"/>
          <w:highlight w:val="none"/>
        </w:rPr>
        <w:t>；</w:t>
      </w:r>
    </w:p>
    <w:p w14:paraId="143CF8D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（4）检查和调试所有</w:t>
      </w:r>
      <w:r>
        <w:rPr>
          <w:rFonts w:hint="eastAsia" w:ascii="Arial" w:hAnsi="Arial" w:cs="Arial"/>
          <w:bCs/>
          <w:color w:val="auto"/>
          <w:szCs w:val="21"/>
          <w:highlight w:val="none"/>
        </w:rPr>
        <w:t>运行设备</w:t>
      </w:r>
      <w:r>
        <w:rPr>
          <w:rFonts w:ascii="Arial" w:hAnsi="Arial" w:cs="Arial"/>
          <w:bCs/>
          <w:color w:val="auto"/>
          <w:szCs w:val="21"/>
          <w:highlight w:val="none"/>
        </w:rPr>
        <w:t>；</w:t>
      </w:r>
    </w:p>
    <w:p w14:paraId="06FE515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11.1.2 清理工作所需费用由承包人承担，甲方不再额外支付。</w:t>
      </w:r>
    </w:p>
    <w:p w14:paraId="1B36E9E0">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11.2  竣工验收申请报告</w:t>
      </w:r>
    </w:p>
    <w:p w14:paraId="011D670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11.2.1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2C8A38C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11.2.2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1D22CC3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11.2.3 竣工验收申请</w:t>
      </w:r>
      <w:r>
        <w:rPr>
          <w:rFonts w:ascii="Arial" w:hAnsi="Arial" w:cs="Arial"/>
          <w:bCs/>
          <w:color w:val="auto"/>
          <w:szCs w:val="21"/>
          <w:highlight w:val="none"/>
        </w:rPr>
        <w:t>报告应当按通用合同条款附上下</w:t>
      </w:r>
      <w:r>
        <w:rPr>
          <w:rFonts w:ascii="Arial" w:hAnsi="Arial" w:cs="Arial"/>
          <w:bCs/>
          <w:color w:val="auto"/>
          <w:szCs w:val="21"/>
          <w:highlight w:val="none"/>
        </w:rPr>
        <w:t>列内容：</w:t>
      </w:r>
    </w:p>
    <w:p w14:paraId="089DB7C4">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 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660E880F">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 按合同约定的内容和份数整理的符合要求的竣工资料；</w:t>
      </w:r>
    </w:p>
    <w:p w14:paraId="3BA936E9">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 按监理人的要求编制了在缺陷责任期内完成的尾工（甩项）工程和缺陷修补工作清单以及相应施工计划；</w:t>
      </w:r>
    </w:p>
    <w:p w14:paraId="4E30FC78">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 监理人要求在竣工验收前应完成的其他工作的证明材料；</w:t>
      </w:r>
    </w:p>
    <w:p w14:paraId="5A780052">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（5） 监理人要求提交的竣工验收资料清单；</w:t>
      </w:r>
    </w:p>
    <w:p w14:paraId="162D198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（6） 单位工程竣工验收成果和结论文件；</w:t>
      </w:r>
    </w:p>
    <w:p w14:paraId="455CC98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 质量保修书；</w:t>
      </w:r>
    </w:p>
    <w:p w14:paraId="6C0A6F73">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（8） 其他：</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6D12E12B">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 xml:space="preserve">11.3 竣工清场 </w:t>
      </w:r>
    </w:p>
    <w:p w14:paraId="4C2C00C1">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 xml:space="preserve">11.3.1 监理人颁发（出具）工程接收证书后，承包人应在 </w:t>
      </w:r>
      <w:r>
        <w:rPr>
          <w:rFonts w:hint="eastAsia" w:ascii="Arial" w:hAnsi="Arial" w:cs="Arial"/>
          <w:bCs/>
          <w:color w:val="auto"/>
          <w:szCs w:val="21"/>
          <w:highlight w:val="none"/>
        </w:rPr>
        <w:t>30</w:t>
      </w:r>
      <w:r>
        <w:rPr>
          <w:rFonts w:ascii="Arial" w:hAnsi="Arial" w:cs="Arial"/>
          <w:bCs/>
          <w:color w:val="auto"/>
          <w:szCs w:val="21"/>
          <w:highlight w:val="none"/>
        </w:rPr>
        <w:t>天内按以下要求对施工场地（现场）进行清理：</w:t>
      </w:r>
    </w:p>
    <w:p w14:paraId="666BAE4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 从施工场地（现场）清除所有杂物和垃圾等；</w:t>
      </w:r>
    </w:p>
    <w:p w14:paraId="0B4B2F5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（2） 从施工场地现场拆除所有的临时工程和临时设施并恢复地面原状，但经监理人批准的护坡桩、锚杆、塔吊基础和无法拆除的埋入式模板等无法拆除的临时设施除外；</w:t>
      </w:r>
    </w:p>
    <w:p w14:paraId="0E82BDCE">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（3） 撤离所有承包人施工设备和剩余材料（经监理人同意需在缺陷责任期内继续使用的除外）；</w:t>
      </w:r>
    </w:p>
    <w:p w14:paraId="43DAE72B">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（4） 监理人指示的其他清场工作。</w:t>
      </w:r>
    </w:p>
    <w:p w14:paraId="27378EC0">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12. 特殊技术要求</w:t>
      </w:r>
    </w:p>
    <w:p w14:paraId="1F393E5C">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12.1  新技术、新工艺和新材料</w:t>
      </w:r>
    </w:p>
    <w:p w14:paraId="4B745E67">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12.1.1本工程涉及的新技术、新工艺和新材料及相应</w:t>
      </w:r>
      <w:r>
        <w:rPr>
          <w:rFonts w:ascii="Arial" w:hAnsi="Arial" w:cs="Arial"/>
          <w:bCs/>
          <w:color w:val="auto"/>
          <w:szCs w:val="21"/>
          <w:highlight w:val="none"/>
        </w:rPr>
        <w:t>使用和操作说明如下：鼓励采用有利于环境保护、绿色施工的新型</w:t>
      </w:r>
      <w:r>
        <w:rPr>
          <w:rFonts w:hint="eastAsia" w:ascii="Arial" w:hAnsi="Arial" w:cs="Arial"/>
          <w:bCs/>
          <w:color w:val="auto"/>
          <w:szCs w:val="21"/>
          <w:highlight w:val="none"/>
        </w:rPr>
        <w:t>施工</w:t>
      </w:r>
      <w:r>
        <w:rPr>
          <w:rFonts w:ascii="Arial" w:hAnsi="Arial" w:cs="Arial"/>
          <w:bCs/>
          <w:color w:val="auto"/>
          <w:szCs w:val="21"/>
          <w:highlight w:val="none"/>
        </w:rPr>
        <w:t>材料及成品综合管道支架等技术。</w:t>
      </w:r>
    </w:p>
    <w:p w14:paraId="24D1CC9D">
      <w:pPr>
        <w:pStyle w:val="40"/>
        <w:adjustRightInd w:val="0"/>
        <w:snapToGrid w:val="0"/>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12.2  安全生产信息化技术运用要求</w:t>
      </w:r>
    </w:p>
    <w:p w14:paraId="42CE7960">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12.2.1 采用信息化、智能化手段进行</w:t>
      </w:r>
      <w:r>
        <w:rPr>
          <w:rFonts w:hint="eastAsia" w:ascii="Arial" w:hAnsi="Arial" w:cs="Arial"/>
          <w:bCs/>
          <w:color w:val="auto"/>
          <w:szCs w:val="21"/>
          <w:highlight w:val="none"/>
        </w:rPr>
        <w:t>现场</w:t>
      </w:r>
      <w:r>
        <w:rPr>
          <w:rFonts w:ascii="Arial" w:hAnsi="Arial" w:cs="Arial"/>
          <w:bCs/>
          <w:color w:val="auto"/>
          <w:szCs w:val="21"/>
          <w:highlight w:val="none"/>
        </w:rPr>
        <w:t>安全施工管理，包括以施工现场安全生产管理业务为核心，集成地理信息系统、移动应用系统、图像监控系统为基础，准确、快速收集、处理、存储项目情况、隐患排查、作业监查、危险源预警、应急处置、安全制度普及教育、人员、设备、物料、环境定位和检测、材料质量检测监测等。最终通过图表、仪表等形式呈现为用户终端，包括 PC 端、移动应用端等。</w:t>
      </w:r>
    </w:p>
    <w:p w14:paraId="35E441A5">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12.2.2 投标文件中，投标单位需提交相应文件，反映安全生产信息化实施、应用和管理的方案和内容。</w:t>
      </w:r>
    </w:p>
    <w:p w14:paraId="2AAE60CC">
      <w:pPr>
        <w:pStyle w:val="40"/>
        <w:adjustRightInd w:val="0"/>
        <w:snapToGrid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13. 其他要求：</w:t>
      </w:r>
      <w:r>
        <w:rPr>
          <w:rFonts w:ascii="Arial" w:hAnsi="Arial" w:cs="Arial"/>
          <w:bCs/>
          <w:color w:val="auto"/>
          <w:szCs w:val="21"/>
          <w:highlight w:val="none"/>
          <w:u w:val="single"/>
        </w:rPr>
        <w:t xml:space="preserve">     /     </w:t>
      </w:r>
      <w:r>
        <w:rPr>
          <w:rFonts w:ascii="Arial" w:hAnsi="Arial" w:cs="Arial"/>
          <w:bCs/>
          <w:color w:val="auto"/>
          <w:szCs w:val="21"/>
          <w:highlight w:val="none"/>
        </w:rPr>
        <w:t>。</w:t>
      </w:r>
    </w:p>
    <w:p w14:paraId="04664F58">
      <w:pPr>
        <w:pStyle w:val="47"/>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五、工程管理相关要求</w:t>
      </w:r>
    </w:p>
    <w:p w14:paraId="072829B0">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1.需要进行土方外运的工程项目，中标的施工企业须在合同签订前向招标人提供渣土消纳的有效合同。中标人不能及时提供的，视作无正当理由拒绝签订合同。</w:t>
      </w:r>
    </w:p>
    <w:p w14:paraId="12A2C52E">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2.依据</w:t>
      </w:r>
      <w:r>
        <w:rPr>
          <w:rFonts w:hint="eastAsia" w:ascii="宋体" w:hAnsi="宋体" w:cs="宋体"/>
          <w:color w:val="auto"/>
          <w:highlight w:val="none"/>
          <w:lang w:val="en-US" w:eastAsia="zh-CN"/>
        </w:rPr>
        <w:t>当地</w:t>
      </w:r>
      <w:r>
        <w:rPr>
          <w:rFonts w:hint="eastAsia" w:ascii="宋体" w:hAnsi="宋体" w:cs="宋体"/>
          <w:color w:val="auto"/>
          <w:highlight w:val="none"/>
        </w:rPr>
        <w:t>相关文件要求，施工现场必须安装在线监测系统（必须包括扬尘实时监控设备）。</w:t>
      </w:r>
    </w:p>
    <w:p w14:paraId="036825DB">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4.现场施工项目部设置必须配备：1）现场人脸识别系统；2）标准会议室、招标人、监理、造价咨询机构办公室；3）工人进出健康码检查点及常备防疫物资；4）其余按省、市要求进行布置。</w:t>
      </w:r>
    </w:p>
    <w:p w14:paraId="26E02542">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5.现场临时用房需进行复试验收，规范燃气瓶使用，禁用大功率电器，设置电瓶车集中充电设施。对公共区域内的烟感、宿舍内的USB接口进行安装。定时实施消防演练。</w:t>
      </w:r>
    </w:p>
    <w:p w14:paraId="6D75DD86">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6.现场食堂应有组织的排放污水，食堂应取得餐饮服务许可证，食堂工作人员应持健康证上岗。</w:t>
      </w:r>
    </w:p>
    <w:p w14:paraId="0D55DCCF">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7.施工现场施工段内全封闭施工，并设置渣土冲洗点；余土不得堆置在红线外；裸土要进行覆盖；现场布置增加2幅4×6米效果图，并设置相关警示、告示牌、公示牌，并按招标人要求制作用于工程介绍和展示的展板、效果图等。工地现场门口道闸、联网监控、8米高杆照明灯、减速带、出入口专人管理出入口设置交通维管员，现场应配备保洁人员。</w:t>
      </w:r>
    </w:p>
    <w:p w14:paraId="05AD5202">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8.投标时须在施工方案中编制防汛应急方案及排水方案，备足应急物资，开工前需到相关部门备案，相关费用在投标报价时综合考虑，不另计取。承包人进场前，向发包人递交防汛应急预案。张贴应急场所的指示牌，确保充足的应急物资。</w:t>
      </w:r>
    </w:p>
    <w:p w14:paraId="7E53A84F">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9.桩基施工过程中，临时用电按照最高标准执行，所有桩机必须做好接地线，临时用电缆必须架空；支撑梁必须低噪音拆除，现场塔吊机等机械设备的数量必须满足现场施工要求。</w:t>
      </w:r>
    </w:p>
    <w:p w14:paraId="0B36BAA4">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10.中标人施工过程中应与电力电信管线、绿化迁移等专业施工单位交叉施工单位等密切配合，无偿提供场地条件和施工通道，确保总体项目的施工进度，各投标人充分考虑由此产生的相关配合费用，在投标报价时综合考虑，不另计取。</w:t>
      </w:r>
    </w:p>
    <w:p w14:paraId="6F789DA5">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11.中标人负责施工现场内的临时排水设施，并确保排水畅通，由于本工程施工原因而影响其</w:t>
      </w:r>
      <w:r>
        <w:rPr>
          <w:rFonts w:hint="eastAsia" w:ascii="宋体" w:hAnsi="宋体" w:cs="宋体"/>
          <w:color w:val="auto"/>
          <w:highlight w:val="none"/>
          <w:lang w:val="en-US" w:eastAsia="zh-CN"/>
        </w:rPr>
        <w:t>他</w:t>
      </w:r>
      <w:r>
        <w:rPr>
          <w:rFonts w:hint="eastAsia" w:ascii="宋体" w:hAnsi="宋体" w:cs="宋体"/>
          <w:color w:val="auto"/>
          <w:highlight w:val="none"/>
        </w:rPr>
        <w:t>单位、居民正常排水，应由本工程中标人负责。相关费用在投标报价时综合考虑，不另计取。</w:t>
      </w:r>
    </w:p>
    <w:p w14:paraId="70B99759">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12.安全文明施工</w:t>
      </w:r>
      <w:r>
        <w:rPr>
          <w:rFonts w:hint="eastAsia" w:ascii="宋体" w:hAnsi="宋体" w:cs="宋体"/>
          <w:color w:val="auto"/>
          <w:highlight w:val="none"/>
        </w:rPr>
        <w:t>：按照《营口市建筑工程施工现场文明标准》等有关规定执行，保证施工现场清洁符合环保和文明施工的有关规定。</w:t>
      </w:r>
    </w:p>
    <w:p w14:paraId="42369C14">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13.本工程</w:t>
      </w:r>
      <w:r>
        <w:rPr>
          <w:rFonts w:hint="eastAsia" w:ascii="宋体" w:hAnsi="宋体" w:cs="宋体"/>
          <w:color w:val="auto"/>
          <w:highlight w:val="none"/>
          <w:lang w:val="en-US" w:eastAsia="zh-CN"/>
        </w:rPr>
        <w:t>围挡按当地要求实施</w:t>
      </w:r>
      <w:r>
        <w:rPr>
          <w:rFonts w:hint="eastAsia" w:ascii="宋体" w:hAnsi="宋体" w:cs="宋体"/>
          <w:color w:val="auto"/>
          <w:highlight w:val="none"/>
        </w:rPr>
        <w:t>，围护的材质须固定、新的，现场围护符合围</w:t>
      </w:r>
      <w:r>
        <w:rPr>
          <w:rFonts w:hint="eastAsia" w:ascii="宋体" w:hAnsi="宋体" w:cs="宋体"/>
          <w:color w:val="auto"/>
          <w:highlight w:val="none"/>
          <w:lang w:val="en-US" w:eastAsia="zh-CN"/>
        </w:rPr>
        <w:t>挡</w:t>
      </w:r>
      <w:r>
        <w:rPr>
          <w:rFonts w:hint="eastAsia" w:ascii="宋体" w:hAnsi="宋体" w:cs="宋体"/>
          <w:color w:val="auto"/>
          <w:highlight w:val="none"/>
        </w:rPr>
        <w:t xml:space="preserve">美化的相关要求，相关费用在工程费用投标费率中考虑，已包含在合同总价内，不另行计取。 </w:t>
      </w:r>
    </w:p>
    <w:p w14:paraId="4AD2247E">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14.本项目各专业设计负责人及设计人员投标人员与实际设计人员相符，并根据招标人要求参加工地例会等相关会议。</w:t>
      </w:r>
    </w:p>
    <w:p w14:paraId="3AE62ACD">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15.本项目所有材料采购的品牌都必须经招标人同意认可后方可使用，所选材料必须达到国家规定的环保、绿色、无味要求(板材一律使用EO级、油漆涂料使用绿色环保产品)，如竣工进行室内环境检测达不到要求的，一切责任和费用由承包人承担。</w:t>
      </w:r>
    </w:p>
    <w:p w14:paraId="68A3611C">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16.</w:t>
      </w:r>
      <w:r>
        <w:rPr>
          <w:rFonts w:hint="eastAsia" w:ascii="宋体" w:hAnsi="宋体" w:cs="宋体"/>
          <w:color w:val="auto"/>
          <w:highlight w:val="none"/>
        </w:rPr>
        <w:t>中标单位及其项目负责人应符合《房屋建筑和市政基础设施项目工程总承包管理办法》（建市规【2019】12号）的相关规定，不符合的，招标人有权取消中标人资格。</w:t>
      </w:r>
    </w:p>
    <w:p w14:paraId="78BE0BD8">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17.各工种每道工序施工前必须进行各种技术交底，包括单位工程技术负责人对工长的技术交底，工长对班组长的技术交底，并有交底记录。监理、项目部将不定期对工长和班组长进行技术交底检查。</w:t>
      </w:r>
    </w:p>
    <w:p w14:paraId="444D26A7">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18.现场检查（抽查）如发现有不合格材料或不符合合同要求的材料，已用于工程的全部拆除，还未使用的作退场处理，如发现应进行二次送检的材料而未进行送检直接用于工程上，应立即停止施工，待送检合格后才可使用。</w:t>
      </w:r>
    </w:p>
    <w:p w14:paraId="498A4F3A">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19.监理、项目部检查认定不合格的分项分部工程必须返工，并追究施工单位有关人员责任及承担由此而产生的经济损失。</w:t>
      </w:r>
    </w:p>
    <w:p w14:paraId="7E12D1BC">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20.施工单位主要的分项工程在施工前必须在监理、项目部指定区域做出样板。经监理、项目部等认可并书面出具《工程施工样板确认单》后方能进行大面积施工。</w:t>
      </w:r>
    </w:p>
    <w:p w14:paraId="4833D343">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21.本着谁施工谁负责产品保护，谁损坏产品谁负责赔偿的原则，但各施工单位对成品及半产品进行看管和保护有不可推卸的责任。施工单位施工完的分部、分项工程移交另一施工单位，其成品保护便由另一施工单位负责，同时移交单位负有监管的义务。涉及两家及两家以上单位时，发包方有权利进行责任界定，各承包方必须服从。</w:t>
      </w:r>
    </w:p>
    <w:p w14:paraId="656C5ACF">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22.施工作业人员进入现场必须要戴好安全帽，凡发现在施工现场不戴安全帽者，每人每次罚款人民币500元，该罚金由违规者所在单位支付。</w:t>
      </w:r>
    </w:p>
    <w:p w14:paraId="075E60C5">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23.建立健全门卫、外来人员出入登记、货物出入登记制度。本工地施工人员在现场必须佩戴证明其身份的胸卡。施工现场未经监理、项目部批准的人员一律不准住宿。</w:t>
      </w:r>
    </w:p>
    <w:p w14:paraId="60EC1FD3">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24.施工单位报送施工技术资料文件，统一采用国标标准A4号纸张，特殊情况除外（如文件附图等，但不小于A4号纸张），文件资料格式除特定外，必须按有关规定要求执行。</w:t>
      </w:r>
    </w:p>
    <w:p w14:paraId="79993BF7">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25.在工程最终验收合格之前的整个施工期内，施工单位必须制订并实施一切必要的措施，保证工程现场施工安全（包括施工单位和非施工单位的人员安全）。维护工地正常生产、生活秩序。施工单位在收到中标通知书后7天内，必须将制订的有关安全措施的书面报告项目部和监理批准。安全措施包括（但不仅限于）防洪、防火、防雷、防漏电、救护、警报、治安等。施工单位必须遵守国家颁布的有关安全规程，对于不符合我国法律、法令、安全规程</w:t>
      </w:r>
      <w:r>
        <w:rPr>
          <w:rFonts w:hint="eastAsia" w:ascii="宋体" w:hAnsi="宋体" w:cs="宋体"/>
          <w:color w:val="auto"/>
          <w:highlight w:val="none"/>
          <w:lang w:val="en-US" w:eastAsia="zh-CN"/>
        </w:rPr>
        <w:t>及</w:t>
      </w:r>
      <w:r>
        <w:rPr>
          <w:rFonts w:hint="eastAsia" w:ascii="宋体" w:hAnsi="宋体" w:cs="宋体"/>
          <w:color w:val="auto"/>
          <w:highlight w:val="none"/>
        </w:rPr>
        <w:t>本合同规定的事故隐患，项目部和监理有权进行干涉，若发生重大安全事故施工单位必须在事故发生24小时内向项目部和监理递交事故报告并对事故承担全部责任；</w:t>
      </w:r>
    </w:p>
    <w:p w14:paraId="4CFDDEF2">
      <w:pPr>
        <w:pStyle w:val="47"/>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26.施工质量必须符合设计图纸和国家及当地相应的技术标准的要求，工程竣工验收必须达到相关验收规范要求；同时必须符合我司相关具体规定和要求；</w:t>
      </w:r>
    </w:p>
    <w:p w14:paraId="5049627D">
      <w:pPr>
        <w:pStyle w:val="47"/>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27.承包人不得拖欠农民工工资。承包人应严格按照政府及</w:t>
      </w:r>
      <w:r>
        <w:rPr>
          <w:rFonts w:hint="eastAsia" w:ascii="宋体" w:hAnsi="宋体" w:cs="宋体"/>
          <w:color w:val="auto"/>
          <w:highlight w:val="none"/>
          <w:lang w:val="en-US" w:eastAsia="zh-CN"/>
        </w:rPr>
        <w:t>营口</w:t>
      </w:r>
      <w:r>
        <w:rPr>
          <w:rFonts w:hint="eastAsia" w:ascii="宋体" w:hAnsi="宋体" w:cs="宋体"/>
          <w:color w:val="auto"/>
          <w:highlight w:val="none"/>
        </w:rPr>
        <w:t>市有关管理机构的关于农民工工资管理的规定进行管理。同时提交相应的农民工工资支付管理措施方案，并应组织将劳务支付凭证提交监理及发包人。如果确因承包人的原因导致农民工工资支付不及时，发包人有权要求承包人立即支付相应工资，如承包人仍未及时支付，且由于未及时处理，农民工群体上访并给发包人造成不良影响的情形，一切后果由承包人承担。</w:t>
      </w:r>
    </w:p>
    <w:p w14:paraId="0281631D">
      <w:pPr>
        <w:pStyle w:val="47"/>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28.承包人收取工程进度款的银行账户为指定银行账户，需按发包人要求。</w:t>
      </w:r>
    </w:p>
    <w:p w14:paraId="41D5005F">
      <w:pPr>
        <w:pStyle w:val="47"/>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29.所有进场材料需监理、发包人验收合格后使用。</w:t>
      </w:r>
    </w:p>
    <w:p w14:paraId="3B8FDBA7">
      <w:pPr>
        <w:pStyle w:val="47"/>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30.承包人进行分包单笔金额超过400万需上报发包人内部招标手续。</w:t>
      </w:r>
    </w:p>
    <w:p w14:paraId="2A6E1D13">
      <w:pPr>
        <w:pStyle w:val="44"/>
        <w:widowControl/>
        <w:spacing w:line="360" w:lineRule="auto"/>
        <w:ind w:firstLine="420" w:firstLineChars="200"/>
        <w:jc w:val="left"/>
        <w:rPr>
          <w:color w:val="auto"/>
          <w:highlight w:val="none"/>
        </w:rPr>
      </w:pPr>
      <w:r>
        <w:rPr>
          <w:rFonts w:hint="eastAsia" w:ascii="宋体" w:hAnsi="宋体" w:eastAsia="宋体" w:cs="宋体"/>
          <w:color w:val="auto"/>
          <w:kern w:val="2"/>
          <w:sz w:val="21"/>
          <w:szCs w:val="22"/>
          <w:highlight w:val="none"/>
          <w:lang w:val="en-US" w:eastAsia="zh-CN" w:bidi="ar-SA"/>
        </w:rPr>
        <w:t>31.未经图纸会审的图纸不允许使用。</w:t>
      </w:r>
    </w:p>
    <w:p w14:paraId="28440086">
      <w:pPr>
        <w:rPr>
          <w:rFonts w:hint="eastAsia"/>
          <w:b/>
          <w:color w:val="auto"/>
          <w:sz w:val="30"/>
          <w:szCs w:val="30"/>
          <w:highlight w:val="none"/>
        </w:rPr>
      </w:pPr>
      <w:r>
        <w:rPr>
          <w:rFonts w:hint="eastAsia"/>
          <w:b/>
          <w:color w:val="auto"/>
          <w:sz w:val="30"/>
          <w:szCs w:val="30"/>
          <w:highlight w:val="none"/>
        </w:rPr>
        <w:br w:type="page"/>
      </w:r>
    </w:p>
    <w:p w14:paraId="418CCDD0">
      <w:pPr>
        <w:rPr>
          <w:rFonts w:hint="eastAsia"/>
          <w:color w:val="auto"/>
          <w:highlight w:val="none"/>
        </w:rPr>
      </w:pPr>
      <w:bookmarkStart w:id="2223" w:name="_Toc152264764"/>
      <w:bookmarkStart w:id="2224" w:name="_Toc256000198"/>
    </w:p>
    <w:p w14:paraId="0E0D97EC">
      <w:pPr>
        <w:rPr>
          <w:rFonts w:hint="eastAsia"/>
          <w:color w:val="auto"/>
          <w:highlight w:val="none"/>
        </w:rPr>
      </w:pPr>
    </w:p>
    <w:p w14:paraId="2E97E953">
      <w:pPr>
        <w:rPr>
          <w:rFonts w:hint="eastAsia"/>
          <w:color w:val="auto"/>
          <w:highlight w:val="none"/>
        </w:rPr>
      </w:pPr>
    </w:p>
    <w:p w14:paraId="1294F55B">
      <w:pPr>
        <w:rPr>
          <w:rFonts w:hint="eastAsia"/>
          <w:color w:val="auto"/>
          <w:highlight w:val="none"/>
        </w:rPr>
      </w:pPr>
    </w:p>
    <w:p w14:paraId="5568B022">
      <w:pPr>
        <w:rPr>
          <w:rFonts w:hint="eastAsia"/>
          <w:color w:val="auto"/>
          <w:highlight w:val="none"/>
        </w:rPr>
      </w:pPr>
    </w:p>
    <w:p w14:paraId="466ACA0F">
      <w:pPr>
        <w:rPr>
          <w:rFonts w:hint="eastAsia"/>
          <w:color w:val="auto"/>
          <w:highlight w:val="none"/>
        </w:rPr>
      </w:pPr>
    </w:p>
    <w:p w14:paraId="013B2743">
      <w:pPr>
        <w:rPr>
          <w:rFonts w:hint="eastAsia"/>
          <w:color w:val="auto"/>
          <w:highlight w:val="none"/>
        </w:rPr>
      </w:pPr>
    </w:p>
    <w:p w14:paraId="7BFDF4F8">
      <w:pPr>
        <w:rPr>
          <w:rFonts w:hint="eastAsia"/>
          <w:color w:val="auto"/>
          <w:highlight w:val="none"/>
        </w:rPr>
      </w:pPr>
    </w:p>
    <w:p w14:paraId="7F00F223">
      <w:pPr>
        <w:rPr>
          <w:rFonts w:hint="eastAsia"/>
          <w:color w:val="auto"/>
          <w:highlight w:val="none"/>
        </w:rPr>
      </w:pPr>
    </w:p>
    <w:p w14:paraId="48BBF16F">
      <w:pPr>
        <w:rPr>
          <w:rFonts w:hint="eastAsia"/>
          <w:color w:val="auto"/>
          <w:highlight w:val="none"/>
        </w:rPr>
      </w:pPr>
    </w:p>
    <w:p w14:paraId="36A7EC29">
      <w:pPr>
        <w:rPr>
          <w:rFonts w:hint="eastAsia"/>
          <w:color w:val="auto"/>
          <w:highlight w:val="none"/>
        </w:rPr>
      </w:pPr>
    </w:p>
    <w:p w14:paraId="4F87C2A8">
      <w:pPr>
        <w:rPr>
          <w:rFonts w:hint="eastAsia"/>
          <w:color w:val="auto"/>
          <w:highlight w:val="none"/>
        </w:rPr>
      </w:pPr>
    </w:p>
    <w:p w14:paraId="6092AD11">
      <w:pPr>
        <w:rPr>
          <w:rFonts w:hint="eastAsia"/>
          <w:color w:val="auto"/>
          <w:highlight w:val="none"/>
        </w:rPr>
      </w:pPr>
    </w:p>
    <w:p w14:paraId="666C3D49">
      <w:pPr>
        <w:rPr>
          <w:rFonts w:hint="eastAsia"/>
          <w:color w:val="auto"/>
          <w:highlight w:val="none"/>
        </w:rPr>
      </w:pPr>
    </w:p>
    <w:p w14:paraId="21417E5A">
      <w:pPr>
        <w:rPr>
          <w:rFonts w:hint="eastAsia"/>
          <w:color w:val="auto"/>
          <w:highlight w:val="none"/>
        </w:rPr>
      </w:pPr>
    </w:p>
    <w:p w14:paraId="69DBD90D">
      <w:pPr>
        <w:pStyle w:val="2"/>
        <w:spacing w:before="120" w:after="120" w:line="400" w:lineRule="exact"/>
        <w:jc w:val="center"/>
        <w:rPr>
          <w:rFonts w:hint="default" w:ascii="黑体" w:hAnsi="黑体" w:eastAsia="黑体"/>
          <w:b w:val="0"/>
          <w:bCs w:val="0"/>
          <w:color w:val="auto"/>
          <w:sz w:val="32"/>
          <w:highlight w:val="none"/>
          <w:lang w:val="en-US" w:eastAsia="zh-CN"/>
        </w:rPr>
      </w:pPr>
      <w:r>
        <w:rPr>
          <w:rFonts w:hint="eastAsia"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六</w:t>
      </w:r>
      <w:r>
        <w:rPr>
          <w:rFonts w:hint="eastAsia" w:ascii="黑体" w:hAnsi="黑体" w:eastAsia="黑体"/>
          <w:b w:val="0"/>
          <w:bCs w:val="0"/>
          <w:color w:val="auto"/>
          <w:sz w:val="32"/>
          <w:highlight w:val="none"/>
        </w:rPr>
        <w:t xml:space="preserve">章  </w:t>
      </w:r>
      <w:bookmarkEnd w:id="2223"/>
      <w:r>
        <w:rPr>
          <w:rFonts w:hint="eastAsia" w:ascii="黑体" w:hAnsi="黑体" w:eastAsia="黑体"/>
          <w:b w:val="0"/>
          <w:bCs w:val="0"/>
          <w:color w:val="auto"/>
          <w:sz w:val="32"/>
          <w:highlight w:val="none"/>
          <w:lang w:val="en-US" w:eastAsia="zh-CN"/>
        </w:rPr>
        <w:t>发包人提供的材料</w:t>
      </w:r>
      <w:bookmarkEnd w:id="2224"/>
    </w:p>
    <w:p w14:paraId="553B0609">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310C6B">
      <w:pPr>
        <w:keepNext w:val="0"/>
        <w:keepLines w:val="0"/>
        <w:pageBreakBefore w:val="0"/>
        <w:kinsoku/>
        <w:wordWrap/>
        <w:overflowPunct/>
        <w:topLinePunct w:val="0"/>
        <w:bidi w:val="0"/>
        <w:spacing w:line="360" w:lineRule="auto"/>
        <w:jc w:val="center"/>
        <w:textAlignment w:val="auto"/>
        <w:rPr>
          <w:rFonts w:hint="eastAsia"/>
          <w:b/>
          <w:bCs/>
          <w:color w:val="auto"/>
          <w:sz w:val="30"/>
          <w:szCs w:val="30"/>
          <w:highlight w:val="none"/>
          <w:u w:val="none"/>
        </w:rPr>
      </w:pPr>
      <w:r>
        <w:rPr>
          <w:rFonts w:hint="eastAsia"/>
          <w:b/>
          <w:bCs/>
          <w:color w:val="auto"/>
          <w:sz w:val="30"/>
          <w:szCs w:val="30"/>
          <w:highlight w:val="none"/>
          <w:u w:val="none"/>
          <w:lang w:val="en-US" w:eastAsia="zh-CN"/>
        </w:rPr>
        <w:t>发包人提供的资料</w:t>
      </w:r>
    </w:p>
    <w:p w14:paraId="6601E25E">
      <w:pPr>
        <w:keepNext w:val="0"/>
        <w:keepLines w:val="0"/>
        <w:pageBreakBefore w:val="0"/>
        <w:kinsoku/>
        <w:wordWrap/>
        <w:overflowPunct/>
        <w:topLinePunct w:val="0"/>
        <w:bidi w:val="0"/>
        <w:spacing w:line="360" w:lineRule="auto"/>
        <w:jc w:val="center"/>
        <w:textAlignment w:val="auto"/>
        <w:rPr>
          <w:rFonts w:hint="eastAsia"/>
          <w:b/>
          <w:bCs/>
          <w:color w:val="auto"/>
          <w:sz w:val="30"/>
          <w:szCs w:val="30"/>
          <w:highlight w:val="none"/>
          <w:u w:val="none"/>
        </w:rPr>
      </w:pPr>
    </w:p>
    <w:p w14:paraId="407E66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b/>
          <w:bCs/>
          <w:color w:val="auto"/>
          <w:sz w:val="21"/>
          <w:szCs w:val="21"/>
          <w:highlight w:val="none"/>
        </w:rPr>
      </w:pPr>
      <w:r>
        <w:rPr>
          <w:rFonts w:hint="eastAsia" w:ascii="宋体" w:hAnsi="宋体" w:cs="宋体"/>
          <w:b w:val="0"/>
          <w:bCs/>
          <w:color w:val="auto"/>
          <w:sz w:val="21"/>
          <w:szCs w:val="21"/>
          <w:highlight w:val="none"/>
        </w:rPr>
        <w:t>投标人下载招标文件后，法定代表人或授权委托人应持下载招标文件证明资料到招标人单位处借阅</w:t>
      </w:r>
      <w:r>
        <w:rPr>
          <w:rFonts w:hint="eastAsia"/>
          <w:color w:val="auto"/>
          <w:highlight w:val="none"/>
        </w:rPr>
        <w:t>《</w:t>
      </w:r>
      <w:r>
        <w:rPr>
          <w:rFonts w:hint="eastAsia"/>
          <w:color w:val="auto"/>
          <w:highlight w:val="none"/>
        </w:rPr>
        <w:t>营口国盛轩宇产业开发建设有限公司清洁能源高端装备制造产业基地基础设施配套项目初步设计</w:t>
      </w:r>
      <w:r>
        <w:rPr>
          <w:rFonts w:hint="eastAsia"/>
          <w:color w:val="auto"/>
          <w:highlight w:val="none"/>
        </w:rPr>
        <w:t>》等资料</w:t>
      </w:r>
      <w:r>
        <w:rPr>
          <w:rFonts w:hint="eastAsia" w:ascii="宋体" w:hAnsi="宋体" w:cs="宋体"/>
          <w:b w:val="0"/>
          <w:bCs/>
          <w:color w:val="auto"/>
          <w:sz w:val="21"/>
          <w:szCs w:val="21"/>
          <w:highlight w:val="none"/>
        </w:rPr>
        <w:t>，押金 500元/套，</w:t>
      </w:r>
      <w:r>
        <w:rPr>
          <w:rFonts w:hint="eastAsia" w:ascii="宋体" w:hAnsi="宋体" w:cs="宋体"/>
          <w:b w:val="0"/>
          <w:bCs/>
          <w:color w:val="auto"/>
          <w:sz w:val="21"/>
          <w:szCs w:val="21"/>
          <w:highlight w:val="none"/>
          <w:lang w:val="en-US" w:eastAsia="zh-CN"/>
        </w:rPr>
        <w:t>因本项目涉及商业秘密，</w:t>
      </w:r>
      <w:r>
        <w:rPr>
          <w:rFonts w:hint="eastAsia" w:ascii="宋体" w:hAnsi="宋体" w:cs="宋体"/>
          <w:b w:val="0"/>
          <w:bCs/>
          <w:color w:val="auto"/>
          <w:sz w:val="21"/>
          <w:szCs w:val="21"/>
          <w:highlight w:val="none"/>
        </w:rPr>
        <w:t>同时现场签订保密协议。如投标人因未借阅</w:t>
      </w:r>
      <w:r>
        <w:rPr>
          <w:rFonts w:hint="eastAsia"/>
          <w:color w:val="auto"/>
          <w:highlight w:val="none"/>
        </w:rPr>
        <w:t>《</w:t>
      </w:r>
      <w:r>
        <w:rPr>
          <w:rFonts w:hint="eastAsia"/>
          <w:color w:val="auto"/>
          <w:highlight w:val="none"/>
        </w:rPr>
        <w:t>营口国盛轩宇产业开发建设有限公司清洁能源高端装备制造产业基地基础设施配套项目初步设计</w:t>
      </w:r>
      <w:r>
        <w:rPr>
          <w:rFonts w:hint="eastAsia"/>
          <w:color w:val="auto"/>
          <w:highlight w:val="none"/>
        </w:rPr>
        <w:t>》等资料</w:t>
      </w:r>
      <w:r>
        <w:rPr>
          <w:rFonts w:hint="eastAsia" w:ascii="宋体" w:hAnsi="宋体" w:cs="宋体"/>
          <w:b w:val="0"/>
          <w:bCs/>
          <w:color w:val="auto"/>
          <w:sz w:val="21"/>
          <w:szCs w:val="21"/>
          <w:highlight w:val="none"/>
        </w:rPr>
        <w:t>，而造成的承包人建议书未通过评审的后果由投标人自行承担。</w:t>
      </w:r>
    </w:p>
    <w:p w14:paraId="77101837">
      <w:pPr>
        <w:rPr>
          <w:rFonts w:hint="eastAsia"/>
          <w:color w:val="auto"/>
          <w:highlight w:val="none"/>
        </w:rPr>
      </w:pPr>
      <w:bookmarkStart w:id="2225" w:name="_Toc256000199"/>
      <w:bookmarkStart w:id="2226" w:name="_Toc122603041"/>
    </w:p>
    <w:p w14:paraId="707D7680">
      <w:pPr>
        <w:rPr>
          <w:rFonts w:hint="eastAsia"/>
          <w:color w:val="auto"/>
          <w:highlight w:val="none"/>
        </w:rPr>
      </w:pPr>
    </w:p>
    <w:p w14:paraId="5C82DC10">
      <w:pPr>
        <w:rPr>
          <w:rFonts w:hint="eastAsia"/>
          <w:color w:val="auto"/>
          <w:highlight w:val="none"/>
        </w:rPr>
      </w:pPr>
    </w:p>
    <w:p w14:paraId="0EF242AC">
      <w:pPr>
        <w:rPr>
          <w:rFonts w:hint="eastAsia"/>
          <w:color w:val="auto"/>
          <w:highlight w:val="none"/>
        </w:rPr>
      </w:pPr>
    </w:p>
    <w:p w14:paraId="09CB7B96">
      <w:pPr>
        <w:rPr>
          <w:rFonts w:hint="eastAsia"/>
          <w:color w:val="auto"/>
          <w:highlight w:val="none"/>
        </w:rPr>
      </w:pPr>
    </w:p>
    <w:p w14:paraId="43546179">
      <w:pPr>
        <w:rPr>
          <w:rFonts w:hint="eastAsia"/>
          <w:color w:val="auto"/>
          <w:highlight w:val="none"/>
        </w:rPr>
      </w:pPr>
    </w:p>
    <w:p w14:paraId="00D9CBFD">
      <w:pPr>
        <w:rPr>
          <w:rFonts w:hint="eastAsia"/>
          <w:color w:val="auto"/>
          <w:highlight w:val="none"/>
        </w:rPr>
      </w:pPr>
    </w:p>
    <w:p w14:paraId="75D18609">
      <w:pPr>
        <w:rPr>
          <w:rFonts w:hint="eastAsia"/>
          <w:color w:val="auto"/>
          <w:highlight w:val="none"/>
        </w:rPr>
      </w:pPr>
    </w:p>
    <w:p w14:paraId="29649B09">
      <w:pPr>
        <w:rPr>
          <w:rFonts w:hint="eastAsia"/>
          <w:color w:val="auto"/>
          <w:highlight w:val="none"/>
        </w:rPr>
      </w:pPr>
    </w:p>
    <w:p w14:paraId="5804B6F2">
      <w:pPr>
        <w:rPr>
          <w:rFonts w:hint="eastAsia"/>
          <w:color w:val="auto"/>
          <w:highlight w:val="none"/>
        </w:rPr>
      </w:pPr>
    </w:p>
    <w:p w14:paraId="2B472A7F">
      <w:pPr>
        <w:rPr>
          <w:rFonts w:hint="eastAsia"/>
          <w:color w:val="auto"/>
          <w:highlight w:val="none"/>
        </w:rPr>
      </w:pPr>
    </w:p>
    <w:p w14:paraId="0FBC089A">
      <w:pPr>
        <w:rPr>
          <w:rFonts w:hint="eastAsia"/>
          <w:color w:val="auto"/>
          <w:highlight w:val="none"/>
        </w:rPr>
      </w:pPr>
    </w:p>
    <w:p w14:paraId="6B0237CD">
      <w:pPr>
        <w:rPr>
          <w:rFonts w:hint="eastAsia"/>
          <w:color w:val="auto"/>
          <w:highlight w:val="none"/>
        </w:rPr>
      </w:pPr>
    </w:p>
    <w:p w14:paraId="3627873A">
      <w:pPr>
        <w:rPr>
          <w:rFonts w:hint="eastAsia"/>
          <w:color w:val="auto"/>
          <w:highlight w:val="none"/>
        </w:rPr>
      </w:pPr>
    </w:p>
    <w:p w14:paraId="28DA7706">
      <w:pPr>
        <w:rPr>
          <w:rFonts w:hint="eastAsia"/>
          <w:color w:val="auto"/>
          <w:highlight w:val="none"/>
        </w:rPr>
      </w:pPr>
    </w:p>
    <w:p w14:paraId="30E01D32">
      <w:pPr>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br w:type="page"/>
      </w:r>
    </w:p>
    <w:p w14:paraId="19DE1855">
      <w:pPr>
        <w:pStyle w:val="2"/>
        <w:spacing w:before="120" w:after="120" w:line="400" w:lineRule="exact"/>
        <w:jc w:val="center"/>
        <w:rPr>
          <w:rFonts w:hint="eastAsia" w:ascii="黑体" w:hAnsi="黑体" w:eastAsia="黑体"/>
          <w:b w:val="0"/>
          <w:bCs w:val="0"/>
          <w:color w:val="auto"/>
          <w:sz w:val="48"/>
          <w:szCs w:val="48"/>
          <w:highlight w:val="none"/>
        </w:rPr>
      </w:pPr>
    </w:p>
    <w:p w14:paraId="39D42C1C">
      <w:pPr>
        <w:pStyle w:val="2"/>
        <w:spacing w:before="120" w:after="120" w:line="400" w:lineRule="exact"/>
        <w:jc w:val="center"/>
        <w:rPr>
          <w:rFonts w:hint="eastAsia" w:ascii="黑体" w:hAnsi="黑体" w:eastAsia="黑体"/>
          <w:b w:val="0"/>
          <w:bCs w:val="0"/>
          <w:color w:val="auto"/>
          <w:sz w:val="48"/>
          <w:szCs w:val="48"/>
          <w:highlight w:val="none"/>
        </w:rPr>
      </w:pPr>
    </w:p>
    <w:p w14:paraId="1B7DA553">
      <w:pPr>
        <w:pStyle w:val="2"/>
        <w:spacing w:before="120" w:after="120" w:line="400" w:lineRule="exact"/>
        <w:jc w:val="center"/>
        <w:rPr>
          <w:rFonts w:hint="eastAsia" w:ascii="黑体" w:hAnsi="黑体" w:eastAsia="黑体"/>
          <w:b w:val="0"/>
          <w:bCs w:val="0"/>
          <w:color w:val="auto"/>
          <w:sz w:val="48"/>
          <w:szCs w:val="48"/>
          <w:highlight w:val="none"/>
        </w:rPr>
      </w:pPr>
    </w:p>
    <w:p w14:paraId="630D2585">
      <w:pPr>
        <w:pStyle w:val="2"/>
        <w:spacing w:before="120" w:after="120" w:line="400" w:lineRule="exact"/>
        <w:jc w:val="center"/>
        <w:rPr>
          <w:rFonts w:hint="eastAsia" w:ascii="黑体" w:hAnsi="黑体" w:eastAsia="黑体"/>
          <w:b w:val="0"/>
          <w:bCs w:val="0"/>
          <w:color w:val="auto"/>
          <w:sz w:val="48"/>
          <w:szCs w:val="48"/>
          <w:highlight w:val="none"/>
        </w:rPr>
      </w:pPr>
    </w:p>
    <w:p w14:paraId="5A9E8367">
      <w:pPr>
        <w:pStyle w:val="2"/>
        <w:spacing w:before="120" w:after="120" w:line="400" w:lineRule="exact"/>
        <w:jc w:val="center"/>
        <w:rPr>
          <w:rFonts w:hint="eastAsia" w:ascii="黑体" w:hAnsi="黑体" w:eastAsia="黑体"/>
          <w:b w:val="0"/>
          <w:bCs w:val="0"/>
          <w:color w:val="auto"/>
          <w:sz w:val="48"/>
          <w:szCs w:val="48"/>
          <w:highlight w:val="none"/>
        </w:rPr>
      </w:pPr>
    </w:p>
    <w:p w14:paraId="6690FE88">
      <w:pPr>
        <w:pStyle w:val="2"/>
        <w:spacing w:before="120" w:after="120" w:line="400" w:lineRule="exact"/>
        <w:jc w:val="center"/>
        <w:rPr>
          <w:rFonts w:hint="eastAsia" w:ascii="黑体" w:hAnsi="黑体" w:eastAsia="黑体"/>
          <w:b w:val="0"/>
          <w:bCs w:val="0"/>
          <w:color w:val="auto"/>
          <w:sz w:val="48"/>
          <w:szCs w:val="48"/>
          <w:highlight w:val="none"/>
        </w:rPr>
      </w:pPr>
    </w:p>
    <w:p w14:paraId="050F823D">
      <w:pPr>
        <w:pStyle w:val="2"/>
        <w:spacing w:before="120" w:after="120" w:line="400" w:lineRule="exact"/>
        <w:jc w:val="center"/>
        <w:rPr>
          <w:rFonts w:hint="eastAsia" w:ascii="黑体" w:hAnsi="黑体" w:eastAsia="黑体"/>
          <w:b w:val="0"/>
          <w:bCs w:val="0"/>
          <w:color w:val="auto"/>
          <w:sz w:val="48"/>
          <w:szCs w:val="48"/>
          <w:highlight w:val="none"/>
        </w:rPr>
      </w:pPr>
    </w:p>
    <w:p w14:paraId="5E3BB22A">
      <w:pPr>
        <w:pStyle w:val="2"/>
        <w:spacing w:before="120" w:after="120" w:line="400" w:lineRule="exact"/>
        <w:jc w:val="center"/>
        <w:rPr>
          <w:rFonts w:hint="eastAsia" w:ascii="黑体" w:hAnsi="黑体" w:eastAsia="黑体"/>
          <w:b w:val="0"/>
          <w:bCs w:val="0"/>
          <w:color w:val="auto"/>
          <w:sz w:val="48"/>
          <w:szCs w:val="48"/>
          <w:highlight w:val="none"/>
        </w:rPr>
      </w:pPr>
    </w:p>
    <w:p w14:paraId="044BA4E7">
      <w:pPr>
        <w:pStyle w:val="2"/>
        <w:spacing w:before="120" w:after="120" w:line="400" w:lineRule="exact"/>
        <w:jc w:val="center"/>
        <w:rPr>
          <w:rFonts w:hint="eastAsia" w:ascii="黑体" w:hAnsi="黑体" w:eastAsia="黑体"/>
          <w:b w:val="0"/>
          <w:bCs w:val="0"/>
          <w:color w:val="auto"/>
          <w:sz w:val="48"/>
          <w:szCs w:val="48"/>
          <w:highlight w:val="none"/>
        </w:rPr>
      </w:pPr>
    </w:p>
    <w:p w14:paraId="361B4D5E">
      <w:pPr>
        <w:pStyle w:val="2"/>
        <w:spacing w:before="120" w:after="120" w:line="400" w:lineRule="exact"/>
        <w:jc w:val="center"/>
        <w:rPr>
          <w:rFonts w:hint="eastAsia" w:ascii="黑体" w:hAnsi="黑体" w:eastAsia="黑体"/>
          <w:b w:val="0"/>
          <w:bCs w:val="0"/>
          <w:color w:val="auto"/>
          <w:sz w:val="48"/>
          <w:szCs w:val="48"/>
          <w:highlight w:val="none"/>
        </w:rPr>
      </w:pPr>
    </w:p>
    <w:p w14:paraId="2E98EB3F">
      <w:pPr>
        <w:pStyle w:val="2"/>
        <w:keepNext/>
        <w:keepLines/>
        <w:pageBreakBefore w:val="0"/>
        <w:widowControl w:val="0"/>
        <w:kinsoku/>
        <w:wordWrap/>
        <w:overflowPunct/>
        <w:topLinePunct w:val="0"/>
        <w:autoSpaceDE/>
        <w:autoSpaceDN/>
        <w:bidi w:val="0"/>
        <w:adjustRightInd/>
        <w:snapToGrid/>
        <w:spacing w:before="120" w:after="120" w:line="600" w:lineRule="exact"/>
        <w:jc w:val="center"/>
        <w:textAlignment w:val="auto"/>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t>第三卷</w:t>
      </w:r>
      <w:bookmarkEnd w:id="2225"/>
      <w:bookmarkEnd w:id="2226"/>
    </w:p>
    <w:p w14:paraId="35F89576">
      <w:pPr>
        <w:jc w:val="center"/>
        <w:rPr>
          <w:rFonts w:hint="eastAsia" w:ascii="黑体" w:eastAsia="黑体"/>
          <w:color w:val="auto"/>
          <w:sz w:val="32"/>
          <w:szCs w:val="32"/>
          <w:highlight w:val="none"/>
        </w:rPr>
      </w:pPr>
    </w:p>
    <w:p w14:paraId="7CB4E276">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E49162">
      <w:pPr>
        <w:rPr>
          <w:rFonts w:hint="eastAsia"/>
          <w:color w:val="auto"/>
          <w:highlight w:val="none"/>
        </w:rPr>
      </w:pPr>
      <w:bookmarkStart w:id="2227" w:name="_Toc256000200"/>
    </w:p>
    <w:p w14:paraId="4FE13545">
      <w:pPr>
        <w:rPr>
          <w:rFonts w:hint="eastAsia"/>
          <w:color w:val="auto"/>
          <w:highlight w:val="none"/>
        </w:rPr>
      </w:pPr>
    </w:p>
    <w:p w14:paraId="536DF79D">
      <w:pPr>
        <w:rPr>
          <w:rFonts w:hint="eastAsia"/>
          <w:color w:val="auto"/>
          <w:highlight w:val="none"/>
        </w:rPr>
      </w:pPr>
    </w:p>
    <w:p w14:paraId="25E6F3D6">
      <w:pPr>
        <w:rPr>
          <w:rFonts w:hint="eastAsia"/>
          <w:color w:val="auto"/>
          <w:highlight w:val="none"/>
        </w:rPr>
      </w:pPr>
    </w:p>
    <w:p w14:paraId="565D6BEA">
      <w:pPr>
        <w:rPr>
          <w:rFonts w:hint="eastAsia"/>
          <w:color w:val="auto"/>
          <w:highlight w:val="none"/>
        </w:rPr>
      </w:pPr>
    </w:p>
    <w:p w14:paraId="0D5F9D2F">
      <w:pPr>
        <w:rPr>
          <w:rFonts w:hint="eastAsia"/>
          <w:color w:val="auto"/>
          <w:highlight w:val="none"/>
        </w:rPr>
      </w:pPr>
    </w:p>
    <w:p w14:paraId="3C2F85B9">
      <w:pPr>
        <w:rPr>
          <w:rFonts w:hint="eastAsia"/>
          <w:color w:val="auto"/>
          <w:highlight w:val="none"/>
        </w:rPr>
      </w:pPr>
    </w:p>
    <w:p w14:paraId="4809678B">
      <w:pPr>
        <w:rPr>
          <w:rFonts w:hint="eastAsia"/>
          <w:color w:val="auto"/>
          <w:highlight w:val="none"/>
        </w:rPr>
      </w:pPr>
    </w:p>
    <w:p w14:paraId="127B8A22">
      <w:pPr>
        <w:rPr>
          <w:rFonts w:hint="eastAsia"/>
          <w:color w:val="auto"/>
          <w:highlight w:val="none"/>
        </w:rPr>
      </w:pPr>
    </w:p>
    <w:p w14:paraId="15C1E648">
      <w:pPr>
        <w:rPr>
          <w:rFonts w:hint="eastAsia"/>
          <w:color w:val="auto"/>
          <w:highlight w:val="none"/>
        </w:rPr>
      </w:pPr>
    </w:p>
    <w:p w14:paraId="0230FB57">
      <w:pPr>
        <w:rPr>
          <w:rFonts w:hint="eastAsia"/>
          <w:color w:val="auto"/>
          <w:highlight w:val="none"/>
        </w:rPr>
      </w:pPr>
    </w:p>
    <w:p w14:paraId="177D476B">
      <w:pPr>
        <w:rPr>
          <w:rFonts w:hint="eastAsia"/>
          <w:color w:val="auto"/>
          <w:highlight w:val="none"/>
        </w:rPr>
      </w:pPr>
    </w:p>
    <w:p w14:paraId="31834E05">
      <w:pPr>
        <w:rPr>
          <w:rFonts w:hint="eastAsia"/>
          <w:color w:val="auto"/>
          <w:highlight w:val="none"/>
        </w:rPr>
      </w:pPr>
    </w:p>
    <w:p w14:paraId="7C9E8F5A">
      <w:pPr>
        <w:rPr>
          <w:rFonts w:hint="eastAsia"/>
          <w:color w:val="auto"/>
          <w:highlight w:val="none"/>
        </w:rPr>
      </w:pPr>
    </w:p>
    <w:p w14:paraId="61E3B410">
      <w:pPr>
        <w:rPr>
          <w:rFonts w:hint="eastAsia"/>
          <w:color w:val="auto"/>
          <w:highlight w:val="none"/>
        </w:rPr>
      </w:pPr>
      <w:bookmarkStart w:id="2306" w:name="_GoBack"/>
      <w:bookmarkEnd w:id="2306"/>
    </w:p>
    <w:p w14:paraId="1F298DAD">
      <w:pPr>
        <w:rPr>
          <w:rFonts w:hint="eastAsia"/>
          <w:color w:val="auto"/>
          <w:highlight w:val="none"/>
        </w:rPr>
      </w:pPr>
    </w:p>
    <w:p w14:paraId="0A43C502">
      <w:pPr>
        <w:rPr>
          <w:rFonts w:hint="eastAsia"/>
          <w:color w:val="auto"/>
          <w:highlight w:val="none"/>
        </w:rPr>
      </w:pPr>
    </w:p>
    <w:p w14:paraId="5C2256AE">
      <w:pPr>
        <w:pStyle w:val="2"/>
        <w:widowControl/>
        <w:spacing w:before="120" w:beforeAutospacing="0" w:after="120" w:afterAutospacing="0" w:line="400" w:lineRule="exact"/>
        <w:jc w:val="center"/>
        <w:rPr>
          <w:color w:val="auto"/>
          <w:highlight w:val="none"/>
        </w:rPr>
        <w:sectPr>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黑体" w:hAnsi="宋体" w:eastAsia="黑体" w:cs="黑体"/>
          <w:b w:val="0"/>
          <w:bCs w:val="0"/>
          <w:color w:val="auto"/>
          <w:kern w:val="44"/>
          <w:sz w:val="32"/>
          <w:szCs w:val="32"/>
          <w:highlight w:val="none"/>
        </w:rPr>
        <w:t>第</w:t>
      </w:r>
      <w:r>
        <w:rPr>
          <w:rFonts w:hint="eastAsia" w:ascii="黑体" w:hAnsi="宋体" w:eastAsia="黑体" w:cs="黑体"/>
          <w:b w:val="0"/>
          <w:bCs w:val="0"/>
          <w:color w:val="auto"/>
          <w:kern w:val="44"/>
          <w:sz w:val="32"/>
          <w:szCs w:val="32"/>
          <w:highlight w:val="none"/>
          <w:lang w:val="en-US" w:eastAsia="zh-CN"/>
        </w:rPr>
        <w:t>七</w:t>
      </w:r>
      <w:r>
        <w:rPr>
          <w:rFonts w:hint="default" w:ascii="黑体" w:hAnsi="宋体" w:eastAsia="黑体" w:cs="黑体"/>
          <w:b w:val="0"/>
          <w:bCs w:val="0"/>
          <w:color w:val="auto"/>
          <w:kern w:val="44"/>
          <w:sz w:val="32"/>
          <w:szCs w:val="32"/>
          <w:highlight w:val="none"/>
        </w:rPr>
        <w:t>章  投标文件格式</w:t>
      </w:r>
      <w:bookmarkEnd w:id="2227"/>
    </w:p>
    <w:p w14:paraId="36EF4094">
      <w:pPr>
        <w:rPr>
          <w:rFonts w:hint="eastAsia" w:ascii="黑体" w:eastAsia="黑体"/>
          <w:color w:val="auto"/>
          <w:sz w:val="32"/>
          <w:szCs w:val="32"/>
          <w:highlight w:val="none"/>
        </w:rPr>
      </w:pPr>
    </w:p>
    <w:p w14:paraId="35DD0FF2">
      <w:pPr>
        <w:rPr>
          <w:rFonts w:hint="eastAsia" w:ascii="黑体" w:eastAsia="黑体"/>
          <w:color w:val="auto"/>
          <w:sz w:val="32"/>
          <w:szCs w:val="32"/>
          <w:highlight w:val="none"/>
        </w:rPr>
      </w:pPr>
    </w:p>
    <w:p w14:paraId="5E45AD73">
      <w:pPr>
        <w:jc w:val="center"/>
        <w:rPr>
          <w:rFonts w:hint="eastAsia"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05CC0979">
      <w:pPr>
        <w:spacing w:before="312" w:beforeLines="100"/>
        <w:jc w:val="center"/>
        <w:rPr>
          <w:rFonts w:hint="eastAsia" w:ascii="黑体" w:eastAsia="黑体"/>
          <w:color w:val="auto"/>
          <w:sz w:val="44"/>
          <w:szCs w:val="44"/>
          <w:highlight w:val="none"/>
        </w:rPr>
      </w:pPr>
      <w:r>
        <w:rPr>
          <w:rFonts w:hint="eastAsia" w:ascii="黑体" w:eastAsia="黑体"/>
          <w:color w:val="auto"/>
          <w:sz w:val="44"/>
          <w:szCs w:val="44"/>
          <w:highlight w:val="none"/>
        </w:rPr>
        <w:t>投  标  文  件</w:t>
      </w:r>
    </w:p>
    <w:p w14:paraId="47CAC6BB">
      <w:pPr>
        <w:jc w:val="center"/>
        <w:rPr>
          <w:rFonts w:hint="eastAsia" w:ascii="黑体" w:eastAsia="黑体"/>
          <w:color w:val="auto"/>
          <w:sz w:val="32"/>
          <w:szCs w:val="32"/>
          <w:highlight w:val="none"/>
        </w:rPr>
      </w:pPr>
    </w:p>
    <w:p w14:paraId="3C0166B7">
      <w:pPr>
        <w:jc w:val="center"/>
        <w:rPr>
          <w:rFonts w:hint="eastAsia" w:ascii="黑体" w:eastAsia="黑体"/>
          <w:color w:val="auto"/>
          <w:sz w:val="32"/>
          <w:szCs w:val="32"/>
          <w:highlight w:val="none"/>
        </w:rPr>
      </w:pPr>
    </w:p>
    <w:p w14:paraId="41FF4CB5">
      <w:pPr>
        <w:jc w:val="center"/>
        <w:rPr>
          <w:rFonts w:hint="eastAsia"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7295B6E5">
      <w:pPr>
        <w:jc w:val="center"/>
        <w:rPr>
          <w:rFonts w:hint="eastAsia"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34A00AA9">
      <w:pPr>
        <w:jc w:val="center"/>
        <w:rPr>
          <w:rFonts w:hint="eastAsia" w:ascii="黑体" w:eastAsia="黑体"/>
          <w:color w:val="auto"/>
          <w:sz w:val="32"/>
          <w:szCs w:val="32"/>
          <w:highlight w:val="none"/>
        </w:rPr>
      </w:pPr>
    </w:p>
    <w:p w14:paraId="70F5F011">
      <w:pPr>
        <w:jc w:val="center"/>
        <w:rPr>
          <w:rFonts w:hint="eastAsia" w:ascii="黑体" w:eastAsia="黑体"/>
          <w:color w:val="auto"/>
          <w:sz w:val="32"/>
          <w:szCs w:val="32"/>
          <w:highlight w:val="none"/>
        </w:rPr>
      </w:pPr>
    </w:p>
    <w:p w14:paraId="467FDB77">
      <w:pPr>
        <w:jc w:val="both"/>
        <w:rPr>
          <w:rFonts w:hint="eastAsia" w:ascii="黑体" w:eastAsia="黑体"/>
          <w:color w:val="auto"/>
          <w:sz w:val="32"/>
          <w:szCs w:val="32"/>
          <w:highlight w:val="none"/>
        </w:rPr>
      </w:pPr>
    </w:p>
    <w:p w14:paraId="538A53AC">
      <w:pPr>
        <w:jc w:val="center"/>
        <w:rPr>
          <w:rFonts w:hint="eastAsia" w:ascii="黑体" w:eastAsia="黑体"/>
          <w:color w:val="auto"/>
          <w:sz w:val="32"/>
          <w:szCs w:val="32"/>
          <w:highlight w:val="none"/>
        </w:rPr>
      </w:pPr>
    </w:p>
    <w:p w14:paraId="4F35D7C1">
      <w:pPr>
        <w:jc w:val="both"/>
        <w:rPr>
          <w:rFonts w:hint="eastAsia" w:ascii="黑体" w:eastAsia="黑体"/>
          <w:color w:val="auto"/>
          <w:sz w:val="32"/>
          <w:szCs w:val="32"/>
          <w:highlight w:val="none"/>
        </w:rPr>
      </w:pPr>
    </w:p>
    <w:p w14:paraId="0526DE86">
      <w:pPr>
        <w:jc w:val="center"/>
        <w:rPr>
          <w:rFonts w:hint="eastAsia" w:ascii="黑体" w:eastAsia="黑体"/>
          <w:color w:val="auto"/>
          <w:sz w:val="32"/>
          <w:szCs w:val="32"/>
          <w:highlight w:val="none"/>
        </w:rPr>
      </w:pPr>
    </w:p>
    <w:p w14:paraId="3261F805">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34647955">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11B8E129">
      <w:pPr>
        <w:jc w:val="center"/>
        <w:rPr>
          <w:rFonts w:hint="eastAsia" w:ascii="黑体" w:eastAsia="黑体"/>
          <w:color w:val="auto"/>
          <w:sz w:val="28"/>
          <w:szCs w:val="28"/>
          <w:highlight w:val="none"/>
        </w:rPr>
      </w:pPr>
    </w:p>
    <w:p w14:paraId="437A89FB">
      <w:pPr>
        <w:jc w:val="cente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10C54446">
      <w:pPr>
        <w:pStyle w:val="30"/>
        <w:jc w:val="center"/>
        <w:rPr>
          <w:rFonts w:hint="eastAsia" w:ascii="黑体"/>
          <w:color w:val="auto"/>
          <w:szCs w:val="28"/>
          <w:highlight w:val="none"/>
        </w:rPr>
      </w:pPr>
      <w:bookmarkStart w:id="2228" w:name="_Toc122603068"/>
      <w:bookmarkStart w:id="2229" w:name="_Toc256000201"/>
      <w:r>
        <w:rPr>
          <w:rFonts w:hint="eastAsia"/>
          <w:color w:val="auto"/>
          <w:highlight w:val="none"/>
        </w:rPr>
        <w:t>目    录</w:t>
      </w:r>
      <w:bookmarkEnd w:id="2228"/>
      <w:bookmarkEnd w:id="2229"/>
    </w:p>
    <w:p w14:paraId="4A372D90">
      <w:pPr>
        <w:spacing w:line="600" w:lineRule="exact"/>
        <w:rPr>
          <w:rFonts w:ascii="宋体" w:hAnsi="宋体"/>
          <w:color w:val="auto"/>
          <w:szCs w:val="21"/>
          <w:highlight w:val="none"/>
        </w:rPr>
      </w:pPr>
    </w:p>
    <w:p w14:paraId="0DC8C4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一、投标函及投标函附录等</w:t>
      </w:r>
    </w:p>
    <w:p w14:paraId="6F89B9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二、法定代表人身份证明或授权委托书</w:t>
      </w:r>
    </w:p>
    <w:p w14:paraId="1060E3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三、投标保证金</w:t>
      </w:r>
    </w:p>
    <w:p w14:paraId="4B86E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四、联合体协议书</w:t>
      </w:r>
    </w:p>
    <w:p w14:paraId="0BE261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五、价格清单</w:t>
      </w:r>
    </w:p>
    <w:p w14:paraId="7954F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六、承包人建议书</w:t>
      </w:r>
    </w:p>
    <w:p w14:paraId="6B2F8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七、承包人实施方案</w:t>
      </w:r>
    </w:p>
    <w:p w14:paraId="6F6B62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八、资格审查资料</w:t>
      </w:r>
    </w:p>
    <w:p w14:paraId="2137A5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highlight w:val="none"/>
        </w:rPr>
        <w:t>九、其他材料</w:t>
      </w:r>
    </w:p>
    <w:p w14:paraId="292A8FDE">
      <w:pPr>
        <w:bidi w:val="0"/>
        <w:rPr>
          <w:rFonts w:hint="default"/>
          <w:color w:val="auto"/>
          <w:highlight w:val="none"/>
        </w:rPr>
      </w:pPr>
    </w:p>
    <w:p w14:paraId="253331B6">
      <w:pPr>
        <w:bidi w:val="0"/>
        <w:rPr>
          <w:rFonts w:hint="default"/>
          <w:color w:val="auto"/>
          <w:highlight w:val="none"/>
        </w:rPr>
      </w:pPr>
    </w:p>
    <w:p w14:paraId="30D52D92">
      <w:pPr>
        <w:bidi w:val="0"/>
        <w:rPr>
          <w:rFonts w:hint="default"/>
          <w:color w:val="auto"/>
          <w:highlight w:val="none"/>
        </w:rPr>
      </w:pPr>
    </w:p>
    <w:p w14:paraId="28F9E44D">
      <w:pPr>
        <w:bidi w:val="0"/>
        <w:rPr>
          <w:rFonts w:hint="default"/>
          <w:color w:val="auto"/>
          <w:highlight w:val="none"/>
        </w:rPr>
      </w:pPr>
    </w:p>
    <w:p w14:paraId="0C0F4BB2">
      <w:pPr>
        <w:bidi w:val="0"/>
        <w:rPr>
          <w:rFonts w:hint="default"/>
          <w:color w:val="auto"/>
          <w:highlight w:val="none"/>
        </w:rPr>
      </w:pPr>
    </w:p>
    <w:p w14:paraId="3FA04828">
      <w:pPr>
        <w:bidi w:val="0"/>
        <w:rPr>
          <w:rFonts w:hint="default"/>
          <w:color w:val="auto"/>
          <w:highlight w:val="none"/>
        </w:rPr>
      </w:pPr>
    </w:p>
    <w:p w14:paraId="79597558">
      <w:pPr>
        <w:bidi w:val="0"/>
        <w:rPr>
          <w:rFonts w:hint="default"/>
          <w:color w:val="auto"/>
          <w:highlight w:val="none"/>
        </w:rPr>
      </w:pPr>
    </w:p>
    <w:p w14:paraId="5EFB4F31">
      <w:pPr>
        <w:bidi w:val="0"/>
        <w:rPr>
          <w:rFonts w:hint="default"/>
          <w:color w:val="auto"/>
          <w:highlight w:val="none"/>
        </w:rPr>
      </w:pPr>
    </w:p>
    <w:p w14:paraId="63393426">
      <w:pPr>
        <w:bidi w:val="0"/>
        <w:rPr>
          <w:rFonts w:hint="default"/>
          <w:color w:val="auto"/>
          <w:highlight w:val="none"/>
        </w:rPr>
      </w:pPr>
    </w:p>
    <w:p w14:paraId="3E9FBD13">
      <w:pPr>
        <w:bidi w:val="0"/>
        <w:rPr>
          <w:rFonts w:hint="default"/>
          <w:color w:val="auto"/>
          <w:highlight w:val="none"/>
        </w:rPr>
      </w:pPr>
    </w:p>
    <w:p w14:paraId="54CF1543">
      <w:pPr>
        <w:bidi w:val="0"/>
        <w:rPr>
          <w:rFonts w:hint="default"/>
          <w:color w:val="auto"/>
          <w:highlight w:val="none"/>
        </w:rPr>
      </w:pPr>
    </w:p>
    <w:p w14:paraId="41B95485">
      <w:pPr>
        <w:bidi w:val="0"/>
        <w:rPr>
          <w:rFonts w:hint="default"/>
          <w:color w:val="auto"/>
          <w:highlight w:val="none"/>
        </w:rPr>
      </w:pPr>
    </w:p>
    <w:p w14:paraId="16CF07D2">
      <w:pPr>
        <w:bidi w:val="0"/>
        <w:rPr>
          <w:rFonts w:hint="default"/>
          <w:color w:val="auto"/>
          <w:highlight w:val="none"/>
        </w:rPr>
      </w:pPr>
    </w:p>
    <w:p w14:paraId="52C4FE6E">
      <w:pPr>
        <w:bidi w:val="0"/>
        <w:rPr>
          <w:rFonts w:hint="default"/>
          <w:color w:val="auto"/>
          <w:highlight w:val="none"/>
        </w:rPr>
      </w:pPr>
    </w:p>
    <w:p w14:paraId="08EFB960">
      <w:pPr>
        <w:pStyle w:val="30"/>
        <w:widowControl/>
        <w:ind w:left="0" w:right="0"/>
        <w:jc w:val="center"/>
        <w:rPr>
          <w:b w:val="0"/>
          <w:bCs w:val="0"/>
          <w:color w:val="auto"/>
          <w:highlight w:val="none"/>
        </w:rPr>
        <w:sectPr>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230" w:name="_Toc256000202"/>
      <w:r>
        <w:rPr>
          <w:rFonts w:hint="default" w:ascii="黑体" w:hAnsi="宋体" w:cs="黑体"/>
          <w:b w:val="0"/>
          <w:bCs w:val="0"/>
          <w:color w:val="auto"/>
          <w:kern w:val="2"/>
          <w:sz w:val="28"/>
          <w:szCs w:val="28"/>
          <w:highlight w:val="none"/>
        </w:rPr>
        <w:t>一</w:t>
      </w:r>
      <w:r>
        <w:rPr>
          <w:rFonts w:hint="eastAsia" w:ascii="黑体" w:hAnsi="宋体" w:eastAsia="黑体" w:cs="黑体"/>
          <w:b w:val="0"/>
          <w:bCs w:val="0"/>
          <w:color w:val="auto"/>
          <w:kern w:val="2"/>
          <w:sz w:val="28"/>
          <w:szCs w:val="28"/>
          <w:highlight w:val="none"/>
        </w:rPr>
        <w:t>、投标函及投标函附录等</w:t>
      </w:r>
      <w:bookmarkEnd w:id="2230"/>
    </w:p>
    <w:p w14:paraId="64E2F4D3">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231" w:name="_Toc122603070"/>
      <w:bookmarkStart w:id="2232" w:name="_Toc256000203"/>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投标函</w:t>
      </w:r>
      <w:bookmarkEnd w:id="2231"/>
      <w:bookmarkEnd w:id="2232"/>
    </w:p>
    <w:p w14:paraId="008DA9AF">
      <w:pPr>
        <w:keepNext w:val="0"/>
        <w:keepLines w:val="0"/>
        <w:widowControl w:val="0"/>
        <w:suppressLineNumbers w:val="0"/>
        <w:spacing w:before="0" w:beforeAutospacing="0" w:after="0" w:afterAutospacing="0" w:line="440" w:lineRule="exact"/>
        <w:ind w:left="0" w:right="0"/>
        <w:jc w:val="left"/>
        <w:rPr>
          <w:rFonts w:hint="default"/>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（招标人名称）：</w:t>
      </w:r>
    </w:p>
    <w:p w14:paraId="5B6452DA">
      <w:pPr>
        <w:spacing w:line="440" w:lineRule="exact"/>
        <w:ind w:firstLine="420" w:firstLineChars="200"/>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color w:val="auto"/>
          <w:szCs w:val="21"/>
          <w:highlight w:val="none"/>
        </w:rPr>
        <w:t>我方已仔细研究了</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标段</w:t>
      </w:r>
      <w:r>
        <w:rPr>
          <w:color w:val="auto"/>
          <w:szCs w:val="21"/>
          <w:highlight w:val="none"/>
        </w:rPr>
        <w:t>名称）</w:t>
      </w:r>
      <w:r>
        <w:rPr>
          <w:rFonts w:hint="eastAsia"/>
          <w:color w:val="auto"/>
          <w:szCs w:val="21"/>
          <w:highlight w:val="none"/>
        </w:rPr>
        <w:t>项目</w:t>
      </w:r>
      <w:r>
        <w:rPr>
          <w:color w:val="auto"/>
          <w:szCs w:val="21"/>
          <w:highlight w:val="none"/>
        </w:rPr>
        <w:t>招标文件的全部内容，愿意以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color w:val="auto"/>
          <w:szCs w:val="21"/>
          <w:highlight w:val="none"/>
        </w:rPr>
        <w:t>的投标</w:t>
      </w:r>
      <w:r>
        <w:rPr>
          <w:rFonts w:hint="eastAsia"/>
          <w:color w:val="auto"/>
          <w:szCs w:val="21"/>
          <w:highlight w:val="none"/>
        </w:rPr>
        <w:t>总</w:t>
      </w:r>
      <w:r>
        <w:rPr>
          <w:color w:val="auto"/>
          <w:szCs w:val="21"/>
          <w:highlight w:val="none"/>
        </w:rPr>
        <w:t>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w:t>
      </w:r>
      <w:r>
        <w:rPr>
          <w:rFonts w:hint="eastAsia"/>
          <w:color w:val="auto"/>
          <w:szCs w:val="21"/>
          <w:highlight w:val="none"/>
        </w:rPr>
        <w:t>进行设计、</w:t>
      </w:r>
      <w:r>
        <w:rPr>
          <w:color w:val="auto"/>
          <w:szCs w:val="21"/>
          <w:highlight w:val="none"/>
        </w:rPr>
        <w:t>实施和</w:t>
      </w:r>
      <w:r>
        <w:rPr>
          <w:rFonts w:hint="eastAsia"/>
          <w:color w:val="auto"/>
          <w:szCs w:val="21"/>
          <w:highlight w:val="none"/>
        </w:rPr>
        <w:t>竣工</w:t>
      </w:r>
      <w:r>
        <w:rPr>
          <w:color w:val="auto"/>
          <w:szCs w:val="21"/>
          <w:highlight w:val="none"/>
        </w:rPr>
        <w:t>承包工程，修补工程中的任何缺陷，</w:t>
      </w:r>
      <w:r>
        <w:rPr>
          <w:rFonts w:hint="eastAsia"/>
          <w:color w:val="auto"/>
          <w:szCs w:val="21"/>
          <w:highlight w:val="none"/>
        </w:rPr>
        <w:t>实现工程目的，工程质量（设计）达到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color w:val="auto"/>
          <w:szCs w:val="21"/>
          <w:highlight w:val="none"/>
        </w:rPr>
        <w:t>工程质量（施工）达到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AE247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报价中，包括：</w:t>
      </w:r>
    </w:p>
    <w:p w14:paraId="29B3B7C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（1）设计费（如有）：</w:t>
      </w:r>
    </w:p>
    <w:p w14:paraId="387D3C0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投标设计费报价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419CD17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）专业设备材料费（如有）：</w:t>
      </w:r>
    </w:p>
    <w:p w14:paraId="350B3B5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投标专业设备材料费报价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20DAF51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（3）建筑安装工程费（如有）：</w:t>
      </w:r>
    </w:p>
    <w:p w14:paraId="73E1567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投标建筑安装工程费报价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23972D6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（4）其他费用（如有）：</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3690C8F">
      <w:pPr>
        <w:spacing w:line="360" w:lineRule="exact"/>
        <w:ind w:firstLine="420" w:firstLineChars="200"/>
        <w:rPr>
          <w:rFonts w:hint="eastAsia"/>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我方拟派</w:t>
      </w:r>
      <w:r>
        <w:rPr>
          <w:rFonts w:hint="eastAsia"/>
          <w:color w:val="auto"/>
          <w:szCs w:val="21"/>
          <w:highlight w:val="none"/>
          <w:lang w:eastAsia="zh-CN"/>
        </w:rPr>
        <w:t>：</w:t>
      </w:r>
    </w:p>
    <w:p w14:paraId="1A0264E7">
      <w:pPr>
        <w:spacing w:line="360" w:lineRule="exact"/>
        <w:ind w:firstLine="420" w:firstLineChars="200"/>
        <w:rPr>
          <w:rFonts w:hint="eastAsia"/>
          <w:color w:val="auto"/>
          <w:szCs w:val="21"/>
          <w:highlight w:val="none"/>
        </w:rPr>
      </w:pPr>
      <w:r>
        <w:rPr>
          <w:rFonts w:hint="eastAsia"/>
          <w:color w:val="auto"/>
          <w:szCs w:val="21"/>
          <w:highlight w:val="none"/>
        </w:rPr>
        <w:t>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none"/>
          <w:lang w:eastAsia="zh-CN"/>
        </w:rPr>
        <w:t>；</w:t>
      </w:r>
    </w:p>
    <w:p w14:paraId="3C4CCCB9">
      <w:pPr>
        <w:spacing w:line="360" w:lineRule="exact"/>
        <w:ind w:firstLine="420" w:firstLineChars="200"/>
        <w:rPr>
          <w:rFonts w:hint="eastAsia"/>
          <w:color w:val="auto"/>
          <w:szCs w:val="21"/>
          <w:highlight w:val="none"/>
        </w:rPr>
      </w:pPr>
      <w:r>
        <w:rPr>
          <w:rFonts w:hint="eastAsia"/>
          <w:color w:val="auto"/>
          <w:szCs w:val="21"/>
          <w:highlight w:val="none"/>
          <w:lang w:val="en-US" w:eastAsia="zh-CN"/>
        </w:rPr>
        <w:t>施工负责人</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none"/>
          <w:lang w:eastAsia="zh-CN"/>
        </w:rPr>
        <w:t>；</w:t>
      </w:r>
    </w:p>
    <w:p w14:paraId="77D7A5C4">
      <w:pPr>
        <w:spacing w:line="360" w:lineRule="exact"/>
        <w:ind w:firstLine="420" w:firstLineChars="200"/>
        <w:rPr>
          <w:rFonts w:hint="eastAsia"/>
          <w:color w:val="auto"/>
          <w:szCs w:val="21"/>
          <w:highlight w:val="none"/>
        </w:rPr>
      </w:pPr>
      <w:r>
        <w:rPr>
          <w:rFonts w:hint="eastAsia"/>
          <w:color w:val="auto"/>
          <w:szCs w:val="21"/>
          <w:highlight w:val="none"/>
          <w:lang w:val="en-US" w:eastAsia="zh-CN"/>
        </w:rPr>
        <w:t>设计负责人</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3FE8CC50">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我方承诺在投标有效期</w:t>
      </w:r>
      <w:r>
        <w:rPr>
          <w:rFonts w:hint="eastAsia"/>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r>
        <w:rPr>
          <w:rFonts w:hint="eastAsia"/>
          <w:color w:val="auto"/>
          <w:szCs w:val="21"/>
          <w:highlight w:val="none"/>
        </w:rPr>
        <w:t>。</w:t>
      </w:r>
    </w:p>
    <w:p w14:paraId="4337B6D8">
      <w:pPr>
        <w:spacing w:line="360" w:lineRule="exact"/>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3865AD03">
      <w:pPr>
        <w:spacing w:line="360" w:lineRule="exact"/>
        <w:ind w:firstLine="420" w:firstLineChars="200"/>
        <w:rPr>
          <w:color w:val="auto"/>
          <w:szCs w:val="21"/>
          <w:highlight w:val="none"/>
        </w:rPr>
      </w:pPr>
      <w:r>
        <w:rPr>
          <w:color w:val="auto"/>
          <w:szCs w:val="21"/>
          <w:highlight w:val="none"/>
        </w:rPr>
        <w:t>5</w:t>
      </w:r>
      <w:r>
        <w:rPr>
          <w:rFonts w:hint="eastAsia"/>
          <w:color w:val="auto"/>
          <w:szCs w:val="21"/>
          <w:highlight w:val="none"/>
        </w:rPr>
        <w:t>.</w:t>
      </w:r>
      <w:r>
        <w:rPr>
          <w:color w:val="auto"/>
          <w:szCs w:val="21"/>
          <w:highlight w:val="none"/>
        </w:rPr>
        <w:t>如我方中标：</w:t>
      </w:r>
    </w:p>
    <w:p w14:paraId="4298CFAB">
      <w:pPr>
        <w:spacing w:line="360" w:lineRule="exact"/>
        <w:ind w:firstLine="718" w:firstLineChars="342"/>
        <w:rPr>
          <w:color w:val="auto"/>
          <w:szCs w:val="21"/>
          <w:highlight w:val="none"/>
        </w:rPr>
      </w:pPr>
      <w:r>
        <w:rPr>
          <w:color w:val="auto"/>
          <w:szCs w:val="21"/>
          <w:highlight w:val="none"/>
        </w:rPr>
        <w:t>（1）我方承诺在收到中标通知书后，在中标通知书规定的期限内与你方签订合同。</w:t>
      </w:r>
    </w:p>
    <w:p w14:paraId="705F6AFF">
      <w:pPr>
        <w:spacing w:line="360" w:lineRule="exact"/>
        <w:ind w:firstLine="718" w:firstLineChars="342"/>
        <w:rPr>
          <w:color w:val="auto"/>
          <w:szCs w:val="21"/>
          <w:highlight w:val="none"/>
        </w:rPr>
      </w:pPr>
      <w:r>
        <w:rPr>
          <w:color w:val="auto"/>
          <w:szCs w:val="21"/>
          <w:highlight w:val="none"/>
        </w:rPr>
        <w:t>（2）随同本投标函递交的投标函附录属于合同文件的组成部分。</w:t>
      </w:r>
    </w:p>
    <w:p w14:paraId="2A9BE1D7">
      <w:pPr>
        <w:spacing w:line="360" w:lineRule="exact"/>
        <w:ind w:firstLine="718" w:firstLineChars="342"/>
        <w:rPr>
          <w:color w:val="auto"/>
          <w:szCs w:val="21"/>
          <w:highlight w:val="none"/>
        </w:rPr>
      </w:pPr>
      <w:r>
        <w:rPr>
          <w:color w:val="auto"/>
          <w:szCs w:val="21"/>
          <w:highlight w:val="none"/>
        </w:rPr>
        <w:t>（3）我方承诺按照招标文件规定向你方递交履约担保。</w:t>
      </w:r>
    </w:p>
    <w:p w14:paraId="6B491480">
      <w:pPr>
        <w:spacing w:line="360" w:lineRule="exact"/>
        <w:ind w:firstLine="718" w:firstLineChars="342"/>
        <w:rPr>
          <w:color w:val="auto"/>
          <w:szCs w:val="21"/>
          <w:highlight w:val="none"/>
        </w:rPr>
      </w:pPr>
      <w:r>
        <w:rPr>
          <w:color w:val="auto"/>
          <w:szCs w:val="21"/>
          <w:highlight w:val="none"/>
        </w:rPr>
        <w:t>（4）我方承诺在合同约定的期限内完成并移交全部合同工程。</w:t>
      </w:r>
      <w:bookmarkStart w:id="2233" w:name="_Hlk152146515"/>
    </w:p>
    <w:p w14:paraId="22E0840F">
      <w:pPr>
        <w:spacing w:line="360" w:lineRule="exact"/>
        <w:ind w:firstLine="718" w:firstLineChars="342"/>
        <w:rPr>
          <w:color w:val="auto"/>
          <w:szCs w:val="21"/>
          <w:highlight w:val="none"/>
        </w:rPr>
      </w:pPr>
      <w:r>
        <w:rPr>
          <w:rFonts w:hint="eastAsia"/>
          <w:color w:val="auto"/>
          <w:szCs w:val="21"/>
          <w:highlight w:val="none"/>
        </w:rPr>
        <w:t>（5）</w:t>
      </w:r>
      <w:r>
        <w:rPr>
          <w:rFonts w:hint="eastAsia"/>
          <w:color w:val="auto"/>
          <w:szCs w:val="21"/>
          <w:highlight w:val="none"/>
          <w:u w:val="single"/>
          <w:lang w:val="en-US" w:eastAsia="zh-CN"/>
        </w:rPr>
        <w:t xml:space="preserve">    </w:t>
      </w:r>
      <w:r>
        <w:rPr>
          <w:rFonts w:hint="eastAsia"/>
          <w:color w:val="auto"/>
          <w:szCs w:val="21"/>
          <w:highlight w:val="none"/>
        </w:rPr>
        <w:t>。</w:t>
      </w:r>
    </w:p>
    <w:bookmarkEnd w:id="2233"/>
    <w:p w14:paraId="3E57C565">
      <w:pPr>
        <w:spacing w:line="360" w:lineRule="exact"/>
        <w:ind w:firstLine="420" w:firstLineChars="200"/>
        <w:rPr>
          <w:color w:val="auto"/>
          <w:szCs w:val="21"/>
          <w:highlight w:val="none"/>
        </w:rPr>
      </w:pPr>
      <w:r>
        <w:rPr>
          <w:color w:val="auto"/>
          <w:szCs w:val="21"/>
          <w:highlight w:val="none"/>
        </w:rPr>
        <w:t>6</w:t>
      </w:r>
      <w:r>
        <w:rPr>
          <w:rFonts w:hint="eastAsia"/>
          <w:color w:val="auto"/>
          <w:szCs w:val="21"/>
          <w:highlight w:val="none"/>
        </w:rPr>
        <w:t>.</w:t>
      </w:r>
      <w:r>
        <w:rPr>
          <w:rFonts w:hint="eastAsia"/>
          <w:color w:val="auto"/>
          <w:highlight w:val="none"/>
        </w:rPr>
        <w:t>我方在此声明，所递交的投标文件及有关资料内容完整、真实和准确，且不存在第二章“投标人须知”第1.4.3项规定的任何一种情形。</w:t>
      </w:r>
    </w:p>
    <w:p w14:paraId="329DBC67">
      <w:pPr>
        <w:spacing w:line="380" w:lineRule="exact"/>
        <w:ind w:firstLine="420" w:firstLineChars="200"/>
        <w:jc w:val="left"/>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2F3DAFB5">
      <w:pPr>
        <w:keepNext w:val="0"/>
        <w:keepLines w:val="0"/>
        <w:widowControl w:val="0"/>
        <w:suppressLineNumbers w:val="0"/>
        <w:spacing w:before="0" w:beforeAutospacing="0" w:after="0" w:afterAutospacing="0" w:line="440" w:lineRule="exact"/>
        <w:ind w:left="0" w:right="0" w:firstLine="420" w:firstLineChars="200"/>
        <w:jc w:val="both"/>
        <w:rPr>
          <w:rFonts w:hint="default"/>
          <w:color w:val="auto"/>
          <w:szCs w:val="21"/>
          <w:highlight w:val="none"/>
        </w:rPr>
      </w:pPr>
    </w:p>
    <w:p w14:paraId="2B0954B6">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14:paraId="522010BE">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cs="Times New Roman"/>
          <w:color w:val="auto"/>
          <w:kern w:val="2"/>
          <w:sz w:val="21"/>
          <w:szCs w:val="21"/>
          <w:highlight w:val="none"/>
          <w:u w:val="single"/>
          <w:lang w:eastAsia="zh-CN" w:bidi="ar"/>
        </w:rPr>
        <w:t xml:space="preserve"> </w:t>
      </w:r>
      <w:r>
        <w:rPr>
          <w:rFonts w:hint="eastAsia" w:ascii="宋体" w:hAnsi="宋体" w:eastAsia="宋体" w:cs="宋体"/>
          <w:color w:val="auto"/>
          <w:kern w:val="2"/>
          <w:sz w:val="21"/>
          <w:szCs w:val="21"/>
          <w:highlight w:val="none"/>
          <w:lang w:val="en-US" w:eastAsia="zh-CN" w:bidi="ar"/>
        </w:rPr>
        <w:t>（签章）</w:t>
      </w:r>
    </w:p>
    <w:p w14:paraId="1F23B441">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029EF1E6">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29AC3A3">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286EA25E">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67730C07">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3A88155D">
      <w:pPr>
        <w:keepNext w:val="0"/>
        <w:keepLines w:val="0"/>
        <w:widowControl w:val="0"/>
        <w:suppressLineNumbers w:val="0"/>
        <w:spacing w:before="0" w:beforeAutospacing="0" w:after="0" w:afterAutospacing="0"/>
        <w:ind w:left="5040" w:leftChars="0" w:right="0" w:firstLine="420" w:firstLineChars="0"/>
        <w:jc w:val="both"/>
        <w:rPr>
          <w:color w:val="auto"/>
          <w:highlight w:val="none"/>
        </w:rPr>
        <w:sectPr>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583D7774">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234" w:name="_Toc122603071"/>
      <w:bookmarkStart w:id="2235" w:name="_Toc256000204"/>
      <w:r>
        <w:rPr>
          <w:rFonts w:hint="eastAsia" w:cs="宋体"/>
          <w:color w:val="auto"/>
          <w:sz w:val="28"/>
          <w:szCs w:val="28"/>
          <w:highlight w:val="none"/>
          <w:lang w:eastAsia="zh-CN"/>
        </w:rPr>
        <w:t>（</w:t>
      </w:r>
      <w:r>
        <w:rPr>
          <w:rFonts w:hint="default" w:cs="宋体"/>
          <w:color w:val="auto"/>
          <w:sz w:val="28"/>
          <w:szCs w:val="28"/>
          <w:highlight w:val="none"/>
        </w:rPr>
        <w:t>二</w:t>
      </w:r>
      <w:r>
        <w:rPr>
          <w:rFonts w:hint="eastAsia" w:cs="宋体"/>
          <w:color w:val="auto"/>
          <w:sz w:val="28"/>
          <w:szCs w:val="28"/>
          <w:highlight w:val="none"/>
          <w:lang w:eastAsia="zh-CN"/>
        </w:rPr>
        <w:t>）</w:t>
      </w:r>
      <w:r>
        <w:rPr>
          <w:rFonts w:hint="eastAsia" w:cs="宋体"/>
          <w:color w:val="auto"/>
          <w:sz w:val="28"/>
          <w:szCs w:val="28"/>
          <w:highlight w:val="none"/>
        </w:rPr>
        <w:t>投标函附录</w:t>
      </w:r>
      <w:bookmarkEnd w:id="2234"/>
      <w:bookmarkEnd w:id="2235"/>
    </w:p>
    <w:p w14:paraId="04C0BE04">
      <w:pPr>
        <w:rPr>
          <w:rFonts w:hint="eastAsia" w:ascii="宋体" w:hAnsi="宋体"/>
          <w:b/>
          <w:color w:val="auto"/>
          <w:szCs w:val="21"/>
          <w:highlight w:val="none"/>
        </w:rPr>
      </w:pPr>
    </w:p>
    <w:p w14:paraId="1BB4826E">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48095B8">
      <w:pPr>
        <w:rPr>
          <w:rFonts w:hint="eastAsia" w:ascii="宋体" w:hAnsi="宋体"/>
          <w:color w:val="auto"/>
          <w:szCs w:val="21"/>
          <w:highlight w:val="none"/>
        </w:rPr>
      </w:pP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9"/>
        <w:gridCol w:w="1314"/>
        <w:gridCol w:w="3784"/>
        <w:gridCol w:w="709"/>
      </w:tblGrid>
      <w:tr w14:paraId="2F95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A28B6A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68F18BA5">
            <w:pPr>
              <w:jc w:val="center"/>
              <w:rPr>
                <w:rFonts w:hint="eastAsia"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6D4904C5">
            <w:pPr>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3784" w:type="dxa"/>
            <w:vAlign w:val="center"/>
          </w:tcPr>
          <w:p w14:paraId="3C5676DD">
            <w:pPr>
              <w:jc w:val="center"/>
              <w:rPr>
                <w:rFonts w:hint="eastAsia" w:ascii="宋体" w:hAnsi="宋体"/>
                <w:color w:val="auto"/>
                <w:szCs w:val="21"/>
                <w:highlight w:val="none"/>
              </w:rPr>
            </w:pPr>
            <w:r>
              <w:rPr>
                <w:rFonts w:hint="eastAsia" w:ascii="宋体" w:hAnsi="宋体"/>
                <w:color w:val="auto"/>
                <w:szCs w:val="21"/>
                <w:highlight w:val="none"/>
              </w:rPr>
              <w:t>约定内容</w:t>
            </w:r>
          </w:p>
        </w:tc>
        <w:tc>
          <w:tcPr>
            <w:tcW w:w="709" w:type="dxa"/>
            <w:vAlign w:val="center"/>
          </w:tcPr>
          <w:p w14:paraId="318F555B">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75E1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0" w:type="dxa"/>
            <w:vAlign w:val="center"/>
          </w:tcPr>
          <w:p w14:paraId="5D143DF4">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399" w:type="dxa"/>
            <w:vAlign w:val="center"/>
          </w:tcPr>
          <w:p w14:paraId="7861C3F1">
            <w:pPr>
              <w:rPr>
                <w:rFonts w:hint="eastAsia" w:ascii="宋体" w:hAnsi="宋体"/>
                <w:color w:val="auto"/>
                <w:szCs w:val="21"/>
                <w:highlight w:val="none"/>
              </w:rPr>
            </w:pPr>
            <w:r>
              <w:rPr>
                <w:rFonts w:ascii="宋体" w:hAnsi="宋体"/>
                <w:color w:val="auto"/>
                <w:szCs w:val="21"/>
                <w:highlight w:val="none"/>
              </w:rPr>
              <w:t>项目经理</w:t>
            </w:r>
          </w:p>
        </w:tc>
        <w:tc>
          <w:tcPr>
            <w:tcW w:w="1314" w:type="dxa"/>
            <w:vAlign w:val="center"/>
          </w:tcPr>
          <w:p w14:paraId="79F2D8D9">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1.1.2.7</w:t>
            </w:r>
          </w:p>
        </w:tc>
        <w:tc>
          <w:tcPr>
            <w:tcW w:w="3784" w:type="dxa"/>
            <w:vAlign w:val="center"/>
          </w:tcPr>
          <w:p w14:paraId="3B2047D9">
            <w:pPr>
              <w:rPr>
                <w:rFonts w:hint="eastAsia" w:ascii="宋体" w:hAnsi="宋体"/>
                <w:color w:val="auto"/>
                <w:szCs w:val="21"/>
                <w:highlight w:val="none"/>
              </w:rPr>
            </w:pPr>
            <w:r>
              <w:rPr>
                <w:rFonts w:hint="eastAsia" w:ascii="宋体" w:hAnsi="宋体"/>
                <w:color w:val="auto"/>
                <w:szCs w:val="21"/>
                <w:highlight w:val="none"/>
              </w:rPr>
              <w:t>（见投标函）</w:t>
            </w:r>
          </w:p>
        </w:tc>
        <w:tc>
          <w:tcPr>
            <w:tcW w:w="709" w:type="dxa"/>
            <w:vAlign w:val="center"/>
          </w:tcPr>
          <w:p w14:paraId="74702220">
            <w:pPr>
              <w:jc w:val="center"/>
              <w:rPr>
                <w:rFonts w:hint="eastAsia" w:ascii="宋体" w:hAnsi="宋体"/>
                <w:color w:val="auto"/>
                <w:szCs w:val="21"/>
                <w:highlight w:val="none"/>
              </w:rPr>
            </w:pPr>
          </w:p>
        </w:tc>
      </w:tr>
      <w:tr w14:paraId="6900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20" w:type="dxa"/>
            <w:vAlign w:val="center"/>
          </w:tcPr>
          <w:p w14:paraId="2137328A">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399" w:type="dxa"/>
            <w:vAlign w:val="center"/>
          </w:tcPr>
          <w:p w14:paraId="2238EB15">
            <w:pPr>
              <w:rPr>
                <w:rFonts w:hint="eastAsia"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459F6535">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w:t>
            </w:r>
            <w:r>
              <w:rPr>
                <w:rFonts w:ascii="宋体" w:hAnsi="宋体"/>
                <w:color w:val="auto"/>
                <w:szCs w:val="21"/>
                <w:highlight w:val="none"/>
              </w:rPr>
              <w:t>5</w:t>
            </w:r>
          </w:p>
        </w:tc>
        <w:tc>
          <w:tcPr>
            <w:tcW w:w="3784" w:type="dxa"/>
            <w:vAlign w:val="center"/>
          </w:tcPr>
          <w:p w14:paraId="79F3E441">
            <w:pPr>
              <w:rPr>
                <w:rFonts w:hint="eastAsia" w:ascii="宋体" w:hAnsi="宋体"/>
                <w:color w:val="auto"/>
                <w:szCs w:val="21"/>
                <w:highlight w:val="none"/>
              </w:rPr>
            </w:pPr>
            <w:r>
              <w:rPr>
                <w:rFonts w:hint="eastAsia" w:ascii="宋体" w:hAnsi="宋体"/>
                <w:color w:val="auto"/>
                <w:szCs w:val="21"/>
                <w:highlight w:val="none"/>
              </w:rPr>
              <w:t>（见投标函）</w:t>
            </w:r>
          </w:p>
        </w:tc>
        <w:tc>
          <w:tcPr>
            <w:tcW w:w="709" w:type="dxa"/>
            <w:vAlign w:val="center"/>
          </w:tcPr>
          <w:p w14:paraId="242AAC47">
            <w:pPr>
              <w:jc w:val="center"/>
              <w:rPr>
                <w:rFonts w:hint="eastAsia" w:ascii="宋体" w:hAnsi="宋体"/>
                <w:color w:val="auto"/>
                <w:szCs w:val="21"/>
                <w:highlight w:val="none"/>
              </w:rPr>
            </w:pPr>
          </w:p>
        </w:tc>
      </w:tr>
      <w:tr w14:paraId="7917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14:paraId="69A142E1">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399" w:type="dxa"/>
            <w:vAlign w:val="center"/>
          </w:tcPr>
          <w:p w14:paraId="0444B69C">
            <w:pPr>
              <w:rPr>
                <w:rFonts w:hint="eastAsia"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6513A18F">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w:t>
            </w:r>
            <w:r>
              <w:rPr>
                <w:rFonts w:ascii="宋体" w:hAnsi="宋体"/>
                <w:color w:val="auto"/>
                <w:szCs w:val="21"/>
                <w:highlight w:val="none"/>
              </w:rPr>
              <w:t>6</w:t>
            </w:r>
          </w:p>
        </w:tc>
        <w:tc>
          <w:tcPr>
            <w:tcW w:w="3784" w:type="dxa"/>
            <w:vAlign w:val="center"/>
          </w:tcPr>
          <w:p w14:paraId="6CB80A0E">
            <w:pPr>
              <w:rPr>
                <w:rFonts w:hint="eastAsia" w:ascii="宋体" w:hAnsi="宋体"/>
                <w:color w:val="auto"/>
                <w:szCs w:val="21"/>
                <w:highlight w:val="none"/>
              </w:rPr>
            </w:pPr>
          </w:p>
        </w:tc>
        <w:tc>
          <w:tcPr>
            <w:tcW w:w="709" w:type="dxa"/>
            <w:vAlign w:val="center"/>
          </w:tcPr>
          <w:p w14:paraId="335CD113">
            <w:pPr>
              <w:jc w:val="center"/>
              <w:rPr>
                <w:rFonts w:hint="eastAsia" w:ascii="宋体" w:hAnsi="宋体"/>
                <w:color w:val="auto"/>
                <w:szCs w:val="21"/>
                <w:highlight w:val="none"/>
              </w:rPr>
            </w:pPr>
          </w:p>
        </w:tc>
      </w:tr>
      <w:tr w14:paraId="5C20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667015A">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4</w:t>
            </w:r>
          </w:p>
        </w:tc>
        <w:tc>
          <w:tcPr>
            <w:tcW w:w="2399" w:type="dxa"/>
            <w:vAlign w:val="center"/>
          </w:tcPr>
          <w:p w14:paraId="655A4B0B">
            <w:pPr>
              <w:rPr>
                <w:rFonts w:hint="eastAsia"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0D0E6C06">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4.3.2</w:t>
            </w:r>
          </w:p>
        </w:tc>
        <w:tc>
          <w:tcPr>
            <w:tcW w:w="3784" w:type="dxa"/>
            <w:vAlign w:val="center"/>
          </w:tcPr>
          <w:p w14:paraId="7F2F8D9A">
            <w:pPr>
              <w:rPr>
                <w:rFonts w:hint="eastAsia" w:ascii="宋体" w:hAnsi="宋体"/>
                <w:color w:val="auto"/>
                <w:szCs w:val="21"/>
                <w:highlight w:val="none"/>
              </w:rPr>
            </w:pPr>
          </w:p>
        </w:tc>
        <w:tc>
          <w:tcPr>
            <w:tcW w:w="709" w:type="dxa"/>
            <w:vAlign w:val="center"/>
          </w:tcPr>
          <w:p w14:paraId="743BB68A">
            <w:pPr>
              <w:jc w:val="center"/>
              <w:rPr>
                <w:rFonts w:hint="eastAsia" w:ascii="宋体" w:hAnsi="宋体"/>
                <w:color w:val="auto"/>
                <w:szCs w:val="21"/>
                <w:highlight w:val="none"/>
              </w:rPr>
            </w:pPr>
          </w:p>
        </w:tc>
      </w:tr>
      <w:tr w14:paraId="76C2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25C2CB40">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5</w:t>
            </w:r>
          </w:p>
        </w:tc>
        <w:tc>
          <w:tcPr>
            <w:tcW w:w="2399" w:type="dxa"/>
            <w:vAlign w:val="center"/>
          </w:tcPr>
          <w:p w14:paraId="04734BF5">
            <w:pPr>
              <w:rPr>
                <w:color w:val="auto"/>
                <w:highlight w:val="none"/>
              </w:rPr>
            </w:pPr>
            <w:r>
              <w:rPr>
                <w:color w:val="auto"/>
                <w:highlight w:val="none"/>
              </w:rPr>
              <w:t>项目经理擅自离开施工现场的违约责任</w:t>
            </w:r>
          </w:p>
        </w:tc>
        <w:tc>
          <w:tcPr>
            <w:tcW w:w="1314" w:type="dxa"/>
            <w:tcMar>
              <w:left w:w="170" w:type="dxa"/>
            </w:tcMar>
            <w:vAlign w:val="center"/>
          </w:tcPr>
          <w:p w14:paraId="51D23469">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4.3.2</w:t>
            </w:r>
          </w:p>
        </w:tc>
        <w:tc>
          <w:tcPr>
            <w:tcW w:w="3784" w:type="dxa"/>
            <w:vAlign w:val="center"/>
          </w:tcPr>
          <w:p w14:paraId="7578F988">
            <w:pPr>
              <w:rPr>
                <w:rFonts w:hint="eastAsia" w:ascii="宋体" w:hAnsi="宋体"/>
                <w:color w:val="auto"/>
                <w:szCs w:val="21"/>
                <w:highlight w:val="none"/>
              </w:rPr>
            </w:pPr>
          </w:p>
        </w:tc>
        <w:tc>
          <w:tcPr>
            <w:tcW w:w="709" w:type="dxa"/>
            <w:vAlign w:val="center"/>
          </w:tcPr>
          <w:p w14:paraId="0F4E93EF">
            <w:pPr>
              <w:jc w:val="center"/>
              <w:rPr>
                <w:rFonts w:hint="eastAsia" w:ascii="宋体" w:hAnsi="宋体"/>
                <w:color w:val="auto"/>
                <w:szCs w:val="21"/>
                <w:highlight w:val="none"/>
              </w:rPr>
            </w:pPr>
          </w:p>
        </w:tc>
      </w:tr>
      <w:tr w14:paraId="627D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0D3AAFC7">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6</w:t>
            </w:r>
          </w:p>
        </w:tc>
        <w:tc>
          <w:tcPr>
            <w:tcW w:w="2399" w:type="dxa"/>
            <w:vAlign w:val="center"/>
          </w:tcPr>
          <w:p w14:paraId="0CFE43C5">
            <w:pPr>
              <w:rPr>
                <w:color w:val="auto"/>
                <w:highlight w:val="none"/>
              </w:rPr>
            </w:pPr>
            <w:r>
              <w:rPr>
                <w:color w:val="auto"/>
                <w:highlight w:val="none"/>
              </w:rPr>
              <w:t>擅自更换项目经理的违约责任</w:t>
            </w:r>
          </w:p>
        </w:tc>
        <w:tc>
          <w:tcPr>
            <w:tcW w:w="1314" w:type="dxa"/>
            <w:tcMar>
              <w:left w:w="170" w:type="dxa"/>
            </w:tcMar>
            <w:vAlign w:val="center"/>
          </w:tcPr>
          <w:p w14:paraId="2D40A5E9">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4.3.4</w:t>
            </w:r>
          </w:p>
        </w:tc>
        <w:tc>
          <w:tcPr>
            <w:tcW w:w="3784" w:type="dxa"/>
            <w:vAlign w:val="center"/>
          </w:tcPr>
          <w:p w14:paraId="16BAD7D9">
            <w:pPr>
              <w:rPr>
                <w:rFonts w:hint="eastAsia" w:ascii="宋体" w:hAnsi="宋体"/>
                <w:color w:val="auto"/>
                <w:szCs w:val="21"/>
                <w:highlight w:val="none"/>
              </w:rPr>
            </w:pPr>
          </w:p>
        </w:tc>
        <w:tc>
          <w:tcPr>
            <w:tcW w:w="709" w:type="dxa"/>
            <w:vAlign w:val="center"/>
          </w:tcPr>
          <w:p w14:paraId="5E3EE609">
            <w:pPr>
              <w:jc w:val="center"/>
              <w:rPr>
                <w:rFonts w:hint="eastAsia" w:ascii="宋体" w:hAnsi="宋体"/>
                <w:color w:val="auto"/>
                <w:szCs w:val="21"/>
                <w:highlight w:val="none"/>
              </w:rPr>
            </w:pPr>
          </w:p>
        </w:tc>
      </w:tr>
      <w:tr w14:paraId="370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3E485EFE">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7</w:t>
            </w:r>
          </w:p>
        </w:tc>
        <w:tc>
          <w:tcPr>
            <w:tcW w:w="2399" w:type="dxa"/>
            <w:vAlign w:val="center"/>
          </w:tcPr>
          <w:p w14:paraId="3C5CAF53">
            <w:pPr>
              <w:rPr>
                <w:color w:val="auto"/>
                <w:highlight w:val="none"/>
              </w:rPr>
            </w:pPr>
            <w:r>
              <w:rPr>
                <w:color w:val="auto"/>
                <w:highlight w:val="none"/>
              </w:rPr>
              <w:t>无正当理由拒绝更换项目经理的违约责任</w:t>
            </w:r>
          </w:p>
        </w:tc>
        <w:tc>
          <w:tcPr>
            <w:tcW w:w="1314" w:type="dxa"/>
            <w:tcMar>
              <w:left w:w="170" w:type="dxa"/>
            </w:tcMar>
            <w:vAlign w:val="center"/>
          </w:tcPr>
          <w:p w14:paraId="7BC01031">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4.3.5</w:t>
            </w:r>
          </w:p>
        </w:tc>
        <w:tc>
          <w:tcPr>
            <w:tcW w:w="3784" w:type="dxa"/>
            <w:vAlign w:val="center"/>
          </w:tcPr>
          <w:p w14:paraId="5863A96D">
            <w:pPr>
              <w:rPr>
                <w:rFonts w:hint="eastAsia" w:ascii="宋体" w:hAnsi="宋体"/>
                <w:color w:val="auto"/>
                <w:szCs w:val="21"/>
                <w:highlight w:val="none"/>
              </w:rPr>
            </w:pPr>
          </w:p>
        </w:tc>
        <w:tc>
          <w:tcPr>
            <w:tcW w:w="709" w:type="dxa"/>
            <w:vAlign w:val="center"/>
          </w:tcPr>
          <w:p w14:paraId="7236B2C1">
            <w:pPr>
              <w:jc w:val="center"/>
              <w:rPr>
                <w:rFonts w:hint="eastAsia" w:ascii="宋体" w:hAnsi="宋体"/>
                <w:color w:val="auto"/>
                <w:szCs w:val="21"/>
                <w:highlight w:val="none"/>
              </w:rPr>
            </w:pPr>
          </w:p>
        </w:tc>
      </w:tr>
      <w:tr w14:paraId="4C37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 w:type="dxa"/>
            <w:vAlign w:val="center"/>
          </w:tcPr>
          <w:p w14:paraId="5B753FEC">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8</w:t>
            </w:r>
          </w:p>
        </w:tc>
        <w:tc>
          <w:tcPr>
            <w:tcW w:w="2399" w:type="dxa"/>
            <w:vAlign w:val="center"/>
          </w:tcPr>
          <w:p w14:paraId="2017D4D3">
            <w:pPr>
              <w:rPr>
                <w:rFonts w:hint="eastAsia"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1708E042">
            <w:pPr>
              <w:jc w:val="center"/>
              <w:rPr>
                <w:rFonts w:hint="eastAsia" w:ascii="宋体" w:hAnsi="宋体"/>
                <w:color w:val="auto"/>
                <w:szCs w:val="21"/>
                <w:highlight w:val="none"/>
              </w:rPr>
            </w:pPr>
            <w:r>
              <w:rPr>
                <w:rFonts w:ascii="宋体" w:hAnsi="宋体"/>
                <w:color w:val="auto"/>
                <w:szCs w:val="21"/>
                <w:highlight w:val="none"/>
              </w:rPr>
              <w:t>4.2</w:t>
            </w:r>
          </w:p>
        </w:tc>
        <w:tc>
          <w:tcPr>
            <w:tcW w:w="3784" w:type="dxa"/>
            <w:vAlign w:val="center"/>
          </w:tcPr>
          <w:p w14:paraId="3DF4FEC1">
            <w:pPr>
              <w:rPr>
                <w:rFonts w:hint="eastAsia" w:ascii="宋体" w:hAnsi="宋体"/>
                <w:color w:val="auto"/>
                <w:szCs w:val="21"/>
                <w:highlight w:val="none"/>
              </w:rPr>
            </w:pPr>
          </w:p>
        </w:tc>
        <w:tc>
          <w:tcPr>
            <w:tcW w:w="709" w:type="dxa"/>
            <w:vAlign w:val="center"/>
          </w:tcPr>
          <w:p w14:paraId="64695FE2">
            <w:pPr>
              <w:jc w:val="center"/>
              <w:rPr>
                <w:rFonts w:hint="eastAsia" w:ascii="宋体" w:hAnsi="宋体"/>
                <w:color w:val="auto"/>
                <w:szCs w:val="21"/>
                <w:highlight w:val="none"/>
              </w:rPr>
            </w:pPr>
          </w:p>
        </w:tc>
      </w:tr>
      <w:tr w14:paraId="65A8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20" w:type="dxa"/>
            <w:vAlign w:val="center"/>
          </w:tcPr>
          <w:p w14:paraId="0C1013DD">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9</w:t>
            </w:r>
          </w:p>
        </w:tc>
        <w:tc>
          <w:tcPr>
            <w:tcW w:w="2399" w:type="dxa"/>
            <w:vAlign w:val="center"/>
          </w:tcPr>
          <w:p w14:paraId="26102C84">
            <w:pPr>
              <w:rPr>
                <w:rFonts w:hint="eastAsia"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3C4B32E3">
            <w:pPr>
              <w:jc w:val="center"/>
              <w:rPr>
                <w:rFonts w:hint="eastAsia" w:ascii="宋体" w:hAnsi="宋体"/>
                <w:color w:val="auto"/>
                <w:szCs w:val="21"/>
                <w:highlight w:val="none"/>
              </w:rPr>
            </w:pPr>
            <w:r>
              <w:rPr>
                <w:rFonts w:ascii="宋体" w:hAnsi="宋体"/>
                <w:color w:val="auto"/>
                <w:szCs w:val="21"/>
                <w:highlight w:val="none"/>
              </w:rPr>
              <w:t>4.5</w:t>
            </w:r>
          </w:p>
        </w:tc>
        <w:tc>
          <w:tcPr>
            <w:tcW w:w="3784" w:type="dxa"/>
            <w:vAlign w:val="center"/>
          </w:tcPr>
          <w:p w14:paraId="232A1550">
            <w:pPr>
              <w:rPr>
                <w:rFonts w:hint="eastAsia" w:ascii="宋体" w:hAnsi="宋体"/>
                <w:color w:val="auto"/>
                <w:szCs w:val="21"/>
                <w:highlight w:val="none"/>
              </w:rPr>
            </w:pPr>
          </w:p>
        </w:tc>
        <w:tc>
          <w:tcPr>
            <w:tcW w:w="709" w:type="dxa"/>
            <w:vAlign w:val="center"/>
          </w:tcPr>
          <w:p w14:paraId="31B9CA9E">
            <w:pPr>
              <w:jc w:val="center"/>
              <w:rPr>
                <w:rFonts w:hint="eastAsia" w:ascii="宋体" w:hAnsi="宋体"/>
                <w:color w:val="auto"/>
                <w:szCs w:val="21"/>
                <w:highlight w:val="none"/>
              </w:rPr>
            </w:pPr>
          </w:p>
        </w:tc>
      </w:tr>
      <w:tr w14:paraId="5C0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0" w:type="dxa"/>
            <w:vAlign w:val="center"/>
          </w:tcPr>
          <w:p w14:paraId="648DAA1F">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10</w:t>
            </w:r>
          </w:p>
        </w:tc>
        <w:tc>
          <w:tcPr>
            <w:tcW w:w="2399" w:type="dxa"/>
            <w:vAlign w:val="center"/>
          </w:tcPr>
          <w:p w14:paraId="31F34BA4">
            <w:pPr>
              <w:rPr>
                <w:rFonts w:hint="eastAsia"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4BF7D8CB">
            <w:pPr>
              <w:jc w:val="center"/>
              <w:rPr>
                <w:rFonts w:hint="eastAsia" w:ascii="宋体" w:hAnsi="宋体"/>
                <w:color w:val="auto"/>
                <w:szCs w:val="21"/>
                <w:highlight w:val="none"/>
              </w:rPr>
            </w:pPr>
            <w:r>
              <w:rPr>
                <w:rFonts w:ascii="宋体" w:hAnsi="宋体"/>
                <w:color w:val="auto"/>
                <w:szCs w:val="21"/>
                <w:highlight w:val="none"/>
              </w:rPr>
              <w:t>8.7.2</w:t>
            </w:r>
          </w:p>
        </w:tc>
        <w:tc>
          <w:tcPr>
            <w:tcW w:w="3784" w:type="dxa"/>
            <w:vAlign w:val="center"/>
          </w:tcPr>
          <w:p w14:paraId="4F9E1BCE">
            <w:pP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09" w:type="dxa"/>
            <w:vAlign w:val="center"/>
          </w:tcPr>
          <w:p w14:paraId="1E08ECD5">
            <w:pPr>
              <w:jc w:val="center"/>
              <w:rPr>
                <w:rFonts w:hint="eastAsia" w:ascii="宋体" w:hAnsi="宋体"/>
                <w:color w:val="auto"/>
                <w:szCs w:val="21"/>
                <w:highlight w:val="none"/>
              </w:rPr>
            </w:pPr>
          </w:p>
        </w:tc>
      </w:tr>
      <w:tr w14:paraId="5CB0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0" w:type="dxa"/>
            <w:vAlign w:val="center"/>
          </w:tcPr>
          <w:p w14:paraId="215B6ABB">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11</w:t>
            </w:r>
          </w:p>
        </w:tc>
        <w:tc>
          <w:tcPr>
            <w:tcW w:w="2399" w:type="dxa"/>
            <w:vAlign w:val="center"/>
          </w:tcPr>
          <w:p w14:paraId="54943B0B">
            <w:pPr>
              <w:rPr>
                <w:rFonts w:hint="eastAsia"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3BF5FE43">
            <w:pPr>
              <w:jc w:val="center"/>
              <w:rPr>
                <w:rFonts w:hint="eastAsia" w:ascii="宋体" w:hAnsi="宋体"/>
                <w:color w:val="auto"/>
                <w:szCs w:val="21"/>
                <w:highlight w:val="none"/>
              </w:rPr>
            </w:pPr>
            <w:r>
              <w:rPr>
                <w:rFonts w:ascii="宋体" w:hAnsi="宋体"/>
                <w:color w:val="auto"/>
                <w:szCs w:val="21"/>
                <w:highlight w:val="none"/>
              </w:rPr>
              <w:t>8.7.2</w:t>
            </w:r>
          </w:p>
        </w:tc>
        <w:tc>
          <w:tcPr>
            <w:tcW w:w="3784" w:type="dxa"/>
            <w:vAlign w:val="center"/>
          </w:tcPr>
          <w:p w14:paraId="61F8692C">
            <w:pPr>
              <w:rPr>
                <w:rFonts w:hint="eastAsia" w:ascii="宋体" w:hAnsi="宋体"/>
                <w:color w:val="auto"/>
                <w:szCs w:val="21"/>
                <w:highlight w:val="none"/>
              </w:rPr>
            </w:pPr>
            <w:r>
              <w:rPr>
                <w:rFonts w:hint="eastAsia" w:ascii="宋体" w:hAnsi="宋体"/>
                <w:color w:val="auto"/>
                <w:szCs w:val="21"/>
                <w:highlight w:val="none"/>
                <w:u w:val="single"/>
              </w:rPr>
              <w:t xml:space="preserve">             </w:t>
            </w:r>
          </w:p>
        </w:tc>
        <w:tc>
          <w:tcPr>
            <w:tcW w:w="709" w:type="dxa"/>
            <w:vAlign w:val="center"/>
          </w:tcPr>
          <w:p w14:paraId="3DEB5B88">
            <w:pPr>
              <w:jc w:val="center"/>
              <w:rPr>
                <w:rFonts w:hint="eastAsia" w:ascii="宋体" w:hAnsi="宋体"/>
                <w:color w:val="auto"/>
                <w:szCs w:val="21"/>
                <w:highlight w:val="none"/>
              </w:rPr>
            </w:pPr>
          </w:p>
        </w:tc>
      </w:tr>
      <w:tr w14:paraId="47D8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1D3A9886">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12</w:t>
            </w:r>
          </w:p>
        </w:tc>
        <w:tc>
          <w:tcPr>
            <w:tcW w:w="2399" w:type="dxa"/>
            <w:vAlign w:val="center"/>
          </w:tcPr>
          <w:p w14:paraId="4FFA3F33">
            <w:pPr>
              <w:rPr>
                <w:rFonts w:hint="eastAsia"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6B08F7BD">
            <w:pPr>
              <w:jc w:val="center"/>
              <w:rPr>
                <w:rFonts w:hint="eastAsia" w:ascii="宋体" w:hAnsi="宋体"/>
                <w:color w:val="auto"/>
                <w:szCs w:val="21"/>
                <w:highlight w:val="none"/>
              </w:rPr>
            </w:pPr>
            <w:r>
              <w:rPr>
                <w:rFonts w:ascii="宋体" w:hAnsi="宋体"/>
                <w:color w:val="auto"/>
                <w:szCs w:val="21"/>
                <w:highlight w:val="none"/>
              </w:rPr>
              <w:t>13.8</w:t>
            </w:r>
          </w:p>
        </w:tc>
        <w:tc>
          <w:tcPr>
            <w:tcW w:w="3784" w:type="dxa"/>
            <w:vAlign w:val="center"/>
          </w:tcPr>
          <w:p w14:paraId="61C29E92">
            <w:pPr>
              <w:rPr>
                <w:rFonts w:hint="eastAsia"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09" w:type="dxa"/>
            <w:vAlign w:val="center"/>
          </w:tcPr>
          <w:p w14:paraId="62D8631F">
            <w:pPr>
              <w:jc w:val="center"/>
              <w:rPr>
                <w:rFonts w:hint="eastAsia" w:ascii="宋体" w:hAnsi="宋体"/>
                <w:color w:val="auto"/>
                <w:szCs w:val="21"/>
                <w:highlight w:val="none"/>
              </w:rPr>
            </w:pPr>
          </w:p>
        </w:tc>
      </w:tr>
      <w:tr w14:paraId="0591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51AB57DC">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13</w:t>
            </w:r>
          </w:p>
        </w:tc>
        <w:tc>
          <w:tcPr>
            <w:tcW w:w="2399" w:type="dxa"/>
            <w:vAlign w:val="center"/>
          </w:tcPr>
          <w:p w14:paraId="6978D79C">
            <w:pPr>
              <w:rPr>
                <w:rFonts w:hint="eastAsia"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5652BBE7">
            <w:pPr>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r>
              <w:rPr>
                <w:rFonts w:hint="eastAsia" w:ascii="宋体" w:hAnsi="宋体"/>
                <w:color w:val="auto"/>
                <w:szCs w:val="21"/>
                <w:highlight w:val="none"/>
              </w:rPr>
              <w:t>.2.1</w:t>
            </w:r>
          </w:p>
        </w:tc>
        <w:tc>
          <w:tcPr>
            <w:tcW w:w="3784" w:type="dxa"/>
            <w:vAlign w:val="center"/>
          </w:tcPr>
          <w:p w14:paraId="5080D78C">
            <w:pPr>
              <w:rPr>
                <w:rFonts w:hint="eastAsia" w:ascii="宋体" w:hAnsi="宋体"/>
                <w:color w:val="auto"/>
                <w:szCs w:val="21"/>
                <w:highlight w:val="none"/>
              </w:rPr>
            </w:pPr>
          </w:p>
        </w:tc>
        <w:tc>
          <w:tcPr>
            <w:tcW w:w="709" w:type="dxa"/>
            <w:vAlign w:val="center"/>
          </w:tcPr>
          <w:p w14:paraId="7DF41F72">
            <w:pPr>
              <w:jc w:val="center"/>
              <w:rPr>
                <w:rFonts w:hint="eastAsia" w:ascii="宋体" w:hAnsi="宋体"/>
                <w:color w:val="auto"/>
                <w:szCs w:val="21"/>
                <w:highlight w:val="none"/>
              </w:rPr>
            </w:pPr>
          </w:p>
        </w:tc>
      </w:tr>
      <w:tr w14:paraId="1B6D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0" w:type="dxa"/>
            <w:vAlign w:val="center"/>
          </w:tcPr>
          <w:p w14:paraId="57EB66F0">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50459D95">
            <w:pPr>
              <w:rPr>
                <w:rFonts w:hint="eastAsia"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32BC7BA3">
            <w:pPr>
              <w:jc w:val="center"/>
              <w:rPr>
                <w:rFonts w:hint="eastAsia" w:ascii="宋体" w:hAnsi="宋体"/>
                <w:color w:val="auto"/>
                <w:szCs w:val="21"/>
                <w:highlight w:val="none"/>
              </w:rPr>
            </w:pPr>
            <w:r>
              <w:rPr>
                <w:rFonts w:ascii="宋体" w:hAnsi="宋体"/>
                <w:color w:val="auto"/>
                <w:szCs w:val="21"/>
                <w:highlight w:val="none"/>
              </w:rPr>
              <w:t>14.6</w:t>
            </w:r>
          </w:p>
        </w:tc>
        <w:tc>
          <w:tcPr>
            <w:tcW w:w="3784" w:type="dxa"/>
            <w:vAlign w:val="center"/>
          </w:tcPr>
          <w:p w14:paraId="3DAB9377">
            <w:pPr>
              <w:rPr>
                <w:rFonts w:hint="eastAsia" w:ascii="宋体" w:hAnsi="宋体"/>
                <w:color w:val="auto"/>
                <w:szCs w:val="21"/>
                <w:highlight w:val="none"/>
              </w:rPr>
            </w:pPr>
          </w:p>
        </w:tc>
        <w:tc>
          <w:tcPr>
            <w:tcW w:w="709" w:type="dxa"/>
            <w:vAlign w:val="center"/>
          </w:tcPr>
          <w:p w14:paraId="1B9FCEB1">
            <w:pPr>
              <w:jc w:val="center"/>
              <w:rPr>
                <w:rFonts w:hint="eastAsia" w:ascii="宋体" w:hAnsi="宋体"/>
                <w:color w:val="auto"/>
                <w:szCs w:val="21"/>
                <w:highlight w:val="none"/>
              </w:rPr>
            </w:pPr>
          </w:p>
        </w:tc>
      </w:tr>
      <w:tr w14:paraId="1815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14:paraId="50D760CB">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15</w:t>
            </w:r>
          </w:p>
        </w:tc>
        <w:tc>
          <w:tcPr>
            <w:tcW w:w="2399" w:type="dxa"/>
            <w:vAlign w:val="center"/>
          </w:tcPr>
          <w:p w14:paraId="07CCDD4A">
            <w:pPr>
              <w:rPr>
                <w:rFonts w:hint="eastAsia"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24633189">
            <w:pPr>
              <w:jc w:val="center"/>
              <w:rPr>
                <w:rFonts w:hint="eastAsia" w:ascii="宋体" w:hAnsi="宋体"/>
                <w:color w:val="auto"/>
                <w:szCs w:val="21"/>
                <w:highlight w:val="none"/>
              </w:rPr>
            </w:pPr>
            <w:r>
              <w:rPr>
                <w:rFonts w:ascii="宋体" w:hAnsi="宋体"/>
                <w:color w:val="auto"/>
                <w:szCs w:val="21"/>
                <w:highlight w:val="none"/>
              </w:rPr>
              <w:t>14.6</w:t>
            </w:r>
          </w:p>
        </w:tc>
        <w:tc>
          <w:tcPr>
            <w:tcW w:w="3784" w:type="dxa"/>
            <w:vAlign w:val="center"/>
          </w:tcPr>
          <w:p w14:paraId="57612F11">
            <w:pPr>
              <w:rPr>
                <w:rFonts w:hint="eastAsia" w:ascii="宋体" w:hAnsi="宋体"/>
                <w:color w:val="auto"/>
                <w:szCs w:val="21"/>
                <w:highlight w:val="none"/>
              </w:rPr>
            </w:pPr>
          </w:p>
        </w:tc>
        <w:tc>
          <w:tcPr>
            <w:tcW w:w="709" w:type="dxa"/>
            <w:vAlign w:val="center"/>
          </w:tcPr>
          <w:p w14:paraId="60EB9455">
            <w:pPr>
              <w:jc w:val="center"/>
              <w:rPr>
                <w:rFonts w:hint="eastAsia" w:ascii="宋体" w:hAnsi="宋体"/>
                <w:color w:val="auto"/>
                <w:szCs w:val="21"/>
                <w:highlight w:val="none"/>
              </w:rPr>
            </w:pPr>
          </w:p>
        </w:tc>
      </w:tr>
      <w:tr w14:paraId="77B6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vAlign w:val="center"/>
          </w:tcPr>
          <w:p w14:paraId="34E2260B">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7D1F4CE0">
            <w:pPr>
              <w:autoSpaceDE w:val="0"/>
              <w:autoSpaceDN w:val="0"/>
              <w:adjustRightInd w:val="0"/>
              <w:spacing w:before="94" w:beforeLines="30"/>
              <w:rPr>
                <w:rFonts w:hint="eastAsia" w:ascii="宋体" w:hAnsi="宋体" w:cs="Arial"/>
                <w:color w:val="auto"/>
                <w:kern w:val="0"/>
                <w:szCs w:val="21"/>
                <w:highlight w:val="none"/>
              </w:rPr>
            </w:pPr>
            <w:r>
              <w:rPr>
                <w:rFonts w:hint="eastAsia" w:ascii="宋体" w:hAnsi="宋体" w:cs="Arial"/>
                <w:color w:val="auto"/>
                <w:kern w:val="0"/>
                <w:szCs w:val="21"/>
                <w:highlight w:val="none"/>
              </w:rPr>
              <w:t>发包人要求</w:t>
            </w:r>
          </w:p>
        </w:tc>
        <w:tc>
          <w:tcPr>
            <w:tcW w:w="1314" w:type="dxa"/>
            <w:tcMar>
              <w:left w:w="170" w:type="dxa"/>
            </w:tcMar>
            <w:vAlign w:val="center"/>
          </w:tcPr>
          <w:p w14:paraId="1B2EAC48">
            <w:pPr>
              <w:autoSpaceDE w:val="0"/>
              <w:autoSpaceDN w:val="0"/>
              <w:adjustRightInd w:val="0"/>
              <w:spacing w:before="94" w:beforeLines="30"/>
              <w:rPr>
                <w:rFonts w:hint="eastAsia" w:ascii="宋体" w:hAnsi="宋体" w:cs="Arial"/>
                <w:bCs/>
                <w:color w:val="auto"/>
                <w:kern w:val="0"/>
                <w:szCs w:val="21"/>
                <w:highlight w:val="none"/>
              </w:rPr>
            </w:pPr>
          </w:p>
        </w:tc>
        <w:tc>
          <w:tcPr>
            <w:tcW w:w="3784" w:type="dxa"/>
            <w:vAlign w:val="center"/>
          </w:tcPr>
          <w:p w14:paraId="2C9FB962">
            <w:pPr>
              <w:autoSpaceDE w:val="0"/>
              <w:autoSpaceDN w:val="0"/>
              <w:adjustRightInd w:val="0"/>
              <w:spacing w:before="94" w:beforeLines="30"/>
              <w:rPr>
                <w:rFonts w:hint="eastAsia" w:ascii="宋体" w:hAnsi="宋体" w:cs="Arial"/>
                <w:color w:val="auto"/>
                <w:kern w:val="0"/>
                <w:szCs w:val="21"/>
                <w:highlight w:val="none"/>
              </w:rPr>
            </w:pPr>
            <w:r>
              <w:rPr>
                <w:rFonts w:hint="eastAsia" w:ascii="宋体" w:hAnsi="宋体"/>
                <w:color w:val="auto"/>
                <w:szCs w:val="21"/>
                <w:highlight w:val="none"/>
              </w:rPr>
              <w:t>符合第五章“发包人要求”规定</w:t>
            </w:r>
          </w:p>
        </w:tc>
        <w:tc>
          <w:tcPr>
            <w:tcW w:w="709" w:type="dxa"/>
            <w:vAlign w:val="center"/>
          </w:tcPr>
          <w:p w14:paraId="0977CF7F">
            <w:pPr>
              <w:jc w:val="center"/>
              <w:rPr>
                <w:rFonts w:hint="eastAsia" w:ascii="宋体" w:hAnsi="宋体"/>
                <w:color w:val="auto"/>
                <w:szCs w:val="21"/>
                <w:highlight w:val="none"/>
              </w:rPr>
            </w:pPr>
          </w:p>
        </w:tc>
      </w:tr>
      <w:tr w14:paraId="288E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26" w:type="dxa"/>
            <w:gridSpan w:val="5"/>
            <w:vAlign w:val="center"/>
          </w:tcPr>
          <w:p w14:paraId="1C8BB11F">
            <w:pPr>
              <w:rPr>
                <w:rFonts w:hint="eastAsia"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投标人在响应招标文件中规定的实质性要求和条件的基础上，可做出其他有利于招标人的承诺。此类承诺可在本表中予以补充填写。</w:t>
            </w:r>
          </w:p>
        </w:tc>
      </w:tr>
    </w:tbl>
    <w:p w14:paraId="15E05697">
      <w:pPr>
        <w:spacing w:line="440" w:lineRule="exact"/>
        <w:rPr>
          <w:rFonts w:hint="eastAsia"/>
          <w:color w:val="auto"/>
          <w:szCs w:val="21"/>
          <w:highlight w:val="none"/>
        </w:rPr>
      </w:pPr>
    </w:p>
    <w:p w14:paraId="439AFC3F">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61292CAA">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659E0F1A">
      <w:pPr>
        <w:spacing w:line="440" w:lineRule="exact"/>
        <w:ind w:firstLine="5040" w:firstLineChars="2400"/>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4E5AB129">
      <w:pPr>
        <w:rPr>
          <w:color w:val="auto"/>
          <w:highlight w:val="none"/>
        </w:rPr>
        <w:sectPr>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DAC7711">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236" w:name="_Toc122603072"/>
      <w:bookmarkStart w:id="2237" w:name="_Toc256000205"/>
      <w:r>
        <w:rPr>
          <w:rFonts w:hint="eastAsia" w:cs="宋体"/>
          <w:color w:val="auto"/>
          <w:sz w:val="28"/>
          <w:szCs w:val="28"/>
          <w:highlight w:val="none"/>
          <w:lang w:eastAsia="zh-CN"/>
        </w:rPr>
        <w:t>（</w:t>
      </w:r>
      <w:r>
        <w:rPr>
          <w:rFonts w:hint="default" w:cs="宋体"/>
          <w:color w:val="auto"/>
          <w:sz w:val="28"/>
          <w:szCs w:val="28"/>
          <w:highlight w:val="none"/>
        </w:rPr>
        <w:t>三</w:t>
      </w:r>
      <w:r>
        <w:rPr>
          <w:rFonts w:hint="eastAsia" w:cs="宋体"/>
          <w:color w:val="auto"/>
          <w:sz w:val="28"/>
          <w:szCs w:val="28"/>
          <w:highlight w:val="none"/>
          <w:lang w:eastAsia="zh-CN"/>
        </w:rPr>
        <w:t>）</w:t>
      </w:r>
      <w:r>
        <w:rPr>
          <w:rFonts w:hint="eastAsia" w:cs="宋体"/>
          <w:color w:val="auto"/>
          <w:sz w:val="28"/>
          <w:szCs w:val="28"/>
          <w:highlight w:val="none"/>
        </w:rPr>
        <w:t>告知承诺函</w:t>
      </w:r>
      <w:bookmarkEnd w:id="2236"/>
      <w:bookmarkEnd w:id="2237"/>
    </w:p>
    <w:p w14:paraId="2B574ADC">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679BC1EE">
      <w:pPr>
        <w:spacing w:line="440" w:lineRule="exact"/>
        <w:ind w:firstLine="420" w:firstLineChars="200"/>
        <w:rPr>
          <w:color w:val="auto"/>
          <w:highlight w:val="none"/>
        </w:rPr>
      </w:pPr>
      <w:r>
        <w:rPr>
          <w:rFonts w:hint="eastAsia"/>
          <w:color w:val="auto"/>
          <w:highlight w:val="none"/>
        </w:rPr>
        <w:t>一、我单位和我本人遵循公开、公平、公正、诚实守信的原则，依法依规参与本项目投标。</w:t>
      </w:r>
    </w:p>
    <w:p w14:paraId="66FECA48">
      <w:pPr>
        <w:spacing w:line="440" w:lineRule="exact"/>
        <w:ind w:firstLine="420" w:firstLineChars="200"/>
        <w:rPr>
          <w:color w:val="auto"/>
          <w:highlight w:val="none"/>
        </w:rPr>
      </w:pPr>
      <w:r>
        <w:rPr>
          <w:rFonts w:hint="eastAsia"/>
          <w:color w:val="auto"/>
          <w:highlight w:val="none"/>
        </w:rPr>
        <w:t>二、我单位具有参与本次投标的资质和能力，公司运营状况良好，不存在挂靠投标、不受让、租借、出租、出借资格或资质证书，无处罚期内的不良行为。</w:t>
      </w:r>
    </w:p>
    <w:p w14:paraId="777B360D">
      <w:pPr>
        <w:spacing w:line="440" w:lineRule="exact"/>
        <w:ind w:firstLine="420" w:firstLineChars="200"/>
        <w:rPr>
          <w:color w:val="auto"/>
          <w:highlight w:val="none"/>
        </w:rPr>
      </w:pPr>
      <w:r>
        <w:rPr>
          <w:rFonts w:hint="eastAsia"/>
          <w:color w:val="auto"/>
          <w:highlight w:val="none"/>
        </w:rPr>
        <w:t>三、我单位在本项目投标过程中从招标公告/投标邀请书列明的渠道获取招标文件，没有通过其他不正当渠道获取招标文件。</w:t>
      </w:r>
    </w:p>
    <w:p w14:paraId="73DA1085">
      <w:pPr>
        <w:spacing w:line="440" w:lineRule="exact"/>
        <w:ind w:firstLine="420" w:firstLineChars="200"/>
        <w:rPr>
          <w:color w:val="auto"/>
          <w:highlight w:val="none"/>
        </w:rPr>
      </w:pPr>
      <w:r>
        <w:rPr>
          <w:rFonts w:hint="eastAsia"/>
          <w:color w:val="auto"/>
          <w:highlight w:val="none"/>
        </w:rPr>
        <w:t>四、我单位承诺投标文件由本单位员工独立编制，严格遵守保密义务。所提供的一切投标相关材料都是真实、有效、合法的。</w:t>
      </w:r>
    </w:p>
    <w:p w14:paraId="16339622">
      <w:pPr>
        <w:spacing w:line="440" w:lineRule="exact"/>
        <w:ind w:firstLine="420" w:firstLineChars="200"/>
        <w:rPr>
          <w:color w:val="auto"/>
          <w:highlight w:val="none"/>
        </w:rPr>
      </w:pPr>
      <w:r>
        <w:rPr>
          <w:rFonts w:hint="eastAsia"/>
          <w:color w:val="auto"/>
          <w:highlight w:val="none"/>
        </w:rPr>
        <w:t>五、我单位不与其他投标人相互串通投标报价，不恶意压低或抬高投标报价，不排挤其他投标人的公平竞争，不损害招标人或其他投标人的合法权益。</w:t>
      </w:r>
    </w:p>
    <w:p w14:paraId="2C9985C6">
      <w:pPr>
        <w:spacing w:line="440" w:lineRule="exact"/>
        <w:ind w:firstLine="420" w:firstLineChars="200"/>
        <w:rPr>
          <w:color w:val="auto"/>
          <w:highlight w:val="none"/>
        </w:rPr>
      </w:pPr>
      <w:r>
        <w:rPr>
          <w:rFonts w:hint="eastAsia"/>
          <w:color w:val="auto"/>
          <w:highlight w:val="none"/>
        </w:rPr>
        <w:t>六、我单位不与招标人或招标代理机构串通投标，损害国家利益、社会公共利益或者他人的合法权益。</w:t>
      </w:r>
    </w:p>
    <w:p w14:paraId="1BEF66E5">
      <w:pPr>
        <w:spacing w:line="440" w:lineRule="exact"/>
        <w:ind w:firstLine="420" w:firstLineChars="200"/>
        <w:rPr>
          <w:color w:val="auto"/>
          <w:highlight w:val="none"/>
        </w:rPr>
      </w:pPr>
      <w:r>
        <w:rPr>
          <w:rFonts w:hint="eastAsia"/>
          <w:color w:val="auto"/>
          <w:highlight w:val="none"/>
        </w:rPr>
        <w:t>七、我单位不向招标人或者评标委员会成员行贿以牟取中标，不在开标后进行虚假恶意投诉。</w:t>
      </w:r>
    </w:p>
    <w:p w14:paraId="6FF77C7D">
      <w:pPr>
        <w:spacing w:line="440" w:lineRule="exact"/>
        <w:ind w:firstLine="420" w:firstLineChars="200"/>
        <w:rPr>
          <w:color w:val="auto"/>
          <w:highlight w:val="none"/>
        </w:rPr>
      </w:pPr>
      <w:r>
        <w:rPr>
          <w:rFonts w:hint="eastAsia"/>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6C7F8BD3">
      <w:pPr>
        <w:spacing w:line="440" w:lineRule="exact"/>
        <w:ind w:firstLine="420" w:firstLineChars="200"/>
        <w:rPr>
          <w:color w:val="auto"/>
          <w:highlight w:val="none"/>
        </w:rPr>
      </w:pPr>
      <w:r>
        <w:rPr>
          <w:rFonts w:hint="eastAsia"/>
          <w:color w:val="auto"/>
          <w:highlight w:val="none"/>
        </w:rPr>
        <w:t>九、我单位如在本项目招标投标活动评标工作中存在串通投标、弄虚作假等行为的，本单位及本人自愿承担法律责任，接受相应刑事、纪律和行政处罚以及失信惩戒。</w:t>
      </w:r>
    </w:p>
    <w:p w14:paraId="38BAEAB6">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highlight w:val="none"/>
        </w:rPr>
      </w:pPr>
      <w:r>
        <w:rPr>
          <w:rFonts w:hint="eastAsia"/>
          <w:color w:val="auto"/>
          <w:highlight w:val="none"/>
        </w:rPr>
        <w:t>十、本承诺函由我单位盖章及法定代表人（授权委托人）本人亲自</w:t>
      </w:r>
      <w:bookmarkStart w:id="2238" w:name="OLE_LINK43"/>
      <w:r>
        <w:rPr>
          <w:rFonts w:hint="eastAsia"/>
          <w:color w:val="auto"/>
          <w:highlight w:val="none"/>
        </w:rPr>
        <w:t>盖章或签字</w:t>
      </w:r>
      <w:bookmarkEnd w:id="2238"/>
      <w:r>
        <w:rPr>
          <w:rFonts w:hint="eastAsia"/>
          <w:color w:val="auto"/>
          <w:highlight w:val="none"/>
        </w:rPr>
        <w:t>确认。</w:t>
      </w:r>
    </w:p>
    <w:p w14:paraId="5FD9F25A">
      <w:pPr>
        <w:spacing w:line="440" w:lineRule="exact"/>
        <w:ind w:firstLine="420" w:firstLineChars="200"/>
        <w:rPr>
          <w:rFonts w:hint="eastAsia"/>
          <w:color w:val="auto"/>
          <w:highlight w:val="none"/>
        </w:rPr>
      </w:pPr>
    </w:p>
    <w:p w14:paraId="1CCB6E07">
      <w:pPr>
        <w:spacing w:line="440" w:lineRule="exact"/>
        <w:ind w:firstLine="5145" w:firstLineChars="2450"/>
        <w:rPr>
          <w:color w:val="auto"/>
          <w:highlight w:val="none"/>
        </w:rPr>
      </w:pPr>
      <w:r>
        <w:rPr>
          <w:rFonts w:hint="eastAsia"/>
          <w:color w:val="auto"/>
          <w:highlight w:val="none"/>
        </w:rPr>
        <w:t>承诺单位：（盖单位章）</w:t>
      </w:r>
    </w:p>
    <w:p w14:paraId="1B3FF12B">
      <w:pPr>
        <w:spacing w:line="440" w:lineRule="exact"/>
        <w:ind w:firstLine="4095" w:firstLineChars="1950"/>
        <w:rPr>
          <w:rFonts w:hint="eastAsia"/>
          <w:color w:val="auto"/>
          <w:highlight w:val="none"/>
        </w:rPr>
      </w:pPr>
      <w:r>
        <w:rPr>
          <w:rFonts w:hint="eastAsia"/>
          <w:color w:val="auto"/>
          <w:highlight w:val="none"/>
        </w:rPr>
        <w:t>法定代表人或授权委托人：（签章）</w:t>
      </w:r>
    </w:p>
    <w:p w14:paraId="0CCE6E05">
      <w:pPr>
        <w:spacing w:line="440" w:lineRule="exact"/>
        <w:ind w:right="420" w:firstLine="420" w:firstLineChars="200"/>
        <w:jc w:val="center"/>
        <w:rPr>
          <w:rFonts w:hint="eastAsia"/>
          <w:color w:val="auto"/>
          <w:highlight w:val="none"/>
        </w:rPr>
        <w:sectPr>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73533423">
      <w:pPr>
        <w:pStyle w:val="32"/>
        <w:spacing w:before="312" w:beforeLines="100"/>
        <w:jc w:val="center"/>
        <w:rPr>
          <w:color w:val="auto"/>
          <w:sz w:val="28"/>
          <w:szCs w:val="28"/>
          <w:highlight w:val="none"/>
        </w:rPr>
      </w:pPr>
      <w:bookmarkStart w:id="2239" w:name="_Toc122603073"/>
      <w:bookmarkStart w:id="2240" w:name="_Toc256000206"/>
      <w:r>
        <w:rPr>
          <w:rFonts w:hint="eastAsia"/>
          <w:color w:val="auto"/>
          <w:sz w:val="28"/>
          <w:szCs w:val="28"/>
          <w:highlight w:val="none"/>
          <w:lang w:eastAsia="zh-CN"/>
        </w:rPr>
        <w:t>（</w:t>
      </w:r>
      <w:r>
        <w:rPr>
          <w:rFonts w:hint="eastAsia"/>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声明函</w:t>
      </w:r>
      <w:bookmarkEnd w:id="2239"/>
      <w:bookmarkEnd w:id="2240"/>
    </w:p>
    <w:p w14:paraId="58C93DE7">
      <w:pPr>
        <w:spacing w:line="440" w:lineRule="exact"/>
        <w:ind w:firstLine="420" w:firstLineChars="200"/>
        <w:rPr>
          <w:color w:val="auto"/>
          <w:highlight w:val="none"/>
        </w:rPr>
      </w:pPr>
    </w:p>
    <w:p w14:paraId="55A5572E">
      <w:pPr>
        <w:spacing w:line="440" w:lineRule="exact"/>
        <w:ind w:right="90" w:firstLine="420" w:firstLineChars="200"/>
        <w:rPr>
          <w:color w:val="auto"/>
          <w:highlight w:val="none"/>
        </w:rPr>
      </w:pPr>
      <w:r>
        <w:rPr>
          <w:rFonts w:hint="eastAsia"/>
          <w:color w:val="auto"/>
          <w:highlight w:val="none"/>
        </w:rPr>
        <w:t>在本项目编制投标文件过程中，我单位声明如下：</w:t>
      </w:r>
    </w:p>
    <w:p w14:paraId="1E31BC03">
      <w:pPr>
        <w:spacing w:line="440" w:lineRule="exact"/>
        <w:ind w:right="90" w:firstLine="420" w:firstLineChars="200"/>
        <w:rPr>
          <w:color w:val="auto"/>
          <w:highlight w:val="none"/>
        </w:rPr>
      </w:pPr>
      <w:r>
        <w:rPr>
          <w:rFonts w:hint="eastAsia"/>
          <w:color w:val="auto"/>
          <w:highlight w:val="none"/>
        </w:rPr>
        <w:t>一、未与本标段其他投标人委托同一单位或同一人编制投标文件；</w:t>
      </w:r>
    </w:p>
    <w:p w14:paraId="17DA1072">
      <w:pPr>
        <w:spacing w:line="440" w:lineRule="exact"/>
        <w:ind w:right="90" w:firstLine="420" w:firstLineChars="200"/>
        <w:rPr>
          <w:color w:val="auto"/>
          <w:highlight w:val="none"/>
        </w:rPr>
      </w:pPr>
      <w:r>
        <w:rPr>
          <w:rFonts w:hint="eastAsia"/>
          <w:color w:val="auto"/>
          <w:highlight w:val="none"/>
        </w:rPr>
        <w:t>二、未与本标段其他投标人协商投标报价；</w:t>
      </w:r>
    </w:p>
    <w:p w14:paraId="430ADB6B">
      <w:pPr>
        <w:spacing w:line="440" w:lineRule="exact"/>
        <w:ind w:right="90" w:firstLine="420" w:firstLineChars="200"/>
        <w:rPr>
          <w:color w:val="auto"/>
          <w:highlight w:val="none"/>
        </w:rPr>
      </w:pPr>
      <w:r>
        <w:rPr>
          <w:rFonts w:hint="eastAsia"/>
          <w:color w:val="auto"/>
          <w:highlight w:val="none"/>
        </w:rPr>
        <w:t>三、未与本标段其他投标人使用同一电脑等电子材料编制投标文件；</w:t>
      </w:r>
    </w:p>
    <w:p w14:paraId="163A428F">
      <w:pPr>
        <w:spacing w:line="440" w:lineRule="exact"/>
        <w:ind w:right="90" w:firstLine="420" w:firstLineChars="200"/>
        <w:rPr>
          <w:color w:val="auto"/>
          <w:highlight w:val="none"/>
        </w:rPr>
      </w:pPr>
      <w:r>
        <w:rPr>
          <w:rFonts w:hint="eastAsia"/>
          <w:color w:val="auto"/>
          <w:highlight w:val="none"/>
        </w:rPr>
        <w:t>四、未使用“网络虚拟材料”等无法识别电子材料归属的电脑编制投标文件；</w:t>
      </w:r>
    </w:p>
    <w:p w14:paraId="75DC2319">
      <w:pPr>
        <w:spacing w:line="440" w:lineRule="exact"/>
        <w:ind w:right="90" w:firstLine="420" w:firstLineChars="200"/>
        <w:rPr>
          <w:color w:val="auto"/>
          <w:highlight w:val="none"/>
        </w:rPr>
      </w:pPr>
      <w:r>
        <w:rPr>
          <w:rFonts w:hint="eastAsia"/>
          <w:color w:val="auto"/>
          <w:highlight w:val="none"/>
        </w:rPr>
        <w:t>五、本项目技术标（</w:t>
      </w:r>
      <w:r>
        <w:rPr>
          <w:rFonts w:hint="eastAsia"/>
          <w:color w:val="auto"/>
          <w:szCs w:val="21"/>
          <w:highlight w:val="none"/>
        </w:rPr>
        <w:t>承包人建议书、承包人实施方案</w:t>
      </w:r>
      <w:r>
        <w:rPr>
          <w:rFonts w:hint="eastAsia"/>
          <w:color w:val="auto"/>
          <w:highlight w:val="none"/>
        </w:rPr>
        <w:t>）是针对本项目现场实际、技术特点以及图纸而编制的相应的技术方案，在编制过程中未抄袭、摘抄网络或其他项目相关技术资料，对文件内容具有独立自主知识产权；</w:t>
      </w:r>
    </w:p>
    <w:p w14:paraId="6A03195E">
      <w:pPr>
        <w:spacing w:line="440" w:lineRule="exact"/>
        <w:ind w:right="90" w:firstLine="420" w:firstLineChars="200"/>
        <w:rPr>
          <w:color w:val="auto"/>
          <w:highlight w:val="none"/>
        </w:rPr>
      </w:pPr>
      <w:r>
        <w:rPr>
          <w:rFonts w:hint="eastAsia"/>
          <w:color w:val="auto"/>
          <w:highlight w:val="none"/>
        </w:rPr>
        <w:t>六、本项目经济标（投标报价）是依据本项目给定的设计方案、最高投标限价以及现场实际独立编制的，对投标报价编制的完整性、准确性负责；</w:t>
      </w:r>
    </w:p>
    <w:p w14:paraId="799F2D86">
      <w:pPr>
        <w:spacing w:line="440" w:lineRule="exact"/>
        <w:ind w:right="90" w:firstLine="420" w:firstLineChars="200"/>
        <w:rPr>
          <w:color w:val="auto"/>
          <w:highlight w:val="none"/>
        </w:rPr>
      </w:pPr>
      <w:r>
        <w:rPr>
          <w:rFonts w:hint="eastAsia"/>
          <w:color w:val="auto"/>
          <w:highlight w:val="none"/>
        </w:rPr>
        <w:t>七、</w:t>
      </w:r>
      <w:r>
        <w:rPr>
          <w:rFonts w:hint="eastAsia" w:ascii="宋体" w:hAnsi="宋体" w:cs="宋体"/>
          <w:color w:val="auto"/>
          <w:highlight w:val="none"/>
        </w:rPr>
        <w:t>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2E279AEB">
      <w:pPr>
        <w:spacing w:line="440" w:lineRule="exact"/>
        <w:ind w:right="90" w:firstLine="420" w:firstLineChars="200"/>
        <w:rPr>
          <w:color w:val="auto"/>
          <w:highlight w:val="none"/>
        </w:rPr>
      </w:pPr>
      <w:r>
        <w:rPr>
          <w:rFonts w:hint="eastAsia"/>
          <w:color w:val="auto"/>
          <w:highlight w:val="none"/>
        </w:rPr>
        <w:t>我单位对以上声明内容完全负责，如违反以上任</w:t>
      </w:r>
      <w:r>
        <w:rPr>
          <w:rFonts w:hint="eastAsia"/>
          <w:color w:val="auto"/>
          <w:highlight w:val="none"/>
          <w:lang w:val="en-US" w:eastAsia="zh-CN"/>
        </w:rPr>
        <w:t>意</w:t>
      </w:r>
      <w:r>
        <w:rPr>
          <w:rFonts w:hint="eastAsia"/>
          <w:color w:val="auto"/>
          <w:highlight w:val="none"/>
        </w:rPr>
        <w:t>一款，评标委员会有权依据招标文件相应条款否决我单位投标文件，招标人有权依据相关法律不接受我单位投标并没收我单位投标保证金，由此造成的一切法律责任和经济损失我单位均予以承担。</w:t>
      </w:r>
    </w:p>
    <w:p w14:paraId="3EA9829C">
      <w:pPr>
        <w:spacing w:line="440" w:lineRule="exact"/>
        <w:ind w:right="90" w:firstLine="420" w:firstLineChars="200"/>
        <w:rPr>
          <w:color w:val="auto"/>
          <w:highlight w:val="none"/>
        </w:rPr>
      </w:pPr>
      <w:r>
        <w:rPr>
          <w:rFonts w:hint="eastAsia"/>
          <w:color w:val="auto"/>
          <w:highlight w:val="none"/>
        </w:rPr>
        <w:t>特此声明！</w:t>
      </w:r>
    </w:p>
    <w:p w14:paraId="5B64A8C9">
      <w:pPr>
        <w:spacing w:line="440" w:lineRule="exact"/>
        <w:ind w:right="420" w:firstLine="420" w:firstLineChars="200"/>
        <w:jc w:val="center"/>
        <w:rPr>
          <w:color w:val="auto"/>
          <w:highlight w:val="none"/>
        </w:rPr>
      </w:pPr>
    </w:p>
    <w:p w14:paraId="65B21993">
      <w:pPr>
        <w:spacing w:line="440" w:lineRule="exact"/>
        <w:ind w:right="420" w:firstLine="420" w:firstLineChars="200"/>
        <w:jc w:val="center"/>
        <w:rPr>
          <w:rFonts w:ascii="宋体" w:hAnsi="宋体"/>
          <w:color w:val="auto"/>
          <w:szCs w:val="21"/>
          <w:highlight w:val="none"/>
        </w:rPr>
      </w:pPr>
    </w:p>
    <w:p w14:paraId="6F8660F6">
      <w:pPr>
        <w:spacing w:line="440" w:lineRule="exact"/>
        <w:ind w:right="420" w:firstLine="420" w:firstLineChars="200"/>
        <w:jc w:val="center"/>
        <w:rPr>
          <w:rFonts w:ascii="宋体" w:hAnsi="宋体"/>
          <w:color w:val="auto"/>
          <w:szCs w:val="21"/>
          <w:highlight w:val="none"/>
        </w:rPr>
      </w:pPr>
    </w:p>
    <w:p w14:paraId="077E1B9B">
      <w:pPr>
        <w:spacing w:line="440" w:lineRule="exact"/>
        <w:ind w:firstLine="4095" w:firstLineChars="1950"/>
        <w:rPr>
          <w:color w:val="auto"/>
          <w:highlight w:val="none"/>
        </w:rPr>
      </w:pPr>
      <w:r>
        <w:rPr>
          <w:rFonts w:hint="eastAsia"/>
          <w:color w:val="auto"/>
          <w:highlight w:val="none"/>
        </w:rPr>
        <w:t>声明单位：（盖单位章）</w:t>
      </w:r>
    </w:p>
    <w:p w14:paraId="3D6D987C">
      <w:pPr>
        <w:spacing w:line="440" w:lineRule="exact"/>
        <w:ind w:firstLine="4095" w:firstLineChars="1950"/>
        <w:rPr>
          <w:color w:val="auto"/>
          <w:highlight w:val="none"/>
        </w:rPr>
      </w:pPr>
      <w:r>
        <w:rPr>
          <w:rFonts w:hint="eastAsia"/>
          <w:color w:val="auto"/>
          <w:highlight w:val="none"/>
        </w:rPr>
        <w:t>法定代表人或授权委托人：（签章）</w:t>
      </w:r>
    </w:p>
    <w:p w14:paraId="701AE2F6">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7DBB1AEB">
      <w:pPr>
        <w:rPr>
          <w:color w:val="auto"/>
          <w:highlight w:val="none"/>
        </w:rPr>
        <w:sectPr>
          <w:footerReference r:id="rId2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2FB3E7">
      <w:pPr>
        <w:bidi w:val="0"/>
        <w:rPr>
          <w:rFonts w:hint="default"/>
          <w:color w:val="auto"/>
          <w:highlight w:val="none"/>
        </w:rPr>
      </w:pPr>
    </w:p>
    <w:p w14:paraId="3E867F22">
      <w:pPr>
        <w:bidi w:val="0"/>
        <w:rPr>
          <w:rFonts w:hint="default"/>
          <w:color w:val="auto"/>
          <w:highlight w:val="none"/>
        </w:rPr>
      </w:pPr>
    </w:p>
    <w:p w14:paraId="0A6FA71B">
      <w:pPr>
        <w:bidi w:val="0"/>
        <w:rPr>
          <w:rFonts w:hint="default"/>
          <w:color w:val="auto"/>
          <w:highlight w:val="none"/>
        </w:rPr>
      </w:pPr>
    </w:p>
    <w:p w14:paraId="72E83546">
      <w:pPr>
        <w:bidi w:val="0"/>
        <w:rPr>
          <w:rFonts w:hint="default"/>
          <w:color w:val="auto"/>
          <w:highlight w:val="none"/>
        </w:rPr>
      </w:pPr>
    </w:p>
    <w:p w14:paraId="34475B03">
      <w:pPr>
        <w:bidi w:val="0"/>
        <w:rPr>
          <w:rFonts w:hint="default"/>
          <w:color w:val="auto"/>
          <w:highlight w:val="none"/>
        </w:rPr>
      </w:pPr>
    </w:p>
    <w:p w14:paraId="2F735A65">
      <w:pPr>
        <w:bidi w:val="0"/>
        <w:rPr>
          <w:rFonts w:hint="default"/>
          <w:color w:val="auto"/>
          <w:highlight w:val="none"/>
        </w:rPr>
      </w:pPr>
    </w:p>
    <w:p w14:paraId="008B11A9">
      <w:pPr>
        <w:bidi w:val="0"/>
        <w:rPr>
          <w:rFonts w:hint="default"/>
          <w:color w:val="auto"/>
          <w:highlight w:val="none"/>
        </w:rPr>
      </w:pPr>
    </w:p>
    <w:p w14:paraId="7337ED84">
      <w:pPr>
        <w:bidi w:val="0"/>
        <w:rPr>
          <w:rFonts w:hint="default"/>
          <w:color w:val="auto"/>
          <w:highlight w:val="none"/>
        </w:rPr>
      </w:pPr>
    </w:p>
    <w:p w14:paraId="792CF3AC">
      <w:pPr>
        <w:bidi w:val="0"/>
        <w:rPr>
          <w:rFonts w:hint="default"/>
          <w:color w:val="auto"/>
          <w:highlight w:val="none"/>
        </w:rPr>
      </w:pPr>
    </w:p>
    <w:p w14:paraId="076D715B">
      <w:pPr>
        <w:bidi w:val="0"/>
        <w:rPr>
          <w:rFonts w:hint="default"/>
          <w:color w:val="auto"/>
          <w:highlight w:val="none"/>
        </w:rPr>
      </w:pPr>
    </w:p>
    <w:p w14:paraId="0D34D66A">
      <w:pPr>
        <w:bidi w:val="0"/>
        <w:rPr>
          <w:rFonts w:hint="default"/>
          <w:color w:val="auto"/>
          <w:highlight w:val="none"/>
        </w:rPr>
      </w:pPr>
    </w:p>
    <w:p w14:paraId="77AAA056">
      <w:pPr>
        <w:bidi w:val="0"/>
        <w:rPr>
          <w:rFonts w:hint="default"/>
          <w:color w:val="auto"/>
          <w:highlight w:val="none"/>
        </w:rPr>
      </w:pPr>
    </w:p>
    <w:p w14:paraId="16C1F197">
      <w:pPr>
        <w:bidi w:val="0"/>
        <w:rPr>
          <w:rFonts w:hint="default"/>
          <w:color w:val="auto"/>
          <w:highlight w:val="none"/>
        </w:rPr>
      </w:pPr>
    </w:p>
    <w:p w14:paraId="11D2FF99">
      <w:pPr>
        <w:bidi w:val="0"/>
        <w:rPr>
          <w:rFonts w:hint="default"/>
          <w:color w:val="auto"/>
          <w:highlight w:val="none"/>
        </w:rPr>
      </w:pPr>
    </w:p>
    <w:p w14:paraId="31853B90">
      <w:pPr>
        <w:pStyle w:val="30"/>
        <w:widowControl/>
        <w:ind w:left="0" w:right="0"/>
        <w:jc w:val="center"/>
        <w:rPr>
          <w:b w:val="0"/>
          <w:bCs w:val="0"/>
          <w:color w:val="auto"/>
          <w:highlight w:val="none"/>
        </w:rPr>
        <w:sectPr>
          <w:foot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241" w:name="_Toc256000207"/>
      <w:r>
        <w:rPr>
          <w:rFonts w:hint="default" w:ascii="黑体" w:hAnsi="宋体" w:cs="黑体"/>
          <w:b w:val="0"/>
          <w:bCs w:val="0"/>
          <w:color w:val="auto"/>
          <w:kern w:val="2"/>
          <w:sz w:val="28"/>
          <w:szCs w:val="28"/>
          <w:highlight w:val="none"/>
        </w:rPr>
        <w:t>二</w:t>
      </w:r>
      <w:r>
        <w:rPr>
          <w:rFonts w:hint="eastAsia" w:ascii="黑体" w:hAnsi="宋体" w:eastAsia="黑体" w:cs="黑体"/>
          <w:b w:val="0"/>
          <w:bCs w:val="0"/>
          <w:color w:val="auto"/>
          <w:kern w:val="2"/>
          <w:sz w:val="28"/>
          <w:szCs w:val="28"/>
          <w:highlight w:val="none"/>
        </w:rPr>
        <w:t>、法定代表人身份证明或授权委托书</w:t>
      </w:r>
      <w:bookmarkEnd w:id="2241"/>
    </w:p>
    <w:p w14:paraId="538EF075">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lang w:val="en-US" w:eastAsia="zh-CN"/>
        </w:rPr>
      </w:pPr>
      <w:bookmarkStart w:id="2242" w:name="_Toc122603074"/>
      <w:bookmarkStart w:id="2243" w:name="_Toc256000208"/>
      <w:r>
        <w:rPr>
          <w:rFonts w:hint="eastAsia"/>
          <w:color w:val="auto"/>
          <w:sz w:val="28"/>
          <w:szCs w:val="28"/>
          <w:highlight w:val="none"/>
          <w:lang w:val="en-US" w:eastAsia="zh-CN"/>
        </w:rPr>
        <w:t>（</w:t>
      </w:r>
      <w:r>
        <w:rPr>
          <w:rFonts w:hint="default"/>
          <w:color w:val="auto"/>
          <w:sz w:val="28"/>
          <w:szCs w:val="28"/>
          <w:highlight w:val="none"/>
          <w:lang w:val="en-US" w:eastAsia="zh-CN"/>
        </w:rPr>
        <w:t>一</w:t>
      </w:r>
      <w:r>
        <w:rPr>
          <w:rFonts w:hint="eastAsia"/>
          <w:color w:val="auto"/>
          <w:sz w:val="28"/>
          <w:szCs w:val="28"/>
          <w:highlight w:val="none"/>
          <w:lang w:val="en-US" w:eastAsia="zh-CN"/>
        </w:rPr>
        <w:t>）法定代表人身份证明</w:t>
      </w:r>
      <w:bookmarkEnd w:id="2242"/>
      <w:bookmarkEnd w:id="2243"/>
    </w:p>
    <w:p w14:paraId="14F38AE8">
      <w:pPr>
        <w:spacing w:line="500" w:lineRule="exac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2B572A79">
      <w:pPr>
        <w:spacing w:line="500" w:lineRule="exact"/>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5C4994B">
      <w:pPr>
        <w:spacing w:line="50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38E52325">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E27B243">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65FF4A4A">
      <w:pPr>
        <w:spacing w:line="500" w:lineRule="exac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3C4635AF">
      <w:pPr>
        <w:spacing w:line="500" w:lineRule="exact"/>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3C193AE5">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13622AA8">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r>
        <w:rPr>
          <w:rFonts w:hint="eastAsia" w:ascii="宋体" w:hAnsi="宋体"/>
          <w:color w:val="auto"/>
          <w:szCs w:val="21"/>
          <w:highlight w:val="none"/>
        </w:rPr>
        <w:t>特此证明。</w:t>
      </w:r>
    </w:p>
    <w:p w14:paraId="44F669AD">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p>
    <w:p w14:paraId="4DE7C7E9">
      <w:pPr>
        <w:spacing w:line="500" w:lineRule="exact"/>
        <w:rPr>
          <w:rFonts w:hint="eastAsia" w:ascii="宋体" w:hAnsi="宋体"/>
          <w:color w:val="auto"/>
          <w:szCs w:val="21"/>
          <w:highlight w:val="none"/>
        </w:rPr>
      </w:pPr>
    </w:p>
    <w:p w14:paraId="7598DE90">
      <w:pPr>
        <w:spacing w:line="500" w:lineRule="exact"/>
        <w:rPr>
          <w:rFonts w:hint="eastAsia" w:ascii="宋体" w:hAnsi="宋体"/>
          <w:color w:val="auto"/>
          <w:szCs w:val="21"/>
          <w:highlight w:val="none"/>
        </w:rPr>
      </w:pPr>
    </w:p>
    <w:p w14:paraId="0B503E38">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072DC1A">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49937984">
      <w:pPr>
        <w:rPr>
          <w:color w:val="auto"/>
          <w:highlight w:val="none"/>
        </w:rPr>
        <w:sectPr>
          <w:footerReference r:id="rId2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332616">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szCs w:val="21"/>
          <w:highlight w:val="none"/>
        </w:rPr>
      </w:pPr>
      <w:bookmarkStart w:id="2244" w:name="_Toc122603075"/>
      <w:bookmarkStart w:id="2245" w:name="_Toc256000209"/>
      <w:r>
        <w:rPr>
          <w:rFonts w:hint="eastAsia"/>
          <w:color w:val="auto"/>
          <w:sz w:val="28"/>
          <w:szCs w:val="28"/>
          <w:highlight w:val="none"/>
          <w:lang w:eastAsia="zh-CN"/>
        </w:rPr>
        <w:t>（</w:t>
      </w:r>
      <w:r>
        <w:rPr>
          <w:rFonts w:hint="default"/>
          <w:color w:val="auto"/>
          <w:sz w:val="28"/>
          <w:szCs w:val="28"/>
          <w:highlight w:val="none"/>
          <w:lang w:eastAsia="zh-CN"/>
        </w:rPr>
        <w:t>二</w:t>
      </w:r>
      <w:r>
        <w:rPr>
          <w:rFonts w:hint="eastAsia"/>
          <w:color w:val="auto"/>
          <w:sz w:val="28"/>
          <w:szCs w:val="28"/>
          <w:highlight w:val="none"/>
          <w:lang w:eastAsia="zh-CN"/>
        </w:rPr>
        <w:t>）授权委托书</w:t>
      </w:r>
      <w:bookmarkEnd w:id="2244"/>
      <w:bookmarkEnd w:id="2245"/>
    </w:p>
    <w:p w14:paraId="5DC5E07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2246"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2246"/>
      <w:r>
        <w:rPr>
          <w:rFonts w:hint="eastAsia" w:ascii="宋体" w:hAnsi="宋体"/>
          <w:color w:val="auto"/>
          <w:szCs w:val="21"/>
          <w:highlight w:val="none"/>
        </w:rPr>
        <w:t>投标文件、签订合同和处理有关事宜，其法律后果由我方承担。</w:t>
      </w:r>
    </w:p>
    <w:p w14:paraId="0ECA920B">
      <w:pPr>
        <w:spacing w:before="120"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8E9F03">
      <w:pPr>
        <w:spacing w:before="240" w:beforeLines="100" w:after="24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338E0D94">
      <w:pPr>
        <w:spacing w:line="500" w:lineRule="exact"/>
        <w:jc w:val="center"/>
        <w:rPr>
          <w:rFonts w:ascii="宋体" w:hAnsi="宋体"/>
          <w:color w:val="auto"/>
          <w:szCs w:val="21"/>
          <w:highlight w:val="none"/>
        </w:rPr>
      </w:pPr>
      <w:r>
        <w:rPr>
          <w:rFonts w:hint="eastAsia" w:ascii="宋体" w:hAnsi="宋体"/>
          <w:color w:val="auto"/>
          <w:szCs w:val="21"/>
          <w:highlight w:val="none"/>
        </w:rPr>
        <w:t>（附授权委托人身份证正反面复印件）</w:t>
      </w:r>
    </w:p>
    <w:p w14:paraId="3A34373B">
      <w:pPr>
        <w:spacing w:line="500" w:lineRule="exact"/>
        <w:rPr>
          <w:rFonts w:hint="eastAsia" w:ascii="宋体" w:hAnsi="宋体"/>
          <w:color w:val="auto"/>
          <w:szCs w:val="21"/>
          <w:highlight w:val="none"/>
        </w:rPr>
      </w:pPr>
    </w:p>
    <w:p w14:paraId="18B1FC58">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投  标  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（盖单位章）</w:t>
      </w:r>
    </w:p>
    <w:p w14:paraId="78634E33">
      <w:pPr>
        <w:spacing w:line="400" w:lineRule="exact"/>
        <w:ind w:firstLine="3570" w:firstLineChars="1700"/>
        <w:rPr>
          <w:rFonts w:hint="eastAsia" w:ascii="宋体" w:hAnsi="宋体" w:cs="宋体"/>
          <w:b w:val="0"/>
          <w:bCs w:val="0"/>
          <w:color w:val="auto"/>
          <w:szCs w:val="21"/>
          <w:highlight w:val="none"/>
        </w:rPr>
      </w:pPr>
    </w:p>
    <w:p w14:paraId="67C10193">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法定代表人：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52901B37">
      <w:pPr>
        <w:spacing w:line="400" w:lineRule="exact"/>
        <w:ind w:firstLine="3570" w:firstLineChars="1700"/>
        <w:rPr>
          <w:rFonts w:hint="eastAsia" w:ascii="宋体" w:hAnsi="宋体" w:cs="宋体"/>
          <w:b w:val="0"/>
          <w:bCs w:val="0"/>
          <w:color w:val="auto"/>
          <w:szCs w:val="21"/>
          <w:highlight w:val="none"/>
        </w:rPr>
      </w:pPr>
    </w:p>
    <w:p w14:paraId="7249105E">
      <w:pPr>
        <w:spacing w:line="400" w:lineRule="exact"/>
        <w:ind w:firstLine="3570" w:firstLineChars="1700"/>
        <w:rPr>
          <w:rFonts w:hint="eastAsia" w:ascii="宋体" w:hAnsi="宋体" w:cs="宋体"/>
          <w:b w:val="0"/>
          <w:bCs w:val="0"/>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宋体" w:hAnsi="宋体" w:eastAsia="宋体" w:cs="宋体"/>
          <w:b w:val="0"/>
          <w:bCs w:val="0"/>
          <w:color w:val="auto"/>
          <w:szCs w:val="21"/>
          <w:highlight w:val="none"/>
          <w:u w:val="single"/>
        </w:rPr>
        <w:t xml:space="preserve">                              </w:t>
      </w:r>
    </w:p>
    <w:p w14:paraId="601141E9">
      <w:pPr>
        <w:spacing w:line="400" w:lineRule="exact"/>
        <w:ind w:firstLine="3570" w:firstLineChars="1700"/>
        <w:rPr>
          <w:rFonts w:hint="eastAsia" w:ascii="宋体" w:hAnsi="宋体" w:cs="宋体"/>
          <w:b w:val="0"/>
          <w:bCs w:val="0"/>
          <w:color w:val="auto"/>
          <w:szCs w:val="21"/>
          <w:highlight w:val="none"/>
          <w:u w:val="single"/>
        </w:rPr>
      </w:pPr>
    </w:p>
    <w:p w14:paraId="2E96B260">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委托代理人：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39BD770D">
      <w:pPr>
        <w:spacing w:line="400" w:lineRule="exact"/>
        <w:ind w:firstLine="3570" w:firstLineChars="1700"/>
        <w:rPr>
          <w:rFonts w:hint="eastAsia" w:ascii="宋体" w:hAnsi="宋体" w:cs="宋体"/>
          <w:b w:val="0"/>
          <w:bCs w:val="0"/>
          <w:color w:val="auto"/>
          <w:szCs w:val="21"/>
          <w:highlight w:val="none"/>
        </w:rPr>
      </w:pPr>
    </w:p>
    <w:p w14:paraId="2A1035FB">
      <w:pPr>
        <w:spacing w:line="400" w:lineRule="exact"/>
        <w:ind w:firstLine="3570" w:firstLineChars="1700"/>
        <w:rPr>
          <w:rFonts w:hint="eastAsia" w:ascii="黑体" w:hAnsi="宋体" w:eastAsia="黑体"/>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黑体" w:hAnsi="宋体" w:eastAsia="黑体"/>
          <w:color w:val="auto"/>
          <w:szCs w:val="21"/>
          <w:highlight w:val="none"/>
          <w:u w:val="single"/>
        </w:rPr>
        <w:t xml:space="preserve">                              </w:t>
      </w:r>
    </w:p>
    <w:p w14:paraId="7E70D0B1">
      <w:pPr>
        <w:spacing w:line="400" w:lineRule="exact"/>
        <w:rPr>
          <w:rFonts w:hint="eastAsia" w:ascii="黑体" w:hAnsi="宋体" w:eastAsia="黑体"/>
          <w:color w:val="auto"/>
          <w:szCs w:val="21"/>
          <w:highlight w:val="none"/>
        </w:rPr>
      </w:pPr>
    </w:p>
    <w:p w14:paraId="1BB1211F">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4947FFC">
      <w:pPr>
        <w:rPr>
          <w:color w:val="auto"/>
          <w:highlight w:val="none"/>
        </w:rPr>
        <w:sectPr>
          <w:footerReference r:id="rId2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7542E79">
      <w:pPr>
        <w:pStyle w:val="3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szCs w:val="21"/>
          <w:highlight w:val="none"/>
        </w:rPr>
      </w:pPr>
      <w:bookmarkStart w:id="2247" w:name="_Toc256000210"/>
      <w:bookmarkStart w:id="2248" w:name="_Toc122603076"/>
      <w:r>
        <w:rPr>
          <w:rFonts w:hint="default"/>
          <w:color w:val="auto"/>
          <w:highlight w:val="none"/>
        </w:rPr>
        <w:t>三</w:t>
      </w:r>
      <w:r>
        <w:rPr>
          <w:rFonts w:hint="eastAsia"/>
          <w:color w:val="auto"/>
          <w:highlight w:val="none"/>
        </w:rPr>
        <w:t>、投标保证金</w:t>
      </w:r>
      <w:bookmarkEnd w:id="2247"/>
      <w:bookmarkEnd w:id="2248"/>
    </w:p>
    <w:p w14:paraId="5A90684B">
      <w:pPr>
        <w:spacing w:line="400" w:lineRule="atLeast"/>
        <w:ind w:firstLine="390"/>
        <w:rPr>
          <w:rFonts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49F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03642C0">
            <w:pPr>
              <w:jc w:val="center"/>
              <w:rPr>
                <w:rFonts w:ascii="宋体" w:hAnsi="宋体"/>
                <w:b/>
                <w:color w:val="auto"/>
                <w:highlight w:val="none"/>
              </w:rPr>
            </w:pPr>
            <w:r>
              <w:rPr>
                <w:rFonts w:hint="eastAsia" w:ascii="宋体" w:hAnsi="宋体"/>
                <w:b/>
                <w:color w:val="auto"/>
                <w:highlight w:val="none"/>
              </w:rPr>
              <w:t>现金汇款信息</w:t>
            </w:r>
          </w:p>
        </w:tc>
      </w:tr>
      <w:tr w14:paraId="5758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47F52176">
            <w:pPr>
              <w:jc w:val="center"/>
              <w:rPr>
                <w:rFonts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6ED4650A">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5DE6DC9">
            <w:pPr>
              <w:jc w:val="center"/>
              <w:rPr>
                <w:rFonts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FCF9593">
            <w:pPr>
              <w:rPr>
                <w:rFonts w:ascii="宋体" w:hAnsi="宋体"/>
                <w:color w:val="auto"/>
                <w:highlight w:val="none"/>
              </w:rPr>
            </w:pPr>
          </w:p>
        </w:tc>
      </w:tr>
      <w:tr w14:paraId="103A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22B76F0D">
            <w:pPr>
              <w:jc w:val="center"/>
              <w:rPr>
                <w:rFonts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21EA436">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19F6DA83">
            <w:pPr>
              <w:jc w:val="center"/>
              <w:rPr>
                <w:rFonts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16635815">
            <w:pPr>
              <w:rPr>
                <w:rFonts w:ascii="宋体" w:hAnsi="宋体"/>
                <w:color w:val="auto"/>
                <w:highlight w:val="none"/>
              </w:rPr>
            </w:pPr>
          </w:p>
        </w:tc>
      </w:tr>
      <w:tr w14:paraId="4EE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5447E61E">
            <w:pPr>
              <w:jc w:val="center"/>
              <w:rPr>
                <w:rFonts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92E4080">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54771276">
            <w:pPr>
              <w:jc w:val="center"/>
              <w:rPr>
                <w:rFonts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3536247">
            <w:pPr>
              <w:rPr>
                <w:rFonts w:ascii="宋体" w:hAnsi="宋体"/>
                <w:color w:val="auto"/>
                <w:highlight w:val="none"/>
              </w:rPr>
            </w:pPr>
          </w:p>
        </w:tc>
      </w:tr>
      <w:tr w14:paraId="698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F35B85">
            <w:pPr>
              <w:jc w:val="center"/>
              <w:rPr>
                <w:rFonts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FE365FB">
            <w:pPr>
              <w:rPr>
                <w:rFonts w:ascii="宋体" w:hAnsi="宋体"/>
                <w:color w:val="auto"/>
                <w:highlight w:val="none"/>
              </w:rPr>
            </w:pPr>
            <w:r>
              <w:rPr>
                <w:rFonts w:hint="eastAsia" w:ascii="宋体" w:hAnsi="宋体"/>
                <w:color w:val="auto"/>
                <w:highlight w:val="none"/>
              </w:rPr>
              <w:t>汇款凭证扫描件</w:t>
            </w:r>
          </w:p>
        </w:tc>
      </w:tr>
      <w:tr w14:paraId="7706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27CB63">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2E9FD5">
            <w:pPr>
              <w:rPr>
                <w:rFonts w:ascii="宋体" w:hAnsi="宋体"/>
                <w:color w:val="auto"/>
                <w:highlight w:val="none"/>
              </w:rPr>
            </w:pPr>
          </w:p>
        </w:tc>
      </w:tr>
      <w:tr w14:paraId="0D9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42939F">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3888469">
            <w:pPr>
              <w:rPr>
                <w:rFonts w:ascii="宋体" w:hAnsi="宋体"/>
                <w:color w:val="auto"/>
                <w:highlight w:val="none"/>
              </w:rPr>
            </w:pPr>
            <w:r>
              <w:rPr>
                <w:rFonts w:hint="eastAsia" w:ascii="宋体" w:hAnsi="宋体"/>
                <w:color w:val="auto"/>
                <w:highlight w:val="none"/>
              </w:rPr>
              <w:t>基本户开户许可证（基本存款账户信息）扫描件</w:t>
            </w:r>
          </w:p>
        </w:tc>
      </w:tr>
      <w:tr w14:paraId="75C6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82FD92">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FA482F">
            <w:pPr>
              <w:rPr>
                <w:rFonts w:ascii="宋体" w:hAnsi="宋体"/>
                <w:color w:val="auto"/>
                <w:highlight w:val="none"/>
              </w:rPr>
            </w:pPr>
          </w:p>
        </w:tc>
      </w:tr>
      <w:tr w14:paraId="606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E3DB46">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97500B">
            <w:pPr>
              <w:rPr>
                <w:rFonts w:ascii="宋体" w:hAnsi="宋体"/>
                <w:color w:val="auto"/>
                <w:highlight w:val="none"/>
              </w:rPr>
            </w:pPr>
            <w:r>
              <w:rPr>
                <w:rFonts w:hint="eastAsia" w:ascii="宋体" w:hAnsi="宋体"/>
                <w:color w:val="auto"/>
                <w:highlight w:val="none"/>
              </w:rPr>
              <w:t>其他材料</w:t>
            </w:r>
          </w:p>
        </w:tc>
      </w:tr>
      <w:tr w14:paraId="48C6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AED2B1">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25C935">
            <w:pPr>
              <w:rPr>
                <w:rFonts w:ascii="宋体" w:hAnsi="宋体"/>
                <w:color w:val="auto"/>
                <w:highlight w:val="none"/>
              </w:rPr>
            </w:pPr>
          </w:p>
        </w:tc>
      </w:tr>
    </w:tbl>
    <w:p w14:paraId="4E2C73B5">
      <w:pPr>
        <w:autoSpaceDE w:val="0"/>
        <w:autoSpaceDN w:val="0"/>
        <w:adjustRightInd w:val="0"/>
        <w:spacing w:line="360" w:lineRule="auto"/>
        <w:ind w:firstLine="400" w:firstLineChars="200"/>
        <w:rPr>
          <w:rFonts w:ascii="宋体" w:hAnsi="宋体"/>
          <w:color w:val="auto"/>
          <w:sz w:val="20"/>
          <w:highlight w:val="none"/>
        </w:rPr>
      </w:pPr>
    </w:p>
    <w:p w14:paraId="05328E7C">
      <w:pPr>
        <w:spacing w:line="400" w:lineRule="atLeast"/>
        <w:ind w:firstLine="390"/>
        <w:rPr>
          <w:rFonts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rPr>
        <w:t>辽宁省工程建设项目电子保函保险基础服务平台</w:t>
      </w:r>
      <w:bookmarkStart w:id="2249"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2249"/>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23"/>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2D4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50F55BB8">
            <w:pPr>
              <w:jc w:val="center"/>
              <w:rPr>
                <w:rFonts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457C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36398DF7">
            <w:pPr>
              <w:jc w:val="center"/>
              <w:rPr>
                <w:rFonts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00E0B65">
            <w:pPr>
              <w:rPr>
                <w:rFonts w:ascii="宋体" w:hAnsi="宋体"/>
                <w:color w:val="auto"/>
                <w:highlight w:val="none"/>
              </w:rPr>
            </w:pPr>
          </w:p>
        </w:tc>
      </w:tr>
      <w:tr w14:paraId="2E84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0C070907">
            <w:pPr>
              <w:jc w:val="center"/>
              <w:rPr>
                <w:rFonts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45B5D191">
            <w:pPr>
              <w:rPr>
                <w:rFonts w:ascii="宋体" w:hAnsi="宋体"/>
                <w:color w:val="auto"/>
                <w:highlight w:val="none"/>
              </w:rPr>
            </w:pPr>
            <w:r>
              <w:rPr>
                <w:rFonts w:hint="eastAsia" w:ascii="宋体" w:hAnsi="宋体"/>
                <w:color w:val="auto"/>
                <w:highlight w:val="none"/>
              </w:rPr>
              <w:t>电子保函扫描件</w:t>
            </w:r>
          </w:p>
        </w:tc>
      </w:tr>
      <w:tr w14:paraId="74EC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EE186D">
            <w:pPr>
              <w:widowControl/>
              <w:rPr>
                <w:rFonts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69E31388">
            <w:pPr>
              <w:rPr>
                <w:rFonts w:ascii="宋体" w:hAnsi="宋体"/>
                <w:color w:val="auto"/>
                <w:highlight w:val="none"/>
              </w:rPr>
            </w:pPr>
          </w:p>
        </w:tc>
      </w:tr>
    </w:tbl>
    <w:p w14:paraId="7F20BC94">
      <w:pPr>
        <w:spacing w:line="400" w:lineRule="atLeast"/>
        <w:ind w:firstLine="390"/>
        <w:rPr>
          <w:rFonts w:ascii="宋体" w:hAnsi="宋体"/>
          <w:color w:val="auto"/>
          <w:szCs w:val="21"/>
          <w:highlight w:val="none"/>
        </w:rPr>
      </w:pPr>
    </w:p>
    <w:p w14:paraId="4BBF9DD7">
      <w:pPr>
        <w:spacing w:line="400" w:lineRule="atLeast"/>
        <w:ind w:firstLine="390"/>
        <w:rPr>
          <w:rFonts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5ED3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D80CB54">
            <w:pPr>
              <w:jc w:val="center"/>
              <w:rPr>
                <w:rFonts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4EF2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5B28173B">
            <w:pPr>
              <w:jc w:val="center"/>
              <w:rPr>
                <w:rFonts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6FCE94F">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CF6F6B0">
            <w:pPr>
              <w:jc w:val="center"/>
              <w:rPr>
                <w:rFonts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0A9E1E8">
            <w:pPr>
              <w:rPr>
                <w:rFonts w:ascii="宋体" w:hAnsi="宋体"/>
                <w:color w:val="auto"/>
                <w:highlight w:val="none"/>
              </w:rPr>
            </w:pPr>
          </w:p>
        </w:tc>
      </w:tr>
      <w:tr w14:paraId="0081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3DF607C">
            <w:pPr>
              <w:jc w:val="center"/>
              <w:rPr>
                <w:rFonts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48115E9">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3E18BF83">
            <w:pPr>
              <w:jc w:val="center"/>
              <w:rPr>
                <w:rFonts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3BFAE1B">
            <w:pPr>
              <w:rPr>
                <w:rFonts w:ascii="宋体" w:hAnsi="宋体"/>
                <w:color w:val="auto"/>
                <w:highlight w:val="none"/>
              </w:rPr>
            </w:pPr>
          </w:p>
        </w:tc>
      </w:tr>
      <w:tr w14:paraId="0A6D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211C750">
            <w:pPr>
              <w:jc w:val="center"/>
              <w:rPr>
                <w:rFonts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98E48AB">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59890175">
            <w:pPr>
              <w:jc w:val="center"/>
              <w:rPr>
                <w:rFonts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F3D22F7">
            <w:pPr>
              <w:rPr>
                <w:rFonts w:ascii="宋体" w:hAnsi="宋体"/>
                <w:color w:val="auto"/>
                <w:highlight w:val="none"/>
              </w:rPr>
            </w:pPr>
          </w:p>
        </w:tc>
      </w:tr>
      <w:tr w14:paraId="785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6E505A5">
            <w:pPr>
              <w:jc w:val="center"/>
              <w:rPr>
                <w:rFonts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7E7E34F">
            <w:pPr>
              <w:rPr>
                <w:rFonts w:ascii="宋体" w:hAnsi="宋体"/>
                <w:color w:val="auto"/>
                <w:highlight w:val="none"/>
              </w:rPr>
            </w:pPr>
          </w:p>
        </w:tc>
      </w:tr>
      <w:tr w14:paraId="05FD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31A0DC84">
            <w:pPr>
              <w:jc w:val="center"/>
              <w:rPr>
                <w:rFonts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69A5BE">
            <w:pPr>
              <w:rPr>
                <w:rFonts w:ascii="宋体" w:hAnsi="宋体"/>
                <w:color w:val="auto"/>
                <w:highlight w:val="none"/>
              </w:rPr>
            </w:pPr>
            <w:r>
              <w:rPr>
                <w:rFonts w:hint="eastAsia" w:ascii="宋体" w:hAnsi="宋体"/>
                <w:color w:val="auto"/>
                <w:highlight w:val="none"/>
              </w:rPr>
              <w:t>保函扫描件</w:t>
            </w:r>
          </w:p>
        </w:tc>
      </w:tr>
      <w:tr w14:paraId="1567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8ED0C12">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9FEFB8">
            <w:pPr>
              <w:rPr>
                <w:rFonts w:ascii="宋体" w:hAnsi="宋体"/>
                <w:color w:val="auto"/>
                <w:highlight w:val="none"/>
              </w:rPr>
            </w:pPr>
          </w:p>
        </w:tc>
      </w:tr>
      <w:tr w14:paraId="3497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F003137">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E61FCF">
            <w:pPr>
              <w:rPr>
                <w:rFonts w:ascii="宋体" w:hAnsi="宋体"/>
                <w:color w:val="auto"/>
                <w:highlight w:val="none"/>
              </w:rPr>
            </w:pPr>
            <w:r>
              <w:rPr>
                <w:rFonts w:hint="eastAsia" w:ascii="宋体" w:hAnsi="宋体"/>
                <w:color w:val="auto"/>
                <w:highlight w:val="none"/>
              </w:rPr>
              <w:t>缴费凭证扫描件</w:t>
            </w:r>
          </w:p>
        </w:tc>
      </w:tr>
      <w:tr w14:paraId="4E89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10D3D893">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61BF26">
            <w:pPr>
              <w:rPr>
                <w:rFonts w:ascii="宋体" w:hAnsi="宋体"/>
                <w:color w:val="auto"/>
                <w:highlight w:val="none"/>
              </w:rPr>
            </w:pPr>
          </w:p>
        </w:tc>
      </w:tr>
      <w:tr w14:paraId="4262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F5E608E">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0C71D7">
            <w:pPr>
              <w:rPr>
                <w:rFonts w:ascii="宋体" w:hAnsi="宋体"/>
                <w:color w:val="auto"/>
                <w:highlight w:val="none"/>
              </w:rPr>
            </w:pPr>
            <w:r>
              <w:rPr>
                <w:rFonts w:hint="eastAsia" w:ascii="宋体" w:hAnsi="宋体"/>
                <w:color w:val="auto"/>
                <w:highlight w:val="none"/>
              </w:rPr>
              <w:t>基本户开户许可证（基本存款账户信息）扫描件</w:t>
            </w:r>
          </w:p>
        </w:tc>
      </w:tr>
      <w:tr w14:paraId="621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2399F90">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7E7DC2">
            <w:pPr>
              <w:rPr>
                <w:rFonts w:ascii="宋体" w:hAnsi="宋体"/>
                <w:color w:val="auto"/>
                <w:highlight w:val="none"/>
              </w:rPr>
            </w:pPr>
          </w:p>
        </w:tc>
      </w:tr>
      <w:tr w14:paraId="4C04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70521D0">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AC7A3B">
            <w:pPr>
              <w:rPr>
                <w:rFonts w:ascii="宋体" w:hAnsi="宋体"/>
                <w:color w:val="auto"/>
                <w:highlight w:val="none"/>
              </w:rPr>
            </w:pPr>
            <w:r>
              <w:rPr>
                <w:rFonts w:hint="eastAsia" w:ascii="宋体" w:hAnsi="宋体"/>
                <w:color w:val="auto"/>
                <w:highlight w:val="none"/>
              </w:rPr>
              <w:t>其他材料</w:t>
            </w:r>
          </w:p>
        </w:tc>
      </w:tr>
      <w:tr w14:paraId="31AE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6744D69B">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AC0911">
            <w:pPr>
              <w:rPr>
                <w:rFonts w:ascii="宋体" w:hAnsi="宋体"/>
                <w:color w:val="auto"/>
                <w:highlight w:val="none"/>
              </w:rPr>
            </w:pPr>
          </w:p>
        </w:tc>
      </w:tr>
    </w:tbl>
    <w:p w14:paraId="0CAA6289">
      <w:pPr>
        <w:rPr>
          <w:color w:val="auto"/>
          <w:highlight w:val="none"/>
        </w:rPr>
        <w:sectPr>
          <w:footerReference r:id="rId2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DA030B4">
      <w:pPr>
        <w:pStyle w:val="30"/>
        <w:jc w:val="center"/>
        <w:rPr>
          <w:rFonts w:hint="eastAsia"/>
          <w:color w:val="auto"/>
          <w:highlight w:val="none"/>
        </w:rPr>
      </w:pPr>
      <w:bookmarkStart w:id="2250" w:name="_Toc122603077"/>
      <w:bookmarkStart w:id="2251" w:name="_Toc256000211"/>
      <w:r>
        <w:rPr>
          <w:rFonts w:hint="default"/>
          <w:color w:val="auto"/>
          <w:highlight w:val="none"/>
        </w:rPr>
        <w:t>四</w:t>
      </w:r>
      <w:r>
        <w:rPr>
          <w:rFonts w:hint="eastAsia"/>
          <w:color w:val="auto"/>
          <w:highlight w:val="none"/>
        </w:rPr>
        <w:t>、联合体协议书</w:t>
      </w:r>
      <w:bookmarkEnd w:id="2250"/>
      <w:bookmarkEnd w:id="2251"/>
    </w:p>
    <w:p w14:paraId="52CB0F38">
      <w:pPr>
        <w:spacing w:line="394" w:lineRule="exact"/>
        <w:jc w:val="center"/>
        <w:rPr>
          <w:rFonts w:hint="eastAsia" w:ascii="宋体" w:hAnsi="宋体"/>
          <w:b/>
          <w:bCs/>
          <w:color w:val="auto"/>
          <w:szCs w:val="21"/>
          <w:highlight w:val="none"/>
        </w:rPr>
      </w:pPr>
      <w:r>
        <w:rPr>
          <w:rFonts w:hint="eastAsia" w:ascii="宋体" w:hAnsi="宋体"/>
          <w:b/>
          <w:bCs/>
          <w:color w:val="auto"/>
          <w:szCs w:val="21"/>
          <w:highlight w:val="none"/>
        </w:rPr>
        <w:t>（如有）</w:t>
      </w:r>
    </w:p>
    <w:p w14:paraId="6454E881">
      <w:pPr>
        <w:spacing w:line="394" w:lineRule="exact"/>
        <w:rPr>
          <w:rFonts w:ascii="宋体" w:hAnsi="宋体"/>
          <w:color w:val="auto"/>
          <w:szCs w:val="21"/>
          <w:highlight w:val="none"/>
        </w:rPr>
      </w:pPr>
    </w:p>
    <w:p w14:paraId="6A72AB69">
      <w:pPr>
        <w:spacing w:line="394" w:lineRule="exact"/>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14:paraId="005C1DB9">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182D6B96">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2DAAB4EE">
      <w:pPr>
        <w:spacing w:line="394" w:lineRule="exact"/>
        <w:rPr>
          <w:rFonts w:hint="eastAsia" w:ascii="宋体" w:hAnsi="宋体"/>
          <w:color w:val="auto"/>
          <w:szCs w:val="21"/>
          <w:highlight w:val="none"/>
        </w:rPr>
      </w:pPr>
    </w:p>
    <w:p w14:paraId="2E887DB2">
      <w:pPr>
        <w:spacing w:line="394" w:lineRule="exact"/>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14:paraId="532DBE69">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2E48C43C">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7C39433D">
      <w:pPr>
        <w:spacing w:line="394" w:lineRule="exact"/>
        <w:ind w:firstLine="525" w:firstLineChars="250"/>
        <w:rPr>
          <w:rFonts w:hint="eastAsia" w:ascii="宋体" w:hAnsi="宋体"/>
          <w:color w:val="auto"/>
          <w:szCs w:val="21"/>
          <w:highlight w:val="none"/>
        </w:rPr>
      </w:pPr>
      <w:r>
        <w:rPr>
          <w:rFonts w:hint="eastAsia" w:ascii="宋体" w:hAnsi="宋体"/>
          <w:color w:val="auto"/>
          <w:szCs w:val="21"/>
          <w:highlight w:val="none"/>
        </w:rPr>
        <w:t>……</w:t>
      </w:r>
    </w:p>
    <w:p w14:paraId="71458A82">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（以下简称本工程）的投标并争取赢得本工程设计施工总承包合同（以下简称合同）。现就联合体投标事宜订立如下协议：</w:t>
      </w:r>
    </w:p>
    <w:p w14:paraId="6CBE7E85">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58E8B7FE">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16E141E">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F199C03">
      <w:pPr>
        <w:spacing w:line="394"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14:paraId="6C3575F0">
      <w:pPr>
        <w:spacing w:line="394"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8BEE8E9">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674AEB36">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3C15FE24">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7．本协议书自签署之日起生效，联合体未中标或者中标合同履行完毕后自动失效。</w:t>
      </w:r>
    </w:p>
    <w:p w14:paraId="32FCB170">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4A6BFF40">
      <w:pPr>
        <w:spacing w:line="394" w:lineRule="exact"/>
        <w:ind w:firstLine="1785" w:firstLineChars="850"/>
        <w:rPr>
          <w:rFonts w:hint="eastAsia" w:ascii="宋体" w:hAnsi="宋体"/>
          <w:color w:val="auto"/>
          <w:szCs w:val="21"/>
          <w:highlight w:val="none"/>
        </w:rPr>
      </w:pPr>
    </w:p>
    <w:p w14:paraId="0CA57C1A">
      <w:pPr>
        <w:spacing w:line="394" w:lineRule="exact"/>
        <w:rPr>
          <w:rFonts w:hint="eastAsia" w:ascii="宋体" w:hAnsi="宋体"/>
          <w:color w:val="auto"/>
          <w:szCs w:val="21"/>
          <w:highlight w:val="none"/>
        </w:rPr>
      </w:pPr>
    </w:p>
    <w:p w14:paraId="37AB0D25">
      <w:pPr>
        <w:spacing w:line="394" w:lineRule="exact"/>
        <w:ind w:left="1680" w:leftChars="0" w:firstLine="420" w:firstLineChars="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AE7ACE4">
      <w:pPr>
        <w:ind w:left="1680" w:leftChars="0" w:firstLine="420" w:firstLineChars="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6ABF342E">
      <w:pPr>
        <w:spacing w:line="394" w:lineRule="exact"/>
        <w:ind w:firstLine="1785" w:firstLineChars="850"/>
        <w:rPr>
          <w:rFonts w:hint="eastAsia" w:ascii="宋体" w:hAnsi="宋体"/>
          <w:color w:val="auto"/>
          <w:szCs w:val="21"/>
          <w:highlight w:val="none"/>
        </w:rPr>
      </w:pPr>
    </w:p>
    <w:p w14:paraId="3710DF7E">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6309494">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25752A1">
      <w:pPr>
        <w:spacing w:line="394" w:lineRule="exact"/>
        <w:ind w:left="2100" w:leftChars="0" w:firstLine="420" w:firstLineChars="0"/>
        <w:rPr>
          <w:rFonts w:hint="eastAsia" w:ascii="宋体" w:hAnsi="宋体"/>
          <w:color w:val="auto"/>
          <w:szCs w:val="21"/>
          <w:highlight w:val="none"/>
        </w:rPr>
      </w:pPr>
      <w:r>
        <w:rPr>
          <w:rFonts w:hint="eastAsia" w:ascii="宋体" w:hAnsi="宋体"/>
          <w:color w:val="auto"/>
          <w:szCs w:val="21"/>
          <w:highlight w:val="none"/>
        </w:rPr>
        <w:t>……</w:t>
      </w:r>
    </w:p>
    <w:p w14:paraId="100B454C">
      <w:pPr>
        <w:wordWrap w:val="0"/>
        <w:spacing w:line="394"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5A5B8B8F">
      <w:pPr>
        <w:spacing w:line="394" w:lineRule="exact"/>
        <w:rPr>
          <w:rFonts w:hint="eastAsia" w:ascii="黑体" w:hAnsi="宋体" w:eastAsia="黑体"/>
          <w:color w:val="auto"/>
          <w:szCs w:val="21"/>
          <w:highlight w:val="none"/>
        </w:rPr>
      </w:pPr>
    </w:p>
    <w:p w14:paraId="24CF3CC5">
      <w:pPr>
        <w:spacing w:line="394" w:lineRule="exact"/>
        <w:rPr>
          <w:rFonts w:hint="eastAsia" w:ascii="黑体" w:hAnsi="宋体" w:eastAsia="黑体"/>
          <w:color w:val="auto"/>
          <w:szCs w:val="21"/>
          <w:highlight w:val="none"/>
        </w:rPr>
      </w:pPr>
    </w:p>
    <w:p w14:paraId="5D9A9060">
      <w:pPr>
        <w:spacing w:line="394" w:lineRule="exact"/>
        <w:rPr>
          <w:rFonts w:hint="eastAsia" w:ascii="黑体" w:hAnsi="宋体" w:eastAsia="黑体"/>
          <w:color w:val="auto"/>
          <w:szCs w:val="21"/>
          <w:highlight w:val="none"/>
        </w:rPr>
      </w:pPr>
    </w:p>
    <w:p w14:paraId="4AEFEF77">
      <w:pPr>
        <w:spacing w:line="394" w:lineRule="exact"/>
        <w:rPr>
          <w:rFonts w:hint="eastAsia" w:ascii="黑体" w:hAnsi="宋体" w:eastAsia="黑体"/>
          <w:color w:val="auto"/>
          <w:szCs w:val="21"/>
          <w:highlight w:val="none"/>
        </w:rPr>
      </w:pPr>
    </w:p>
    <w:p w14:paraId="2764667D">
      <w:pPr>
        <w:spacing w:line="394" w:lineRule="exact"/>
        <w:rPr>
          <w:rFonts w:hint="eastAsia" w:ascii="黑体" w:hAnsi="宋体" w:eastAsia="黑体"/>
          <w:color w:val="auto"/>
          <w:szCs w:val="21"/>
          <w:highlight w:val="none"/>
        </w:rPr>
      </w:pPr>
    </w:p>
    <w:p w14:paraId="1AC4997A">
      <w:pPr>
        <w:spacing w:line="394" w:lineRule="exact"/>
        <w:rPr>
          <w:rFonts w:hint="eastAsia" w:ascii="黑体" w:hAnsi="宋体" w:eastAsia="黑体"/>
          <w:color w:val="auto"/>
          <w:szCs w:val="21"/>
          <w:highlight w:val="none"/>
        </w:rPr>
      </w:pPr>
    </w:p>
    <w:p w14:paraId="21041FEA">
      <w:pPr>
        <w:spacing w:line="394" w:lineRule="exact"/>
        <w:rPr>
          <w:rFonts w:hint="eastAsia" w:ascii="黑体" w:hAnsi="宋体" w:eastAsia="黑体"/>
          <w:color w:val="auto"/>
          <w:szCs w:val="21"/>
          <w:highlight w:val="none"/>
        </w:rPr>
      </w:pPr>
    </w:p>
    <w:p w14:paraId="38E0A552">
      <w:pPr>
        <w:spacing w:line="394" w:lineRule="exact"/>
        <w:rPr>
          <w:rFonts w:hint="eastAsia" w:ascii="黑体" w:hAnsi="宋体" w:eastAsia="黑体"/>
          <w:color w:val="auto"/>
          <w:szCs w:val="21"/>
          <w:highlight w:val="none"/>
        </w:rPr>
      </w:pPr>
    </w:p>
    <w:p w14:paraId="7AF61AA7">
      <w:pPr>
        <w:spacing w:line="394" w:lineRule="exact"/>
        <w:rPr>
          <w:rFonts w:hint="eastAsia" w:ascii="黑体" w:hAnsi="宋体" w:eastAsia="黑体"/>
          <w:color w:val="auto"/>
          <w:szCs w:val="21"/>
          <w:highlight w:val="none"/>
        </w:rPr>
      </w:pPr>
    </w:p>
    <w:p w14:paraId="7D1052D9">
      <w:pPr>
        <w:spacing w:line="394" w:lineRule="exact"/>
        <w:rPr>
          <w:rFonts w:hint="eastAsia" w:ascii="黑体" w:hAnsi="宋体" w:eastAsia="黑体"/>
          <w:color w:val="auto"/>
          <w:szCs w:val="21"/>
          <w:highlight w:val="none"/>
        </w:rPr>
      </w:pPr>
    </w:p>
    <w:p w14:paraId="05753766">
      <w:pPr>
        <w:spacing w:line="394" w:lineRule="exact"/>
        <w:rPr>
          <w:rFonts w:hint="eastAsia" w:ascii="黑体" w:hAnsi="宋体" w:eastAsia="黑体"/>
          <w:color w:val="auto"/>
          <w:szCs w:val="21"/>
          <w:highlight w:val="none"/>
        </w:rPr>
      </w:pPr>
    </w:p>
    <w:p w14:paraId="2C40C76E">
      <w:pPr>
        <w:spacing w:line="394" w:lineRule="exact"/>
        <w:rPr>
          <w:rFonts w:hint="eastAsia" w:ascii="黑体" w:hAnsi="宋体" w:eastAsia="黑体"/>
          <w:color w:val="auto"/>
          <w:szCs w:val="21"/>
          <w:highlight w:val="none"/>
        </w:rPr>
      </w:pPr>
    </w:p>
    <w:p w14:paraId="3917922B">
      <w:pPr>
        <w:spacing w:line="400" w:lineRule="exact"/>
        <w:rPr>
          <w:rFonts w:ascii="宋体" w:hAnsi="宋体"/>
          <w:color w:val="auto"/>
          <w:szCs w:val="21"/>
          <w:highlight w:val="none"/>
        </w:rPr>
      </w:pPr>
      <w:r>
        <w:rPr>
          <w:rFonts w:hint="eastAsia" w:ascii="宋体" w:hAnsi="宋体"/>
          <w:color w:val="auto"/>
          <w:szCs w:val="21"/>
          <w:highlight w:val="none"/>
        </w:rPr>
        <w:t>备注：1.本协议书由委托代理人签字的，应附法定代表人签字的授权委托书。</w:t>
      </w:r>
    </w:p>
    <w:p w14:paraId="41E910ED">
      <w:pPr>
        <w:spacing w:line="394" w:lineRule="exact"/>
        <w:ind w:left="840" w:leftChars="300" w:hanging="210" w:hangingChars="100"/>
        <w:rPr>
          <w:rFonts w:ascii="宋体" w:hAnsi="宋体"/>
          <w:bCs/>
          <w:color w:val="auto"/>
          <w:szCs w:val="21"/>
          <w:highlight w:val="none"/>
        </w:rPr>
      </w:pPr>
      <w:r>
        <w:rPr>
          <w:rFonts w:hint="eastAsia" w:ascii="宋体" w:hAnsi="宋体"/>
          <w:color w:val="auto"/>
          <w:szCs w:val="21"/>
          <w:highlight w:val="none"/>
        </w:rPr>
        <w:t>2.投标人未采用联合体投标的，</w:t>
      </w:r>
      <w:r>
        <w:rPr>
          <w:rFonts w:hint="eastAsia" w:ascii="宋体" w:hAnsi="宋体"/>
          <w:bCs/>
          <w:color w:val="auto"/>
          <w:szCs w:val="21"/>
          <w:highlight w:val="none"/>
        </w:rPr>
        <w:t>投标文件中不需联合体协议书，也无须盖单位章和签字。</w:t>
      </w:r>
    </w:p>
    <w:p w14:paraId="19A8EC10">
      <w:pPr>
        <w:spacing w:line="394" w:lineRule="exact"/>
        <w:ind w:left="840" w:leftChars="300" w:hanging="210" w:hangingChars="100"/>
        <w:rPr>
          <w:rFonts w:ascii="宋体" w:hAnsi="宋体"/>
          <w:color w:val="auto"/>
          <w:szCs w:val="21"/>
          <w:highlight w:val="none"/>
        </w:rPr>
      </w:pPr>
    </w:p>
    <w:p w14:paraId="3DCD2719">
      <w:pPr>
        <w:ind w:left="1680" w:leftChars="0" w:firstLine="420" w:firstLineChars="0"/>
        <w:rPr>
          <w:rFonts w:hint="eastAsia" w:ascii="宋体" w:hAnsi="宋体"/>
          <w:color w:val="auto"/>
          <w:szCs w:val="21"/>
          <w:highlight w:val="none"/>
        </w:rPr>
        <w:sectPr>
          <w:footerReference r:id="rId2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228EA90">
      <w:pPr>
        <w:pStyle w:val="30"/>
        <w:keepNext/>
        <w:keepLines/>
        <w:pageBreakBefore w:val="0"/>
        <w:widowControl w:val="0"/>
        <w:kinsoku/>
        <w:wordWrap/>
        <w:overflowPunct/>
        <w:topLinePunct w:val="0"/>
        <w:autoSpaceDE/>
        <w:autoSpaceDN/>
        <w:bidi w:val="0"/>
        <w:adjustRightInd/>
        <w:snapToGrid/>
        <w:spacing w:before="240" w:beforeLines="100"/>
        <w:jc w:val="center"/>
        <w:textAlignment w:val="auto"/>
        <w:rPr>
          <w:rFonts w:hint="default" w:eastAsia="黑体"/>
          <w:color w:val="auto"/>
          <w:highlight w:val="none"/>
          <w:lang w:val="en-US" w:eastAsia="zh-CN"/>
        </w:rPr>
      </w:pPr>
      <w:bookmarkStart w:id="2252" w:name="_Toc122603078"/>
      <w:bookmarkStart w:id="2253" w:name="_Toc256000212"/>
      <w:r>
        <w:rPr>
          <w:rFonts w:hint="default"/>
          <w:color w:val="auto"/>
          <w:highlight w:val="none"/>
        </w:rPr>
        <w:t>五</w:t>
      </w:r>
      <w:r>
        <w:rPr>
          <w:rFonts w:hint="eastAsia"/>
          <w:color w:val="auto"/>
          <w:highlight w:val="none"/>
        </w:rPr>
        <w:t>、</w:t>
      </w:r>
      <w:bookmarkEnd w:id="2252"/>
      <w:r>
        <w:rPr>
          <w:rFonts w:hint="eastAsia"/>
          <w:color w:val="auto"/>
          <w:highlight w:val="none"/>
          <w:lang w:val="en-US" w:eastAsia="zh-CN"/>
        </w:rPr>
        <w:t>价格清单</w:t>
      </w:r>
      <w:bookmarkEnd w:id="2253"/>
    </w:p>
    <w:p w14:paraId="52964334">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5-1投标报价汇总表</w:t>
      </w:r>
    </w:p>
    <w:p w14:paraId="74C1481F">
      <w:pPr>
        <w:widowControl/>
        <w:kinsoku w:val="0"/>
        <w:autoSpaceDE w:val="0"/>
        <w:autoSpaceDN w:val="0"/>
        <w:adjustRightInd w:val="0"/>
        <w:snapToGrid w:val="0"/>
        <w:spacing w:before="113"/>
        <w:jc w:val="left"/>
        <w:textAlignment w:val="baseline"/>
        <w:rPr>
          <w:rFonts w:ascii="Arial" w:hAnsi="Arial" w:eastAsia="Arial" w:cs="Arial"/>
          <w:snapToGrid w:val="0"/>
          <w:color w:val="auto"/>
          <w:kern w:val="0"/>
          <w:szCs w:val="21"/>
          <w:highlight w:val="none"/>
        </w:rPr>
      </w:pPr>
    </w:p>
    <w:tbl>
      <w:tblPr>
        <w:tblStyle w:val="46"/>
        <w:tblW w:w="829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2934"/>
        <w:gridCol w:w="2407"/>
        <w:gridCol w:w="1586"/>
      </w:tblGrid>
      <w:tr w14:paraId="48D63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72" w:type="dxa"/>
            <w:vAlign w:val="center"/>
          </w:tcPr>
          <w:p w14:paraId="47E7BE0B">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序号</w:t>
            </w:r>
          </w:p>
        </w:tc>
        <w:tc>
          <w:tcPr>
            <w:tcW w:w="2934" w:type="dxa"/>
            <w:vAlign w:val="center"/>
          </w:tcPr>
          <w:p w14:paraId="504EDF88">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项目名称</w:t>
            </w:r>
          </w:p>
        </w:tc>
        <w:tc>
          <w:tcPr>
            <w:tcW w:w="2407" w:type="dxa"/>
            <w:vAlign w:val="center"/>
          </w:tcPr>
          <w:p w14:paraId="23574DB6">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金额（元）</w:t>
            </w:r>
          </w:p>
        </w:tc>
        <w:tc>
          <w:tcPr>
            <w:tcW w:w="1586" w:type="dxa"/>
            <w:vAlign w:val="center"/>
          </w:tcPr>
          <w:p w14:paraId="6003846C">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备注</w:t>
            </w:r>
          </w:p>
        </w:tc>
      </w:tr>
      <w:tr w14:paraId="3B46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1E897D8A">
            <w:pPr>
              <w:kinsoku w:val="0"/>
              <w:autoSpaceDE w:val="0"/>
              <w:autoSpaceDN w:val="0"/>
              <w:adjustRightInd w:val="0"/>
              <w:snapToGrid w:val="0"/>
              <w:spacing w:line="184"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1</w:t>
            </w:r>
          </w:p>
        </w:tc>
        <w:tc>
          <w:tcPr>
            <w:tcW w:w="2934" w:type="dxa"/>
            <w:vAlign w:val="center"/>
          </w:tcPr>
          <w:p w14:paraId="033A589C">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lang w:eastAsia="en-US"/>
              </w:rPr>
              <w:t>勘察设计费</w:t>
            </w:r>
          </w:p>
        </w:tc>
        <w:tc>
          <w:tcPr>
            <w:tcW w:w="2407" w:type="dxa"/>
            <w:vAlign w:val="center"/>
          </w:tcPr>
          <w:p w14:paraId="0618EDB8">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0FEEBE62">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1793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6F841256">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2</w:t>
            </w:r>
          </w:p>
        </w:tc>
        <w:tc>
          <w:tcPr>
            <w:tcW w:w="2934" w:type="dxa"/>
            <w:vAlign w:val="center"/>
          </w:tcPr>
          <w:p w14:paraId="2776FD03">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工程设备费</w:t>
            </w:r>
          </w:p>
        </w:tc>
        <w:tc>
          <w:tcPr>
            <w:tcW w:w="2407" w:type="dxa"/>
            <w:vAlign w:val="center"/>
          </w:tcPr>
          <w:p w14:paraId="1B18D904">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23B22E7B">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488E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56A976CB">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3</w:t>
            </w:r>
          </w:p>
        </w:tc>
        <w:tc>
          <w:tcPr>
            <w:tcW w:w="2934" w:type="dxa"/>
            <w:vAlign w:val="center"/>
          </w:tcPr>
          <w:p w14:paraId="0F54B23E">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lang w:eastAsia="en-US"/>
              </w:rPr>
              <w:t>必备的备品备件费</w:t>
            </w:r>
          </w:p>
        </w:tc>
        <w:tc>
          <w:tcPr>
            <w:tcW w:w="2407" w:type="dxa"/>
            <w:vAlign w:val="center"/>
          </w:tcPr>
          <w:p w14:paraId="4D8CA1DF">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102731CA">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5900E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667659A4">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4</w:t>
            </w:r>
          </w:p>
        </w:tc>
        <w:tc>
          <w:tcPr>
            <w:tcW w:w="2934" w:type="dxa"/>
            <w:vAlign w:val="center"/>
          </w:tcPr>
          <w:p w14:paraId="014A1F21">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rPr>
              <w:t>建筑安装工程费</w:t>
            </w:r>
          </w:p>
        </w:tc>
        <w:tc>
          <w:tcPr>
            <w:tcW w:w="2407" w:type="dxa"/>
            <w:vAlign w:val="center"/>
          </w:tcPr>
          <w:p w14:paraId="7A30A9B3">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7E91BE04">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27586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45A118DC">
            <w:pPr>
              <w:kinsoku w:val="0"/>
              <w:autoSpaceDE w:val="0"/>
              <w:autoSpaceDN w:val="0"/>
              <w:adjustRightInd w:val="0"/>
              <w:snapToGrid w:val="0"/>
              <w:spacing w:line="182"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5</w:t>
            </w:r>
          </w:p>
        </w:tc>
        <w:tc>
          <w:tcPr>
            <w:tcW w:w="2934" w:type="dxa"/>
            <w:vAlign w:val="center"/>
          </w:tcPr>
          <w:p w14:paraId="2AB785BB">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技术服务费</w:t>
            </w:r>
          </w:p>
        </w:tc>
        <w:tc>
          <w:tcPr>
            <w:tcW w:w="2407" w:type="dxa"/>
            <w:vAlign w:val="center"/>
          </w:tcPr>
          <w:p w14:paraId="22F226F6">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3B55C7FD">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4FA2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1372" w:type="dxa"/>
            <w:vAlign w:val="center"/>
          </w:tcPr>
          <w:p w14:paraId="7BCE58A1">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6</w:t>
            </w:r>
          </w:p>
        </w:tc>
        <w:tc>
          <w:tcPr>
            <w:tcW w:w="2934" w:type="dxa"/>
            <w:vAlign w:val="center"/>
          </w:tcPr>
          <w:p w14:paraId="19BABFE9">
            <w:pPr>
              <w:kinsoku w:val="0"/>
              <w:autoSpaceDE w:val="0"/>
              <w:autoSpaceDN w:val="0"/>
              <w:adjustRightInd w:val="0"/>
              <w:snapToGrid w:val="0"/>
              <w:spacing w:line="219"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6"/>
                <w:kern w:val="0"/>
                <w:szCs w:val="21"/>
                <w:highlight w:val="none"/>
                <w:lang w:eastAsia="en-US"/>
              </w:rPr>
              <w:t>暂估价</w:t>
            </w:r>
          </w:p>
        </w:tc>
        <w:tc>
          <w:tcPr>
            <w:tcW w:w="2407" w:type="dxa"/>
            <w:vAlign w:val="center"/>
          </w:tcPr>
          <w:p w14:paraId="3C6DBCE6">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4C278157">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04DE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08086752">
            <w:pPr>
              <w:kinsoku w:val="0"/>
              <w:autoSpaceDE w:val="0"/>
              <w:autoSpaceDN w:val="0"/>
              <w:adjustRightInd w:val="0"/>
              <w:snapToGrid w:val="0"/>
              <w:spacing w:line="182"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7</w:t>
            </w:r>
          </w:p>
        </w:tc>
        <w:tc>
          <w:tcPr>
            <w:tcW w:w="2934" w:type="dxa"/>
            <w:vAlign w:val="center"/>
          </w:tcPr>
          <w:p w14:paraId="3007453A">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color w:val="auto"/>
                <w:szCs w:val="21"/>
                <w:highlight w:val="none"/>
              </w:rPr>
              <w:t>暂列金额</w:t>
            </w:r>
            <w:r>
              <w:rPr>
                <w:rFonts w:hint="eastAsia"/>
                <w:color w:val="auto"/>
                <w:szCs w:val="21"/>
                <w:highlight w:val="none"/>
              </w:rPr>
              <w:t>（如有）</w:t>
            </w:r>
          </w:p>
        </w:tc>
        <w:tc>
          <w:tcPr>
            <w:tcW w:w="2407" w:type="dxa"/>
            <w:vAlign w:val="center"/>
          </w:tcPr>
          <w:p w14:paraId="78617A69">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20B90B8F">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1673D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2E280C85">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8</w:t>
            </w:r>
          </w:p>
        </w:tc>
        <w:tc>
          <w:tcPr>
            <w:tcW w:w="2934" w:type="dxa"/>
            <w:vAlign w:val="center"/>
          </w:tcPr>
          <w:p w14:paraId="694B847E">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措施项目</w:t>
            </w:r>
          </w:p>
        </w:tc>
        <w:tc>
          <w:tcPr>
            <w:tcW w:w="2407" w:type="dxa"/>
            <w:vAlign w:val="center"/>
          </w:tcPr>
          <w:p w14:paraId="04058A12">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1497F3CA">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12E0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540E2E10">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rPr>
            </w:pPr>
            <w:r>
              <w:rPr>
                <w:rFonts w:hint="eastAsia" w:ascii="宋体" w:hAnsi="宋体" w:cstheme="minorEastAsia"/>
                <w:snapToGrid w:val="0"/>
                <w:color w:val="auto"/>
                <w:kern w:val="0"/>
                <w:szCs w:val="21"/>
                <w:highlight w:val="none"/>
              </w:rPr>
              <w:t>9</w:t>
            </w:r>
          </w:p>
        </w:tc>
        <w:tc>
          <w:tcPr>
            <w:tcW w:w="2934" w:type="dxa"/>
            <w:vAlign w:val="center"/>
          </w:tcPr>
          <w:p w14:paraId="20A081D0">
            <w:pPr>
              <w:kinsoku w:val="0"/>
              <w:autoSpaceDE w:val="0"/>
              <w:autoSpaceDN w:val="0"/>
              <w:adjustRightInd w:val="0"/>
              <w:snapToGrid w:val="0"/>
              <w:spacing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rPr>
              <w:t>其他费用</w:t>
            </w:r>
          </w:p>
        </w:tc>
        <w:tc>
          <w:tcPr>
            <w:tcW w:w="2407" w:type="dxa"/>
            <w:vAlign w:val="center"/>
          </w:tcPr>
          <w:p w14:paraId="334C7F7E">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31FDC9D0">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1150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65C02ADE">
            <w:pPr>
              <w:kinsoku w:val="0"/>
              <w:autoSpaceDE w:val="0"/>
              <w:autoSpaceDN w:val="0"/>
              <w:adjustRightInd w:val="0"/>
              <w:snapToGrid w:val="0"/>
              <w:spacing w:line="442" w:lineRule="exact"/>
              <w:jc w:val="center"/>
              <w:textAlignment w:val="baseline"/>
              <w:rPr>
                <w:rFonts w:asciiTheme="minorEastAsia" w:hAnsiTheme="minorEastAsia" w:eastAsiaTheme="minorEastAsia" w:cstheme="minorEastAsia"/>
                <w:snapToGrid w:val="0"/>
                <w:color w:val="auto"/>
                <w:kern w:val="0"/>
                <w:szCs w:val="21"/>
                <w:highlight w:val="none"/>
              </w:rPr>
            </w:pPr>
            <w:r>
              <w:rPr>
                <w:rFonts w:asciiTheme="minorEastAsia" w:hAnsiTheme="minorEastAsia" w:eastAsiaTheme="minorEastAsia" w:cstheme="minorEastAsia"/>
                <w:snapToGrid w:val="0"/>
                <w:color w:val="auto"/>
                <w:spacing w:val="-14"/>
                <w:kern w:val="0"/>
                <w:position w:val="3"/>
                <w:szCs w:val="21"/>
                <w:highlight w:val="none"/>
              </w:rPr>
              <w:t>……</w:t>
            </w:r>
          </w:p>
        </w:tc>
        <w:tc>
          <w:tcPr>
            <w:tcW w:w="2934" w:type="dxa"/>
            <w:vAlign w:val="center"/>
          </w:tcPr>
          <w:p w14:paraId="314FAC45">
            <w:pPr>
              <w:kinsoku w:val="0"/>
              <w:autoSpaceDE w:val="0"/>
              <w:autoSpaceDN w:val="0"/>
              <w:adjustRightInd w:val="0"/>
              <w:snapToGrid w:val="0"/>
              <w:spacing w:line="442" w:lineRule="exact"/>
              <w:jc w:val="center"/>
              <w:textAlignment w:val="baseline"/>
              <w:rPr>
                <w:rFonts w:asciiTheme="minorEastAsia" w:hAnsiTheme="minorEastAsia" w:eastAsiaTheme="minorEastAsia" w:cstheme="minorEastAsia"/>
                <w:snapToGrid w:val="0"/>
                <w:color w:val="auto"/>
                <w:kern w:val="0"/>
                <w:szCs w:val="21"/>
                <w:highlight w:val="none"/>
              </w:rPr>
            </w:pPr>
            <w:r>
              <w:rPr>
                <w:rFonts w:asciiTheme="minorEastAsia" w:hAnsiTheme="minorEastAsia" w:eastAsiaTheme="minorEastAsia" w:cstheme="minorEastAsia"/>
                <w:snapToGrid w:val="0"/>
                <w:color w:val="auto"/>
                <w:spacing w:val="-7"/>
                <w:kern w:val="0"/>
                <w:position w:val="3"/>
                <w:szCs w:val="21"/>
                <w:highlight w:val="none"/>
              </w:rPr>
              <w:t>……</w:t>
            </w:r>
          </w:p>
        </w:tc>
        <w:tc>
          <w:tcPr>
            <w:tcW w:w="2407" w:type="dxa"/>
            <w:vAlign w:val="center"/>
          </w:tcPr>
          <w:p w14:paraId="6AF40B5A">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28044866">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431F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306" w:type="dxa"/>
            <w:gridSpan w:val="2"/>
            <w:vAlign w:val="center"/>
          </w:tcPr>
          <w:p w14:paraId="3C8DA4C5">
            <w:pPr>
              <w:kinsoku w:val="0"/>
              <w:autoSpaceDE w:val="0"/>
              <w:autoSpaceDN w:val="0"/>
              <w:adjustRightInd w:val="0"/>
              <w:snapToGrid w:val="0"/>
              <w:spacing w:line="219"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宋体"/>
                <w:snapToGrid w:val="0"/>
                <w:color w:val="auto"/>
                <w:spacing w:val="-7"/>
                <w:kern w:val="0"/>
                <w:szCs w:val="21"/>
                <w:highlight w:val="none"/>
                <w:lang w:eastAsia="en-US"/>
              </w:rPr>
              <w:t>投标报价（元）</w:t>
            </w:r>
          </w:p>
        </w:tc>
        <w:tc>
          <w:tcPr>
            <w:tcW w:w="3993" w:type="dxa"/>
            <w:gridSpan w:val="2"/>
            <w:vAlign w:val="center"/>
          </w:tcPr>
          <w:p w14:paraId="595F1401">
            <w:pPr>
              <w:kinsoku w:val="0"/>
              <w:autoSpaceDE w:val="0"/>
              <w:autoSpaceDN w:val="0"/>
              <w:adjustRightInd w:val="0"/>
              <w:snapToGrid w:val="0"/>
              <w:spacing w:line="231" w:lineRule="auto"/>
              <w:ind w:left="120" w:right="510"/>
              <w:jc w:val="center"/>
              <w:textAlignment w:val="baseline"/>
              <w:rPr>
                <w:rFonts w:ascii="宋体" w:hAnsi="宋体" w:cs="宋体"/>
                <w:snapToGrid w:val="0"/>
                <w:color w:val="auto"/>
                <w:spacing w:val="5"/>
                <w:kern w:val="0"/>
                <w:szCs w:val="21"/>
                <w:highlight w:val="none"/>
              </w:rPr>
            </w:pPr>
            <w:r>
              <w:rPr>
                <w:rFonts w:hint="eastAsia" w:ascii="宋体" w:hAnsi="宋体" w:cs="宋体"/>
                <w:snapToGrid w:val="0"/>
                <w:color w:val="auto"/>
                <w:spacing w:val="-7"/>
                <w:kern w:val="0"/>
                <w:szCs w:val="21"/>
                <w:highlight w:val="none"/>
              </w:rPr>
              <w:t>（大写</w:t>
            </w:r>
            <w:r>
              <w:rPr>
                <w:rFonts w:hint="eastAsia" w:ascii="宋体" w:hAnsi="宋体" w:cs="宋体"/>
                <w:snapToGrid w:val="0"/>
                <w:color w:val="auto"/>
                <w:spacing w:val="1"/>
                <w:kern w:val="0"/>
                <w:szCs w:val="21"/>
                <w:highlight w:val="none"/>
              </w:rPr>
              <w:t>）：</w:t>
            </w:r>
          </w:p>
          <w:p w14:paraId="72B736DB">
            <w:pPr>
              <w:kinsoku w:val="0"/>
              <w:autoSpaceDE w:val="0"/>
              <w:autoSpaceDN w:val="0"/>
              <w:adjustRightInd w:val="0"/>
              <w:snapToGrid w:val="0"/>
              <w:spacing w:line="231" w:lineRule="auto"/>
              <w:ind w:left="120" w:right="510"/>
              <w:jc w:val="center"/>
              <w:textAlignment w:val="baseline"/>
              <w:rPr>
                <w:rFonts w:asciiTheme="minorEastAsia" w:hAnsiTheme="minorEastAsia" w:cstheme="minorEastAsia"/>
                <w:snapToGrid w:val="0"/>
                <w:color w:val="auto"/>
                <w:kern w:val="0"/>
                <w:szCs w:val="21"/>
                <w:highlight w:val="none"/>
              </w:rPr>
            </w:pPr>
            <w:r>
              <w:rPr>
                <w:rFonts w:hint="eastAsia" w:ascii="宋体" w:hAnsi="宋体" w:cs="宋体"/>
                <w:snapToGrid w:val="0"/>
                <w:color w:val="auto"/>
                <w:spacing w:val="-7"/>
                <w:kern w:val="0"/>
                <w:szCs w:val="21"/>
                <w:highlight w:val="none"/>
              </w:rPr>
              <w:t>（小写</w:t>
            </w:r>
            <w:r>
              <w:rPr>
                <w:rFonts w:hint="eastAsia" w:ascii="宋体" w:hAnsi="宋体" w:cs="宋体"/>
                <w:snapToGrid w:val="0"/>
                <w:color w:val="auto"/>
                <w:spacing w:val="1"/>
                <w:kern w:val="0"/>
                <w:szCs w:val="21"/>
                <w:highlight w:val="none"/>
              </w:rPr>
              <w:t>）：</w:t>
            </w:r>
          </w:p>
        </w:tc>
      </w:tr>
    </w:tbl>
    <w:p w14:paraId="6065C1DF">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Cs w:val="21"/>
          <w:highlight w:val="none"/>
        </w:rPr>
      </w:pPr>
    </w:p>
    <w:p w14:paraId="7FC91D08">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Cs w:val="21"/>
          <w:highlight w:val="none"/>
        </w:rPr>
      </w:pPr>
    </w:p>
    <w:p w14:paraId="3DF85E77">
      <w:pPr>
        <w:kinsoku w:val="0"/>
        <w:autoSpaceDE w:val="0"/>
        <w:autoSpaceDN w:val="0"/>
        <w:adjustRightInd w:val="0"/>
        <w:snapToGrid w:val="0"/>
        <w:spacing w:line="285" w:lineRule="auto"/>
        <w:jc w:val="left"/>
        <w:textAlignment w:val="baseline"/>
        <w:rPr>
          <w:rFonts w:ascii="Arial" w:hAnsi="Arial" w:eastAsia="Arial" w:cs="Arial"/>
          <w:snapToGrid w:val="0"/>
          <w:color w:val="auto"/>
          <w:kern w:val="0"/>
          <w:szCs w:val="21"/>
          <w:highlight w:val="none"/>
        </w:rPr>
      </w:pPr>
    </w:p>
    <w:p w14:paraId="46A72F1E">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737C971">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15289621">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046609EB">
      <w:pPr>
        <w:widowControl/>
        <w:jc w:val="left"/>
        <w:rPr>
          <w:color w:val="auto"/>
          <w:highlight w:val="none"/>
        </w:rPr>
      </w:pPr>
      <w:r>
        <w:rPr>
          <w:color w:val="auto"/>
          <w:highlight w:val="none"/>
        </w:rPr>
        <w:br w:type="page"/>
      </w:r>
    </w:p>
    <w:p w14:paraId="7BCEFE9B">
      <w:pPr>
        <w:rPr>
          <w:color w:val="auto"/>
          <w:highlight w:val="none"/>
        </w:rPr>
      </w:pPr>
    </w:p>
    <w:p w14:paraId="4CF7BD2F">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5-2</w:t>
      </w:r>
      <w:r>
        <w:rPr>
          <w:rFonts w:hint="eastAsia" w:eastAsia="黑体" w:cs="宋体"/>
          <w:color w:val="auto"/>
          <w:sz w:val="24"/>
          <w:highlight w:val="none"/>
          <w:lang w:eastAsia="en-US"/>
        </w:rPr>
        <w:t>勘察设计费清单</w:t>
      </w:r>
    </w:p>
    <w:p w14:paraId="3A8FDD65">
      <w:pPr>
        <w:widowControl/>
        <w:kinsoku w:val="0"/>
        <w:autoSpaceDE w:val="0"/>
        <w:autoSpaceDN w:val="0"/>
        <w:adjustRightInd w:val="0"/>
        <w:snapToGrid w:val="0"/>
        <w:jc w:val="center"/>
        <w:textAlignment w:val="baseline"/>
        <w:rPr>
          <w:rFonts w:eastAsia="黑体" w:cs="宋体"/>
          <w:color w:val="auto"/>
          <w:sz w:val="24"/>
          <w:highlight w:val="none"/>
          <w:lang w:eastAsia="en-US"/>
        </w:rPr>
      </w:pPr>
    </w:p>
    <w:tbl>
      <w:tblPr>
        <w:tblStyle w:val="46"/>
        <w:tblW w:w="8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247"/>
        <w:gridCol w:w="1461"/>
        <w:gridCol w:w="1986"/>
        <w:gridCol w:w="1653"/>
      </w:tblGrid>
      <w:tr w14:paraId="2530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925" w:type="dxa"/>
          </w:tcPr>
          <w:p w14:paraId="700F22C1">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246" w:type="dxa"/>
          </w:tcPr>
          <w:p w14:paraId="3E40691C">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461" w:type="dxa"/>
          </w:tcPr>
          <w:p w14:paraId="6795F288">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工作内容</w:t>
            </w:r>
          </w:p>
        </w:tc>
        <w:tc>
          <w:tcPr>
            <w:tcW w:w="1986" w:type="dxa"/>
          </w:tcPr>
          <w:p w14:paraId="55584653">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 额（元）</w:t>
            </w:r>
          </w:p>
        </w:tc>
        <w:tc>
          <w:tcPr>
            <w:tcW w:w="1653" w:type="dxa"/>
          </w:tcPr>
          <w:p w14:paraId="2DC29BD2">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6EC98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168C0AC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43B5E08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7D9D08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3746732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30F61CB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DB33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253E491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61406F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7DBF30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4F79BB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7E2C16B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736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413DDA3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78378E8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0CBB4D8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763163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147A738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5CC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7A718B7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17A2D10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296948F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0BE4130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629A4A6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192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348890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1308F9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5F4381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3541D03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27425C1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CF6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72DDB67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57DDDD2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1A6622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55C67F6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7AE969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E47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64AC621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364E2D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66DB9D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0C4855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24858A6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763C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725C5A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368325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67D0E9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609F2C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5816FEC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FBA3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5D4F1FE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0A6910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52E79E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474178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6EF16F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D00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016D3EF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7D6F30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57922E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4416EAF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27434D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7A50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172" w:type="dxa"/>
            <w:gridSpan w:val="2"/>
            <w:vAlign w:val="center"/>
          </w:tcPr>
          <w:p w14:paraId="6B9B07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100" w:type="dxa"/>
            <w:gridSpan w:val="3"/>
          </w:tcPr>
          <w:p w14:paraId="0298A343">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u w:val="single"/>
              </w:rPr>
              <w:tab/>
            </w:r>
            <w:r>
              <w:rPr>
                <w:rFonts w:hint="eastAsia" w:ascii="宋体" w:hAnsi="宋体" w:cstheme="minorEastAsia"/>
                <w:snapToGrid w:val="0"/>
                <w:color w:val="auto"/>
                <w:spacing w:val="-3"/>
                <w:kern w:val="0"/>
                <w:szCs w:val="21"/>
                <w:highlight w:val="none"/>
                <w:u w:val="single"/>
              </w:rPr>
              <w:t xml:space="preserve">              </w:t>
            </w:r>
            <w:r>
              <w:rPr>
                <w:rFonts w:hint="eastAsia" w:ascii="宋体" w:hAnsi="宋体" w:cstheme="minorEastAsia"/>
                <w:snapToGrid w:val="0"/>
                <w:color w:val="auto"/>
                <w:spacing w:val="-3"/>
                <w:kern w:val="0"/>
                <w:szCs w:val="21"/>
                <w:highlight w:val="none"/>
              </w:rPr>
              <w:t>元</w:t>
            </w:r>
          </w:p>
          <w:p w14:paraId="7693E19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23D6F163">
      <w:pPr>
        <w:kinsoku w:val="0"/>
        <w:autoSpaceDE w:val="0"/>
        <w:autoSpaceDN w:val="0"/>
        <w:adjustRightInd w:val="0"/>
        <w:snapToGrid w:val="0"/>
        <w:spacing w:line="254" w:lineRule="auto"/>
        <w:jc w:val="left"/>
        <w:textAlignment w:val="baseline"/>
        <w:rPr>
          <w:rFonts w:ascii="Arial" w:hAnsi="Arial" w:eastAsia="Arial" w:cs="Arial"/>
          <w:snapToGrid w:val="0"/>
          <w:color w:val="auto"/>
          <w:kern w:val="0"/>
          <w:szCs w:val="21"/>
          <w:highlight w:val="none"/>
        </w:rPr>
      </w:pPr>
    </w:p>
    <w:p w14:paraId="73A0081A">
      <w:pPr>
        <w:kinsoku w:val="0"/>
        <w:autoSpaceDE w:val="0"/>
        <w:autoSpaceDN w:val="0"/>
        <w:adjustRightInd w:val="0"/>
        <w:snapToGrid w:val="0"/>
        <w:spacing w:line="255" w:lineRule="auto"/>
        <w:jc w:val="left"/>
        <w:textAlignment w:val="baseline"/>
        <w:rPr>
          <w:rFonts w:ascii="Arial" w:hAnsi="Arial" w:eastAsia="Arial" w:cs="Arial"/>
          <w:snapToGrid w:val="0"/>
          <w:color w:val="auto"/>
          <w:kern w:val="0"/>
          <w:szCs w:val="21"/>
          <w:highlight w:val="none"/>
        </w:rPr>
      </w:pPr>
    </w:p>
    <w:p w14:paraId="104F581B">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1516ACCF">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4DE15FB6">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20BC063E">
      <w:pPr>
        <w:widowControl/>
        <w:jc w:val="left"/>
        <w:rPr>
          <w:color w:val="auto"/>
          <w:highlight w:val="none"/>
        </w:rPr>
      </w:pPr>
      <w:r>
        <w:rPr>
          <w:color w:val="auto"/>
          <w:highlight w:val="none"/>
        </w:rPr>
        <w:br w:type="page"/>
      </w:r>
    </w:p>
    <w:p w14:paraId="79A3CDD9">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5-3</w:t>
      </w:r>
      <w:r>
        <w:rPr>
          <w:rFonts w:hint="eastAsia" w:eastAsia="黑体" w:cs="宋体"/>
          <w:color w:val="auto"/>
          <w:sz w:val="24"/>
          <w:highlight w:val="none"/>
          <w:lang w:eastAsia="en-US"/>
        </w:rPr>
        <w:t>工程设备费清单</w:t>
      </w:r>
    </w:p>
    <w:p w14:paraId="70CD186B">
      <w:pPr>
        <w:widowControl/>
        <w:kinsoku w:val="0"/>
        <w:autoSpaceDE w:val="0"/>
        <w:autoSpaceDN w:val="0"/>
        <w:adjustRightInd w:val="0"/>
        <w:snapToGrid w:val="0"/>
        <w:jc w:val="center"/>
        <w:textAlignment w:val="baseline"/>
        <w:rPr>
          <w:rFonts w:ascii="宋体" w:hAnsi="宋体" w:cs="宋体"/>
          <w:snapToGrid w:val="0"/>
          <w:color w:val="auto"/>
          <w:spacing w:val="8"/>
          <w:kern w:val="0"/>
          <w:sz w:val="28"/>
          <w:szCs w:val="28"/>
          <w:highlight w:val="none"/>
          <w14:textOutline w14:w="5791" w14:cap="sq">
            <w14:solidFill>
              <w14:srgbClr w14:val="000000"/>
            </w14:solidFill>
            <w14:prstDash w14:val="solid"/>
            <w14:bevel/>
          </w14:textOutline>
        </w:rPr>
      </w:pPr>
    </w:p>
    <w:tbl>
      <w:tblPr>
        <w:tblStyle w:val="46"/>
        <w:tblW w:w="8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202"/>
        <w:gridCol w:w="1171"/>
        <w:gridCol w:w="687"/>
        <w:gridCol w:w="792"/>
        <w:gridCol w:w="712"/>
        <w:gridCol w:w="824"/>
        <w:gridCol w:w="824"/>
        <w:gridCol w:w="1046"/>
      </w:tblGrid>
      <w:tr w14:paraId="0CED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67" w:type="dxa"/>
            <w:vAlign w:val="center"/>
          </w:tcPr>
          <w:p w14:paraId="0A1A1079">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02" w:type="dxa"/>
            <w:vAlign w:val="center"/>
          </w:tcPr>
          <w:p w14:paraId="2F9CF312">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设备名称</w:t>
            </w:r>
          </w:p>
        </w:tc>
        <w:tc>
          <w:tcPr>
            <w:tcW w:w="1170" w:type="dxa"/>
            <w:vAlign w:val="center"/>
          </w:tcPr>
          <w:p w14:paraId="4C2123B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规格型号</w:t>
            </w:r>
          </w:p>
        </w:tc>
        <w:tc>
          <w:tcPr>
            <w:tcW w:w="687" w:type="dxa"/>
            <w:vAlign w:val="center"/>
          </w:tcPr>
          <w:p w14:paraId="17A1E0F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w:t>
            </w:r>
          </w:p>
          <w:p w14:paraId="228F3080">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单位</w:t>
            </w:r>
          </w:p>
        </w:tc>
        <w:tc>
          <w:tcPr>
            <w:tcW w:w="792" w:type="dxa"/>
            <w:vAlign w:val="center"/>
          </w:tcPr>
          <w:p w14:paraId="5DCC135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712" w:type="dxa"/>
            <w:vAlign w:val="center"/>
          </w:tcPr>
          <w:p w14:paraId="157B96E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  （元）</w:t>
            </w:r>
          </w:p>
        </w:tc>
        <w:tc>
          <w:tcPr>
            <w:tcW w:w="824" w:type="dxa"/>
            <w:vAlign w:val="center"/>
          </w:tcPr>
          <w:p w14:paraId="5413C57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4FC9723F">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824" w:type="dxa"/>
            <w:vAlign w:val="center"/>
          </w:tcPr>
          <w:p w14:paraId="0E8B70E1">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制造商</w:t>
            </w:r>
          </w:p>
          <w:p w14:paraId="46535C39">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044" w:type="dxa"/>
            <w:vAlign w:val="center"/>
          </w:tcPr>
          <w:p w14:paraId="4AA700B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1C1E2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58B82F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5571F7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6698AD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7610D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2A86EA5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7B31D5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B7A0D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5161A6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611FACA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A6D2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0D97675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7E10E5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2F7059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3F8B40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0923FE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04F8829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4187D4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1F50E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59B01B0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D4D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1130D97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3C63132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1A30D51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3A53DD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6873970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40B17F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DFD346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6C24E6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5B3002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052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1FE4F7D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352892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645333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3302698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3453AF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23043C6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48127D6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262111F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35AE48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0EEB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44FCFF1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B83F0C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3B966D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7E92B16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5298EF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5A1E11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03E7779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440469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16B8101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CBB5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5682A7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58A00F7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5987BA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135F34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503354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3AC2D43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514EB42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2B53AC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6F6DC2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9720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47DF861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49CDC04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26A9099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AF44A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0DE1C49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1B07526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17718E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2D965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7864DF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D4F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6CDE5F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001C1D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064D8F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27B3FB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217201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0786A45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45E19E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C7448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486594C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37B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646D2D5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458C739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713CEC1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7480BB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0E58BC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797E59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AA763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2F4F11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66ACF7B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48A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586F5C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5F5F3DF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5DFF5CB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721CC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66C59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10B454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48D242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69DF4C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258A3A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85FA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067" w:type="dxa"/>
          </w:tcPr>
          <w:p w14:paraId="63371C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48918BE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1AAA85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78EB720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742A8EE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5BE351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564F50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A4ECB9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7C68F35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C2EC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3440" w:type="dxa"/>
            <w:gridSpan w:val="3"/>
            <w:vAlign w:val="center"/>
          </w:tcPr>
          <w:p w14:paraId="6DCFEF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885" w:type="dxa"/>
            <w:gridSpan w:val="6"/>
          </w:tcPr>
          <w:p w14:paraId="0B3459E2">
            <w:pPr>
              <w:kinsoku w:val="0"/>
              <w:autoSpaceDE w:val="0"/>
              <w:autoSpaceDN w:val="0"/>
              <w:adjustRightInd w:val="0"/>
              <w:snapToGrid w:val="0"/>
              <w:spacing w:before="188" w:line="221" w:lineRule="auto"/>
              <w:ind w:firstLine="204" w:firstLineChars="100"/>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 元</w:t>
            </w:r>
          </w:p>
          <w:p w14:paraId="7FAEC0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4F141EFB">
      <w:pPr>
        <w:widowControl/>
        <w:kinsoku w:val="0"/>
        <w:autoSpaceDE w:val="0"/>
        <w:autoSpaceDN w:val="0"/>
        <w:adjustRightInd w:val="0"/>
        <w:snapToGrid w:val="0"/>
        <w:spacing w:before="91" w:line="359" w:lineRule="auto"/>
        <w:ind w:left="4125"/>
        <w:jc w:val="left"/>
        <w:textAlignment w:val="baseline"/>
        <w:rPr>
          <w:rFonts w:ascii="宋体" w:hAnsi="宋体" w:cs="宋体"/>
          <w:snapToGrid w:val="0"/>
          <w:color w:val="auto"/>
          <w:spacing w:val="1"/>
          <w:kern w:val="0"/>
          <w:szCs w:val="21"/>
          <w:highlight w:val="none"/>
        </w:rPr>
      </w:pPr>
    </w:p>
    <w:p w14:paraId="2E1FEAB2">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0A1B2DEA">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0D2573ED">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6F6880D1">
      <w:pPr>
        <w:widowControl/>
        <w:jc w:val="left"/>
        <w:rPr>
          <w:snapToGrid w:val="0"/>
          <w:color w:val="auto"/>
          <w:spacing w:val="-17"/>
          <w:highlight w:val="none"/>
        </w:rPr>
      </w:pPr>
      <w:r>
        <w:rPr>
          <w:snapToGrid w:val="0"/>
          <w:color w:val="auto"/>
          <w:spacing w:val="-17"/>
          <w:highlight w:val="none"/>
        </w:rPr>
        <w:br w:type="page"/>
      </w:r>
    </w:p>
    <w:p w14:paraId="761E5CC3">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5-4必备的备品备件费清单</w:t>
      </w:r>
    </w:p>
    <w:p w14:paraId="7E26F86A">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84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304"/>
        <w:gridCol w:w="1008"/>
        <w:gridCol w:w="669"/>
        <w:gridCol w:w="772"/>
        <w:gridCol w:w="694"/>
        <w:gridCol w:w="803"/>
        <w:gridCol w:w="803"/>
        <w:gridCol w:w="1134"/>
      </w:tblGrid>
      <w:tr w14:paraId="5D1FB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256" w:type="dxa"/>
            <w:vAlign w:val="center"/>
          </w:tcPr>
          <w:p w14:paraId="15B76166">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304" w:type="dxa"/>
            <w:vAlign w:val="center"/>
          </w:tcPr>
          <w:p w14:paraId="4ECD391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备品备件</w:t>
            </w:r>
          </w:p>
          <w:p w14:paraId="6D6DE7A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008" w:type="dxa"/>
            <w:vAlign w:val="center"/>
          </w:tcPr>
          <w:p w14:paraId="31609191">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规格型号</w:t>
            </w:r>
          </w:p>
        </w:tc>
        <w:tc>
          <w:tcPr>
            <w:tcW w:w="669" w:type="dxa"/>
            <w:vAlign w:val="center"/>
          </w:tcPr>
          <w:p w14:paraId="0E870131">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w:t>
            </w:r>
          </w:p>
          <w:p w14:paraId="22049B9F">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单位</w:t>
            </w:r>
          </w:p>
        </w:tc>
        <w:tc>
          <w:tcPr>
            <w:tcW w:w="772" w:type="dxa"/>
            <w:vAlign w:val="center"/>
          </w:tcPr>
          <w:p w14:paraId="1F3953A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694" w:type="dxa"/>
            <w:vAlign w:val="center"/>
          </w:tcPr>
          <w:p w14:paraId="114FA2BA">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  （元）</w:t>
            </w:r>
          </w:p>
        </w:tc>
        <w:tc>
          <w:tcPr>
            <w:tcW w:w="803" w:type="dxa"/>
            <w:vAlign w:val="center"/>
          </w:tcPr>
          <w:p w14:paraId="157115F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74D942E0">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803" w:type="dxa"/>
            <w:vAlign w:val="center"/>
          </w:tcPr>
          <w:p w14:paraId="653111F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制造商</w:t>
            </w:r>
          </w:p>
          <w:p w14:paraId="321323C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132" w:type="dxa"/>
            <w:vAlign w:val="center"/>
          </w:tcPr>
          <w:p w14:paraId="2E1E484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7E25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3E47BC9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5AADFCC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6140F6B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34DF2B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2C0007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1154872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7B70D86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70D2B88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97182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1CC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32F7124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37AE91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6FF36A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07D3095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3131F42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023476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25ECA6F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0C12EA8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6396662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ED2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097AE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6E8710A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0E9C0F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1366D3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3B814F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28DC90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023FB01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B0AE95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77DB449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640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jc w:val="center"/>
        </w:trPr>
        <w:tc>
          <w:tcPr>
            <w:tcW w:w="1256" w:type="dxa"/>
          </w:tcPr>
          <w:p w14:paraId="3EB6E7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55E3A6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021D49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110379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11A2B3D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2615A4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39E5DA7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0AA062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22598AF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164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70FD73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0D4838F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7EAE4E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3D5932B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083FFE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2BBA7F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1B59B0C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3B632C8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0EB6BB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92B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75181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6C9AFC6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338BAFF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23E19F6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47C1FE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5083CC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1338BE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28F9F0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637A5B0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CD1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6E2CD5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3BCD7C2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1E2ED8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0ECF72F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538FA14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3A2986A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23946B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A462E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4D772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6EF5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0A1031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3C081AE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5B81AC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75E7DD4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1772824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7E36967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ED072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4D4FA4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F5764F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01B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D97B9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386501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6D31FD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74CF28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43C81D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15643C1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482113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14C82BD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FD6543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C4B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3568" w:type="dxa"/>
            <w:gridSpan w:val="3"/>
            <w:vAlign w:val="center"/>
          </w:tcPr>
          <w:p w14:paraId="3E04FD9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669" w:type="dxa"/>
          </w:tcPr>
          <w:p w14:paraId="0EF60A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4206" w:type="dxa"/>
            <w:gridSpan w:val="5"/>
          </w:tcPr>
          <w:p w14:paraId="1FB218EB">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u w:val="single"/>
              </w:rPr>
              <w:tab/>
            </w:r>
            <w:r>
              <w:rPr>
                <w:rFonts w:hint="eastAsia" w:ascii="宋体" w:hAnsi="宋体" w:cstheme="minorEastAsia"/>
                <w:snapToGrid w:val="0"/>
                <w:color w:val="auto"/>
                <w:spacing w:val="-3"/>
                <w:kern w:val="0"/>
                <w:szCs w:val="21"/>
                <w:highlight w:val="none"/>
                <w:u w:val="single"/>
              </w:rPr>
              <w:t xml:space="preserve">     </w:t>
            </w:r>
            <w:r>
              <w:rPr>
                <w:rFonts w:hint="eastAsia" w:ascii="宋体" w:hAnsi="宋体" w:cstheme="minorEastAsia"/>
                <w:snapToGrid w:val="0"/>
                <w:color w:val="auto"/>
                <w:spacing w:val="-3"/>
                <w:kern w:val="0"/>
                <w:szCs w:val="21"/>
                <w:highlight w:val="none"/>
              </w:rPr>
              <w:t>元</w:t>
            </w:r>
          </w:p>
          <w:p w14:paraId="6DAA76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6B9E20F3">
      <w:pPr>
        <w:kinsoku w:val="0"/>
        <w:autoSpaceDE w:val="0"/>
        <w:autoSpaceDN w:val="0"/>
        <w:adjustRightInd w:val="0"/>
        <w:snapToGrid w:val="0"/>
        <w:spacing w:line="330" w:lineRule="auto"/>
        <w:jc w:val="left"/>
        <w:textAlignment w:val="baseline"/>
        <w:rPr>
          <w:rFonts w:ascii="Arial" w:hAnsi="Arial" w:eastAsia="Arial" w:cs="Arial"/>
          <w:snapToGrid w:val="0"/>
          <w:color w:val="auto"/>
          <w:kern w:val="0"/>
          <w:szCs w:val="21"/>
          <w:highlight w:val="none"/>
        </w:rPr>
      </w:pPr>
    </w:p>
    <w:p w14:paraId="6B717F1E">
      <w:pPr>
        <w:kinsoku w:val="0"/>
        <w:autoSpaceDE w:val="0"/>
        <w:autoSpaceDN w:val="0"/>
        <w:adjustRightInd w:val="0"/>
        <w:snapToGrid w:val="0"/>
        <w:spacing w:line="330" w:lineRule="auto"/>
        <w:jc w:val="left"/>
        <w:textAlignment w:val="baseline"/>
        <w:rPr>
          <w:rFonts w:ascii="Arial" w:hAnsi="Arial" w:eastAsia="Arial" w:cs="Arial"/>
          <w:snapToGrid w:val="0"/>
          <w:color w:val="auto"/>
          <w:kern w:val="0"/>
          <w:szCs w:val="21"/>
          <w:highlight w:val="none"/>
        </w:rPr>
      </w:pPr>
    </w:p>
    <w:p w14:paraId="42A1E04E">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7B389DFA">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5368E391">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70882D78">
      <w:pPr>
        <w:widowControl/>
        <w:jc w:val="left"/>
        <w:rPr>
          <w:rFonts w:ascii="Arial" w:hAnsi="Arial" w:eastAsia="Arial" w:cs="Arial"/>
          <w:snapToGrid w:val="0"/>
          <w:color w:val="auto"/>
          <w:kern w:val="0"/>
          <w:szCs w:val="21"/>
          <w:highlight w:val="none"/>
        </w:rPr>
      </w:pPr>
      <w:r>
        <w:rPr>
          <w:snapToGrid w:val="0"/>
          <w:color w:val="auto"/>
          <w:spacing w:val="-17"/>
          <w:highlight w:val="none"/>
        </w:rPr>
        <w:br w:type="page"/>
      </w:r>
    </w:p>
    <w:p w14:paraId="5A1AAB90">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5-5建筑安装工程费清单</w:t>
      </w:r>
    </w:p>
    <w:p w14:paraId="2E7D90F6">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4"/>
        <w:gridCol w:w="2053"/>
        <w:gridCol w:w="1027"/>
        <w:gridCol w:w="1027"/>
        <w:gridCol w:w="1155"/>
        <w:gridCol w:w="1291"/>
        <w:gridCol w:w="992"/>
      </w:tblGrid>
      <w:tr w14:paraId="12A6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6" w:type="pct"/>
            <w:vAlign w:val="center"/>
          </w:tcPr>
          <w:p w14:paraId="3A3DD13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34" w:type="pct"/>
            <w:vAlign w:val="center"/>
          </w:tcPr>
          <w:p w14:paraId="5941CB46">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617" w:type="pct"/>
            <w:vAlign w:val="center"/>
          </w:tcPr>
          <w:p w14:paraId="17B64338">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617" w:type="pct"/>
            <w:vAlign w:val="center"/>
          </w:tcPr>
          <w:p w14:paraId="03BF468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工程数量</w:t>
            </w:r>
          </w:p>
        </w:tc>
        <w:tc>
          <w:tcPr>
            <w:tcW w:w="694" w:type="pct"/>
            <w:vAlign w:val="center"/>
          </w:tcPr>
          <w:p w14:paraId="5F81C411">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776" w:type="pct"/>
            <w:vAlign w:val="center"/>
          </w:tcPr>
          <w:p w14:paraId="4BCE59DA">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合价（元）</w:t>
            </w:r>
          </w:p>
        </w:tc>
        <w:tc>
          <w:tcPr>
            <w:tcW w:w="596" w:type="pct"/>
            <w:vAlign w:val="center"/>
          </w:tcPr>
          <w:p w14:paraId="4AF4983A">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02605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163B99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4A1009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181B0CF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575F48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30B58BA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E83F8C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67E5C48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FCC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4A3135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33BEA9B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8E16B8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2BC14C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57527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469FF8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A3FA7E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8E9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6CDFA9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29873A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2A492A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8831D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45DA75C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DECF67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2DAA5F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2B8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1F4F763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CF2914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5B4BA59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D9DC36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331D113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578AEF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1856C2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BC1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7D0721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12CAB30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973AB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187702E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1C036B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2A5522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62F274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56A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746F84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78BB51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4A9E6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1F9BCC3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31A3C0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650928C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4D2AF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8D17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6D16B7B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06A43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1217895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3424C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47C9DD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6C3D44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330D021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CC22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15E402C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38D8E9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24FDCD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75D669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2934E8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57FA786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05F3A03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EFC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1CFA31D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7C632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24956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A0F268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44F03C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1AF68DC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6FB9EB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2B3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3B9AD2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737A5BC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D7912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078D8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460B383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35620AF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2C48846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27B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595C64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766A9D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A002A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7C4B06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78F22FF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33D2875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6BA7DD7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B2C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5E12F51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0DC3B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E2E38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ACF132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7D383B4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2DB9DF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2953939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912D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29E57F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127D32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5BFC4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02BF1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5C3122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4C05595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302D12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B48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1DE858A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7DE58D0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16238E5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241100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7896F78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7F5E99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71E8DE5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B40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4C48BFD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1CB194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5D18E91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09DDA0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F8E6D7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1891DFC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6CEC474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B6A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617DEC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958391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7B0C8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0502D8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438B2C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41224D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43BE5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FC7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2AA1B72D">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1234" w:type="pct"/>
          </w:tcPr>
          <w:p w14:paraId="1F6E2732">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04EBAEFD">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1C3F9C8E">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94" w:type="pct"/>
          </w:tcPr>
          <w:p w14:paraId="03D62C64">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776" w:type="pct"/>
          </w:tcPr>
          <w:p w14:paraId="2947AFB2">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596" w:type="pct"/>
          </w:tcPr>
          <w:p w14:paraId="6274CC55">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r>
      <w:tr w14:paraId="2ABF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25E77109">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1234" w:type="pct"/>
          </w:tcPr>
          <w:p w14:paraId="132F9D35">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2F773482">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24F1255D">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94" w:type="pct"/>
          </w:tcPr>
          <w:p w14:paraId="5B017301">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776" w:type="pct"/>
          </w:tcPr>
          <w:p w14:paraId="0D10975C">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596" w:type="pct"/>
          </w:tcPr>
          <w:p w14:paraId="537A0BE1">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r>
      <w:tr w14:paraId="53DF9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927" w:type="pct"/>
            <w:gridSpan w:val="4"/>
            <w:tcBorders>
              <w:right w:val="single" w:color="auto" w:sz="4" w:space="0"/>
            </w:tcBorders>
            <w:vAlign w:val="center"/>
          </w:tcPr>
          <w:p w14:paraId="0B7BDB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2073" w:type="pct"/>
            <w:gridSpan w:val="3"/>
            <w:tcBorders>
              <w:left w:val="single" w:color="auto" w:sz="4" w:space="0"/>
            </w:tcBorders>
          </w:tcPr>
          <w:p w14:paraId="57240619">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_____________元</w:t>
            </w:r>
          </w:p>
          <w:p w14:paraId="22D4D19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汇入工程项目总价表</w:t>
            </w:r>
          </w:p>
        </w:tc>
      </w:tr>
    </w:tbl>
    <w:p w14:paraId="7CFE8501">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Cs w:val="21"/>
          <w:highlight w:val="none"/>
        </w:rPr>
      </w:pPr>
    </w:p>
    <w:p w14:paraId="67A31927">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Cs w:val="21"/>
          <w:highlight w:val="none"/>
        </w:rPr>
      </w:pPr>
    </w:p>
    <w:p w14:paraId="7F165406">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2315F937">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69CC5361">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3F41C892">
      <w:pPr>
        <w:widowControl/>
        <w:jc w:val="left"/>
        <w:rPr>
          <w:rFonts w:ascii="宋体" w:hAnsi="宋体" w:cs="宋体"/>
          <w:snapToGrid w:val="0"/>
          <w:color w:val="auto"/>
          <w:spacing w:val="-1"/>
          <w:kern w:val="0"/>
          <w:sz w:val="28"/>
          <w:szCs w:val="28"/>
          <w:highlight w:val="none"/>
          <w14:textOutline w14:w="5105" w14:cap="sq">
            <w14:solidFill>
              <w14:srgbClr w14:val="000000"/>
            </w14:solidFill>
            <w14:prstDash w14:val="solid"/>
            <w14:bevel/>
          </w14:textOutline>
        </w:rPr>
        <w:sectPr>
          <w:footerReference r:id="rId30" w:type="default"/>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592A25F4">
      <w:pPr>
        <w:kinsoku w:val="0"/>
        <w:autoSpaceDE w:val="0"/>
        <w:autoSpaceDN w:val="0"/>
        <w:adjustRightInd w:val="0"/>
        <w:snapToGrid w:val="0"/>
        <w:spacing w:line="403" w:lineRule="auto"/>
        <w:jc w:val="left"/>
        <w:textAlignment w:val="baseline"/>
        <w:rPr>
          <w:rFonts w:ascii="Arial" w:hAnsi="Arial" w:eastAsia="Arial" w:cs="Arial"/>
          <w:snapToGrid w:val="0"/>
          <w:color w:val="auto"/>
          <w:kern w:val="0"/>
          <w:szCs w:val="21"/>
          <w:highlight w:val="none"/>
        </w:rPr>
      </w:pPr>
    </w:p>
    <w:p w14:paraId="4491F432">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sectPr>
          <w:footerReference r:id="rId31" w:type="default"/>
          <w:type w:val="continuous"/>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6D1DC9BD">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5-6</w:t>
      </w:r>
      <w:r>
        <w:rPr>
          <w:rFonts w:hint="eastAsia" w:eastAsia="黑体" w:cs="宋体"/>
          <w:color w:val="auto"/>
          <w:sz w:val="24"/>
          <w:highlight w:val="none"/>
          <w:lang w:eastAsia="en-US"/>
        </w:rPr>
        <w:t>技术服务费清单</w:t>
      </w:r>
    </w:p>
    <w:p w14:paraId="3BDC3121">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8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417"/>
        <w:gridCol w:w="1447"/>
        <w:gridCol w:w="1952"/>
        <w:gridCol w:w="1534"/>
      </w:tblGrid>
      <w:tr w14:paraId="71DE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66" w:type="dxa"/>
            <w:vAlign w:val="center"/>
          </w:tcPr>
          <w:p w14:paraId="6FBB3E74">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417" w:type="dxa"/>
            <w:vAlign w:val="center"/>
          </w:tcPr>
          <w:p w14:paraId="5BBDDB0A">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447" w:type="dxa"/>
            <w:vAlign w:val="center"/>
          </w:tcPr>
          <w:p w14:paraId="07A4DADC">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工作内容</w:t>
            </w:r>
          </w:p>
        </w:tc>
        <w:tc>
          <w:tcPr>
            <w:tcW w:w="1952" w:type="dxa"/>
            <w:vAlign w:val="center"/>
          </w:tcPr>
          <w:p w14:paraId="1ADF32D2">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 额（元）</w:t>
            </w:r>
          </w:p>
        </w:tc>
        <w:tc>
          <w:tcPr>
            <w:tcW w:w="1534" w:type="dxa"/>
            <w:vAlign w:val="center"/>
          </w:tcPr>
          <w:p w14:paraId="29A7B2A0">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3BB3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5A0074F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646F819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65CCEB2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26E13C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37CD1E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8DC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364418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3ED4B2C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2BDAAD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1FB67D9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CBDFD4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383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16F4AE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106D34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64F316F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4A32B70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4818392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7DB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662F4A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5BD9D9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7735801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215D60D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BD95A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8F9A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5FBFDDE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35D9102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05CB6BB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79C0106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B39343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8D3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6F44A4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3859841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5AD6A9E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2A7B01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02F4B02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4FF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99A5D5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62F70D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544A6E6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239C8A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6B801F0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5EE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29216FC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25E955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344E45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79B828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562D11E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BA8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71221A4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2E7FAE1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223546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930D49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01D5DB7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BE4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0B5D6CF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6B7963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0897372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973FE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6E82E33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66AC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4B15AF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2BE58B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3381DC7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0C7C3FA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58FD583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325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3F022A3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6EED31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55ADF5D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E55DC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4CC18F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DD6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83" w:type="dxa"/>
            <w:gridSpan w:val="2"/>
            <w:vAlign w:val="center"/>
          </w:tcPr>
          <w:p w14:paraId="35AC70C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933" w:type="dxa"/>
            <w:gridSpan w:val="3"/>
          </w:tcPr>
          <w:p w14:paraId="1DBA7485">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3807367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71626AD7">
      <w:pPr>
        <w:kinsoku w:val="0"/>
        <w:autoSpaceDE w:val="0"/>
        <w:autoSpaceDN w:val="0"/>
        <w:adjustRightInd w:val="0"/>
        <w:snapToGrid w:val="0"/>
        <w:spacing w:line="267" w:lineRule="auto"/>
        <w:jc w:val="left"/>
        <w:textAlignment w:val="baseline"/>
        <w:rPr>
          <w:rFonts w:ascii="Arial" w:hAnsi="Arial" w:eastAsia="Arial" w:cs="Arial"/>
          <w:snapToGrid w:val="0"/>
          <w:color w:val="auto"/>
          <w:kern w:val="0"/>
          <w:szCs w:val="21"/>
          <w:highlight w:val="none"/>
        </w:rPr>
      </w:pPr>
    </w:p>
    <w:p w14:paraId="38CDD3C4">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Cs w:val="21"/>
          <w:highlight w:val="none"/>
        </w:rPr>
      </w:pPr>
    </w:p>
    <w:p w14:paraId="7A4417F9">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Cs w:val="21"/>
          <w:highlight w:val="none"/>
        </w:rPr>
      </w:pPr>
    </w:p>
    <w:p w14:paraId="1E76E797">
      <w:pPr>
        <w:kinsoku w:val="0"/>
        <w:autoSpaceDE w:val="0"/>
        <w:autoSpaceDN w:val="0"/>
        <w:adjustRightInd w:val="0"/>
        <w:snapToGrid w:val="0"/>
        <w:spacing w:line="293" w:lineRule="auto"/>
        <w:jc w:val="left"/>
        <w:textAlignment w:val="baseline"/>
        <w:rPr>
          <w:rFonts w:ascii="Arial" w:hAnsi="Arial" w:eastAsia="Arial" w:cs="Arial"/>
          <w:snapToGrid w:val="0"/>
          <w:color w:val="auto"/>
          <w:kern w:val="0"/>
          <w:szCs w:val="21"/>
          <w:highlight w:val="none"/>
        </w:rPr>
      </w:pPr>
    </w:p>
    <w:p w14:paraId="1E993C19">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Cs w:val="21"/>
          <w:highlight w:val="none"/>
        </w:rPr>
      </w:pPr>
    </w:p>
    <w:p w14:paraId="237504F1">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052A1C4D">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7A396BE5">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37E33B49">
      <w:pPr>
        <w:widowControl/>
        <w:jc w:val="left"/>
        <w:rPr>
          <w:color w:val="auto"/>
          <w:highlight w:val="none"/>
        </w:rPr>
      </w:pPr>
      <w:r>
        <w:rPr>
          <w:color w:val="auto"/>
          <w:highlight w:val="none"/>
        </w:rPr>
        <w:br w:type="page"/>
      </w:r>
    </w:p>
    <w:p w14:paraId="5D8B7250">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5-7材料暂估价表</w:t>
      </w:r>
    </w:p>
    <w:p w14:paraId="0684494B">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8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114"/>
        <w:gridCol w:w="1117"/>
        <w:gridCol w:w="1114"/>
        <w:gridCol w:w="1754"/>
        <w:gridCol w:w="1251"/>
        <w:gridCol w:w="1139"/>
      </w:tblGrid>
      <w:tr w14:paraId="7D8A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94" w:type="dxa"/>
          </w:tcPr>
          <w:p w14:paraId="2B6ACE78">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114" w:type="dxa"/>
          </w:tcPr>
          <w:p w14:paraId="610B4357">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117" w:type="dxa"/>
          </w:tcPr>
          <w:p w14:paraId="71DAE1FA">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1114" w:type="dxa"/>
          </w:tcPr>
          <w:p w14:paraId="65BC2236">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1754" w:type="dxa"/>
          </w:tcPr>
          <w:p w14:paraId="302CCB52">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1251" w:type="dxa"/>
          </w:tcPr>
          <w:p w14:paraId="1E90A4D0">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合价（元）</w:t>
            </w:r>
          </w:p>
        </w:tc>
        <w:tc>
          <w:tcPr>
            <w:tcW w:w="1137" w:type="dxa"/>
          </w:tcPr>
          <w:p w14:paraId="54733019">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3B43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40255E3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3C1FA5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1A93A63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E9BCFC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09837FB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291DDE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0398EBE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4B3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2E3E942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B3BD2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714C579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572441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607AF0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3CF510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37A090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36D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58912C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4501E6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4785A5C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2612A8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3999276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54E8960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4EC3020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448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1DE769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634C4E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74CAC7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D73135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06E6F48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38103E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05C31F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2EC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jc w:val="center"/>
        </w:trPr>
        <w:tc>
          <w:tcPr>
            <w:tcW w:w="894" w:type="dxa"/>
          </w:tcPr>
          <w:p w14:paraId="16708E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39C30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3A69993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0D5D6B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68A5E39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120D51D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57BBA1F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F5E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7C764A0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05F1DF6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68F614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03A20F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71FBBE7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5D1CB6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4C41EA8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6DA3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1C669DB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51CAEF3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413383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3D07094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6C9C66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099816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24898B9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372B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jc w:val="center"/>
        </w:trPr>
        <w:tc>
          <w:tcPr>
            <w:tcW w:w="894" w:type="dxa"/>
          </w:tcPr>
          <w:p w14:paraId="75AA177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22A0B7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43271A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BD4DB0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638939D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44A25C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6DD41D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A19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125" w:type="dxa"/>
            <w:gridSpan w:val="3"/>
            <w:vAlign w:val="center"/>
          </w:tcPr>
          <w:p w14:paraId="1634AC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258" w:type="dxa"/>
            <w:gridSpan w:val="4"/>
          </w:tcPr>
          <w:p w14:paraId="36DD7F44">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39D198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491A0835">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5F2C0FF5">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Cs w:val="21"/>
          <w:highlight w:val="none"/>
        </w:rPr>
      </w:pPr>
    </w:p>
    <w:p w14:paraId="3B88988D">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Cs w:val="21"/>
          <w:highlight w:val="none"/>
        </w:rPr>
      </w:pPr>
    </w:p>
    <w:p w14:paraId="2FAE8623">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394F3554">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35E8A279">
      <w:pPr>
        <w:spacing w:line="480" w:lineRule="auto"/>
        <w:ind w:right="840"/>
        <w:jc w:val="right"/>
        <w:rPr>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4BEB3B1E">
      <w:pPr>
        <w:widowControl/>
        <w:spacing w:line="480" w:lineRule="auto"/>
        <w:jc w:val="left"/>
        <w:rPr>
          <w:rFonts w:ascii="Arial" w:hAnsi="Arial" w:eastAsia="Arial" w:cs="Arial"/>
          <w:snapToGrid w:val="0"/>
          <w:color w:val="auto"/>
          <w:kern w:val="0"/>
          <w:szCs w:val="21"/>
          <w:highlight w:val="none"/>
        </w:rPr>
      </w:pPr>
      <w:r>
        <w:rPr>
          <w:color w:val="auto"/>
          <w:highlight w:val="none"/>
        </w:rPr>
        <w:br w:type="page"/>
      </w:r>
    </w:p>
    <w:p w14:paraId="743017CC">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5-8工程设备暂估价表</w:t>
      </w:r>
    </w:p>
    <w:p w14:paraId="5BD9DF84">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8228"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282"/>
        <w:gridCol w:w="1640"/>
        <w:gridCol w:w="1140"/>
        <w:gridCol w:w="1140"/>
        <w:gridCol w:w="1144"/>
        <w:gridCol w:w="1101"/>
      </w:tblGrid>
      <w:tr w14:paraId="1EF2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vAlign w:val="center"/>
          </w:tcPr>
          <w:p w14:paraId="2EA434B6">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82" w:type="dxa"/>
            <w:vAlign w:val="center"/>
          </w:tcPr>
          <w:p w14:paraId="47315890">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640" w:type="dxa"/>
            <w:vAlign w:val="center"/>
          </w:tcPr>
          <w:p w14:paraId="12A9B8B9">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1140" w:type="dxa"/>
            <w:vAlign w:val="center"/>
          </w:tcPr>
          <w:p w14:paraId="13A045C8">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1140" w:type="dxa"/>
            <w:vAlign w:val="center"/>
          </w:tcPr>
          <w:p w14:paraId="496E9ECF">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1144" w:type="dxa"/>
            <w:vAlign w:val="center"/>
          </w:tcPr>
          <w:p w14:paraId="396B9FAE">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213F6112">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1101" w:type="dxa"/>
            <w:vAlign w:val="center"/>
          </w:tcPr>
          <w:p w14:paraId="7A454896">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0515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49F934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161396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5516CB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29C607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38365E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28544AD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257B3F3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DF2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4C97B3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1D5798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04D030B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84BD9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4BE45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2F8195E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467D1A1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B790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75B698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7A1DA11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0F087A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3DBE6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68FCB8C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4CB82E8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1BE838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BE5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781" w:type="dxa"/>
          </w:tcPr>
          <w:p w14:paraId="0DA3C4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7F4EB02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373BA93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7CAACA2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6CF49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00EC326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65E2546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76A3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781" w:type="dxa"/>
          </w:tcPr>
          <w:p w14:paraId="186A9EC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681B5D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EC426E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085F4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1A68F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300115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325E573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59F2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513A9CE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4A13BE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64D4A3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57A10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F731D3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27F08F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2E7E638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537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478D88A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5981C7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37240B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77D6B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5DE3B5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17F039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77F7042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E91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tcPr>
          <w:p w14:paraId="68464E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689962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5E40F9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37A15F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EA66AA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45B163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069A4FE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FF4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tcPr>
          <w:p w14:paraId="3A96C8D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37481D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009D30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924900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F4AEB2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0BBD43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73FC596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2B0F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3703" w:type="dxa"/>
            <w:gridSpan w:val="3"/>
            <w:vAlign w:val="center"/>
          </w:tcPr>
          <w:p w14:paraId="1259A68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525" w:type="dxa"/>
            <w:gridSpan w:val="4"/>
          </w:tcPr>
          <w:p w14:paraId="6F3DAC07">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5A20092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68588681">
      <w:pPr>
        <w:kinsoku w:val="0"/>
        <w:autoSpaceDE w:val="0"/>
        <w:autoSpaceDN w:val="0"/>
        <w:adjustRightInd w:val="0"/>
        <w:snapToGrid w:val="0"/>
        <w:spacing w:line="348" w:lineRule="auto"/>
        <w:jc w:val="left"/>
        <w:textAlignment w:val="baseline"/>
        <w:rPr>
          <w:rFonts w:ascii="Arial" w:hAnsi="Arial" w:eastAsia="Arial" w:cs="Arial"/>
          <w:snapToGrid w:val="0"/>
          <w:color w:val="auto"/>
          <w:kern w:val="0"/>
          <w:szCs w:val="21"/>
          <w:highlight w:val="none"/>
        </w:rPr>
      </w:pPr>
    </w:p>
    <w:p w14:paraId="2EEFDBD6">
      <w:pPr>
        <w:widowControl/>
        <w:kinsoku w:val="0"/>
        <w:autoSpaceDE w:val="0"/>
        <w:autoSpaceDN w:val="0"/>
        <w:adjustRightInd w:val="0"/>
        <w:snapToGrid w:val="0"/>
        <w:spacing w:before="91" w:line="480" w:lineRule="auto"/>
        <w:jc w:val="left"/>
        <w:textAlignment w:val="baseline"/>
        <w:rPr>
          <w:rFonts w:ascii="宋体" w:hAnsi="宋体" w:cs="宋体"/>
          <w:snapToGrid w:val="0"/>
          <w:color w:val="auto"/>
          <w:spacing w:val="1"/>
          <w:kern w:val="0"/>
          <w:szCs w:val="21"/>
          <w:highlight w:val="none"/>
        </w:rPr>
      </w:pPr>
    </w:p>
    <w:p w14:paraId="5AC26A8F">
      <w:pPr>
        <w:widowControl/>
        <w:kinsoku w:val="0"/>
        <w:autoSpaceDE w:val="0"/>
        <w:autoSpaceDN w:val="0"/>
        <w:adjustRightInd w:val="0"/>
        <w:snapToGrid w:val="0"/>
        <w:spacing w:before="91" w:line="480" w:lineRule="auto"/>
        <w:ind w:firstLine="3180" w:firstLineChars="1500"/>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6D2CC5F1">
      <w:pPr>
        <w:spacing w:line="480" w:lineRule="auto"/>
        <w:ind w:firstLine="3150" w:firstLineChars="150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3553D952">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27020135">
      <w:pPr>
        <w:widowControl/>
        <w:jc w:val="left"/>
        <w:rPr>
          <w:snapToGrid w:val="0"/>
          <w:color w:val="auto"/>
          <w:highlight w:val="none"/>
        </w:rPr>
      </w:pPr>
      <w:r>
        <w:rPr>
          <w:snapToGrid w:val="0"/>
          <w:color w:val="auto"/>
          <w:spacing w:val="-17"/>
          <w:highlight w:val="none"/>
        </w:rPr>
        <w:br w:type="page"/>
      </w:r>
    </w:p>
    <w:p w14:paraId="55009C4F">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5-9专业工程暂估价表</w:t>
      </w:r>
    </w:p>
    <w:p w14:paraId="028A1000">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46"/>
        <w:tblW w:w="8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9"/>
        <w:gridCol w:w="1603"/>
        <w:gridCol w:w="3569"/>
        <w:gridCol w:w="2107"/>
      </w:tblGrid>
      <w:tr w14:paraId="31DC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119" w:type="dxa"/>
          </w:tcPr>
          <w:p w14:paraId="5BB32C56">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602" w:type="dxa"/>
          </w:tcPr>
          <w:p w14:paraId="3F070540">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专业工程名称</w:t>
            </w:r>
          </w:p>
        </w:tc>
        <w:tc>
          <w:tcPr>
            <w:tcW w:w="3569" w:type="dxa"/>
          </w:tcPr>
          <w:p w14:paraId="572CFED2">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工程内容</w:t>
            </w:r>
          </w:p>
        </w:tc>
        <w:tc>
          <w:tcPr>
            <w:tcW w:w="2106" w:type="dxa"/>
          </w:tcPr>
          <w:p w14:paraId="70AB4A0F">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金额（元）</w:t>
            </w:r>
          </w:p>
        </w:tc>
      </w:tr>
      <w:tr w14:paraId="61D9E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7406AA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25413ED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5C26892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0011008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4957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119" w:type="dxa"/>
          </w:tcPr>
          <w:p w14:paraId="2DBB4B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4038F2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3B7AAA2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4614C6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99D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4E8CE0A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5A05A9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11C298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78F21ED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A18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39EDE3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5A3CF6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2C268C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70D5ED0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02E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44D957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351671F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7951BA9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5CED25D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41BF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50595C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3B79103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5FA6CE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1CFB51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8E7F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64F7BA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5C0B460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0B91C2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7335170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F88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2722" w:type="dxa"/>
            <w:gridSpan w:val="2"/>
            <w:vAlign w:val="center"/>
          </w:tcPr>
          <w:p w14:paraId="38A58719">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20"/>
                <w:szCs w:val="20"/>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676" w:type="dxa"/>
            <w:gridSpan w:val="2"/>
          </w:tcPr>
          <w:p w14:paraId="721FB8E0">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5D018B64">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18"/>
                <w:szCs w:val="18"/>
                <w:highlight w:val="none"/>
              </w:rPr>
            </w:pPr>
            <w:r>
              <w:rPr>
                <w:rFonts w:hint="eastAsia" w:ascii="宋体" w:hAnsi="宋体" w:cstheme="minorEastAsia"/>
                <w:snapToGrid w:val="0"/>
                <w:color w:val="auto"/>
                <w:spacing w:val="-3"/>
                <w:kern w:val="0"/>
                <w:szCs w:val="21"/>
                <w:highlight w:val="none"/>
              </w:rPr>
              <w:t>汇入投标报价汇总表</w:t>
            </w:r>
          </w:p>
        </w:tc>
      </w:tr>
    </w:tbl>
    <w:p w14:paraId="78A98EC1">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75CCD290">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35E3E9F5">
      <w:pPr>
        <w:kinsoku w:val="0"/>
        <w:autoSpaceDE w:val="0"/>
        <w:autoSpaceDN w:val="0"/>
        <w:adjustRightInd w:val="0"/>
        <w:snapToGrid w:val="0"/>
        <w:spacing w:line="480" w:lineRule="auto"/>
        <w:jc w:val="left"/>
        <w:textAlignment w:val="baseline"/>
        <w:rPr>
          <w:rFonts w:ascii="Arial" w:hAnsi="Arial" w:eastAsia="Arial" w:cs="Arial"/>
          <w:snapToGrid w:val="0"/>
          <w:color w:val="auto"/>
          <w:kern w:val="0"/>
          <w:szCs w:val="21"/>
          <w:highlight w:val="none"/>
        </w:rPr>
      </w:pPr>
    </w:p>
    <w:p w14:paraId="16A9E9E0">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63DAE606">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05DCEE32">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6C851169">
      <w:pPr>
        <w:widowControl/>
        <w:jc w:val="left"/>
        <w:rPr>
          <w:color w:val="auto"/>
          <w:highlight w:val="none"/>
        </w:rPr>
      </w:pPr>
      <w:r>
        <w:rPr>
          <w:color w:val="auto"/>
          <w:highlight w:val="none"/>
        </w:rPr>
        <w:br w:type="page"/>
      </w:r>
    </w:p>
    <w:p w14:paraId="049AB178">
      <w:pPr>
        <w:spacing w:line="480" w:lineRule="auto"/>
        <w:jc w:val="right"/>
        <w:rPr>
          <w:color w:val="auto"/>
          <w:highlight w:val="none"/>
        </w:rPr>
        <w:sectPr>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3A195170">
      <w:pPr>
        <w:kinsoku w:val="0"/>
        <w:autoSpaceDE w:val="0"/>
        <w:autoSpaceDN w:val="0"/>
        <w:adjustRightInd w:val="0"/>
        <w:snapToGrid w:val="0"/>
        <w:spacing w:line="244" w:lineRule="auto"/>
        <w:jc w:val="left"/>
        <w:textAlignment w:val="baseline"/>
        <w:rPr>
          <w:rFonts w:ascii="Arial" w:hAnsi="Arial" w:eastAsia="Arial" w:cs="Arial"/>
          <w:snapToGrid w:val="0"/>
          <w:color w:val="auto"/>
          <w:kern w:val="0"/>
          <w:szCs w:val="21"/>
          <w:highlight w:val="none"/>
          <w:lang w:eastAsia="en-US"/>
        </w:rPr>
      </w:pPr>
    </w:p>
    <w:p w14:paraId="70CE1A0B">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5-10</w:t>
      </w:r>
      <w:r>
        <w:rPr>
          <w:rFonts w:hint="eastAsia" w:eastAsia="黑体" w:cs="宋体"/>
          <w:color w:val="auto"/>
          <w:sz w:val="24"/>
          <w:highlight w:val="none"/>
          <w:lang w:eastAsia="en-US"/>
        </w:rPr>
        <w:t>其</w:t>
      </w:r>
      <w:r>
        <w:rPr>
          <w:rFonts w:hint="eastAsia" w:eastAsia="黑体" w:cs="宋体"/>
          <w:color w:val="auto"/>
          <w:sz w:val="24"/>
          <w:highlight w:val="none"/>
          <w:lang w:val="en-US" w:eastAsia="zh-CN"/>
        </w:rPr>
        <w:t>他</w:t>
      </w:r>
      <w:r>
        <w:rPr>
          <w:rFonts w:hint="eastAsia" w:eastAsia="黑体" w:cs="宋体"/>
          <w:color w:val="auto"/>
          <w:sz w:val="24"/>
          <w:highlight w:val="none"/>
          <w:lang w:eastAsia="en-US"/>
        </w:rPr>
        <w:t>费用清单</w:t>
      </w:r>
    </w:p>
    <w:p w14:paraId="6629FEA2">
      <w:pPr>
        <w:widowControl/>
        <w:kinsoku w:val="0"/>
        <w:autoSpaceDE w:val="0"/>
        <w:autoSpaceDN w:val="0"/>
        <w:adjustRightInd w:val="0"/>
        <w:snapToGrid w:val="0"/>
        <w:jc w:val="center"/>
        <w:textAlignment w:val="baseline"/>
        <w:rPr>
          <w:rFonts w:eastAsia="黑体" w:cs="宋体"/>
          <w:color w:val="auto"/>
          <w:sz w:val="24"/>
          <w:highlight w:val="none"/>
          <w:lang w:eastAsia="en-US"/>
        </w:rPr>
      </w:pPr>
    </w:p>
    <w:tbl>
      <w:tblPr>
        <w:tblStyle w:val="46"/>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2639"/>
        <w:gridCol w:w="1061"/>
        <w:gridCol w:w="1984"/>
        <w:gridCol w:w="1779"/>
      </w:tblGrid>
      <w:tr w14:paraId="1762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063" w:type="dxa"/>
          </w:tcPr>
          <w:p w14:paraId="54394F30">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638" w:type="dxa"/>
          </w:tcPr>
          <w:p w14:paraId="36662480">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061" w:type="dxa"/>
          </w:tcPr>
          <w:p w14:paraId="030561F3">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内容</w:t>
            </w:r>
          </w:p>
        </w:tc>
        <w:tc>
          <w:tcPr>
            <w:tcW w:w="1984" w:type="dxa"/>
          </w:tcPr>
          <w:p w14:paraId="52B7BD33">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金额 （元）</w:t>
            </w:r>
          </w:p>
        </w:tc>
        <w:tc>
          <w:tcPr>
            <w:tcW w:w="1778" w:type="dxa"/>
          </w:tcPr>
          <w:p w14:paraId="1FF9B206">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75DD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0D02229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1</w:t>
            </w:r>
          </w:p>
        </w:tc>
        <w:tc>
          <w:tcPr>
            <w:tcW w:w="2638" w:type="dxa"/>
          </w:tcPr>
          <w:p w14:paraId="75BECF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安全生产费用</w:t>
            </w:r>
          </w:p>
        </w:tc>
        <w:tc>
          <w:tcPr>
            <w:tcW w:w="1061" w:type="dxa"/>
          </w:tcPr>
          <w:p w14:paraId="065A4A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18127B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681D8C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808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58FA15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w:t>
            </w:r>
          </w:p>
        </w:tc>
        <w:tc>
          <w:tcPr>
            <w:tcW w:w="2638" w:type="dxa"/>
          </w:tcPr>
          <w:p w14:paraId="126EE2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w:t>
            </w:r>
          </w:p>
        </w:tc>
        <w:tc>
          <w:tcPr>
            <w:tcW w:w="1061" w:type="dxa"/>
          </w:tcPr>
          <w:p w14:paraId="651A6DA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1E3BE0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1706D7E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E2B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194472A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15F60D5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22F2A0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4BEA93D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0ACF414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E75C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09219B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4982B0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472422D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7B816F5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013000C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51C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1063" w:type="dxa"/>
          </w:tcPr>
          <w:p w14:paraId="3B8E6FE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74092A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3F7EAB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5C3974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7219881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8BB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1063" w:type="dxa"/>
          </w:tcPr>
          <w:p w14:paraId="1034CC7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59B6C6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451F9E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6006EA8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07DC96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D66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31B437F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74F733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28F6C9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429CAC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1C57754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7133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4B1905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742088E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29B1137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26A0B05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3E74B9B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03AA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702" w:type="dxa"/>
            <w:gridSpan w:val="2"/>
            <w:vAlign w:val="center"/>
          </w:tcPr>
          <w:p w14:paraId="1421AD9B">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20"/>
                <w:szCs w:val="20"/>
                <w:highlight w:val="none"/>
              </w:rPr>
            </w:pPr>
            <w:r>
              <w:rPr>
                <w:rFonts w:hint="eastAsia" w:ascii="宋体" w:hAnsi="宋体" w:cstheme="minorEastAsia"/>
                <w:snapToGrid w:val="0"/>
                <w:color w:val="auto"/>
                <w:spacing w:val="-3"/>
                <w:kern w:val="0"/>
                <w:szCs w:val="21"/>
                <w:highlight w:val="none"/>
                <w:lang w:eastAsia="en-US"/>
              </w:rPr>
              <w:t>小 计</w:t>
            </w:r>
          </w:p>
        </w:tc>
        <w:tc>
          <w:tcPr>
            <w:tcW w:w="4824" w:type="dxa"/>
            <w:gridSpan w:val="3"/>
          </w:tcPr>
          <w:p w14:paraId="5211DB4A">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73B73F67">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18"/>
                <w:szCs w:val="18"/>
                <w:highlight w:val="none"/>
              </w:rPr>
            </w:pPr>
            <w:r>
              <w:rPr>
                <w:rFonts w:hint="eastAsia" w:ascii="宋体" w:hAnsi="宋体" w:cstheme="minorEastAsia"/>
                <w:snapToGrid w:val="0"/>
                <w:color w:val="auto"/>
                <w:spacing w:val="-3"/>
                <w:kern w:val="0"/>
                <w:szCs w:val="21"/>
                <w:highlight w:val="none"/>
              </w:rPr>
              <w:t>汇入投标报价汇总表</w:t>
            </w:r>
          </w:p>
        </w:tc>
      </w:tr>
    </w:tbl>
    <w:p w14:paraId="7F212247">
      <w:pPr>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rPr>
      </w:pPr>
    </w:p>
    <w:p w14:paraId="48CC0656">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1B552709">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2E9AFEAE">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69D6F130">
      <w:pPr>
        <w:keepNext w:val="0"/>
        <w:keepLines w:val="0"/>
        <w:widowControl w:val="0"/>
        <w:suppressLineNumbers w:val="0"/>
        <w:spacing w:before="0" w:beforeAutospacing="0" w:after="0" w:afterAutospacing="0" w:line="360" w:lineRule="auto"/>
        <w:ind w:right="0"/>
        <w:jc w:val="both"/>
        <w:rPr>
          <w:color w:val="auto"/>
          <w:highlight w:val="none"/>
        </w:rPr>
        <w:sectPr>
          <w:footerReference r:id="rId3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077EB25">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b w:val="0"/>
          <w:bCs w:val="0"/>
          <w:color w:val="auto"/>
          <w:sz w:val="28"/>
          <w:szCs w:val="28"/>
          <w:highlight w:val="none"/>
        </w:rPr>
      </w:pPr>
      <w:bookmarkStart w:id="2254" w:name="_Toc256000213"/>
      <w:bookmarkStart w:id="2255" w:name="_Toc148860889"/>
      <w:bookmarkStart w:id="2256" w:name="_Toc31684"/>
      <w:r>
        <w:rPr>
          <w:rFonts w:hint="default"/>
          <w:b w:val="0"/>
          <w:bCs w:val="0"/>
          <w:color w:val="auto"/>
          <w:sz w:val="28"/>
          <w:szCs w:val="28"/>
          <w:highlight w:val="none"/>
        </w:rPr>
        <w:t>六</w:t>
      </w:r>
      <w:r>
        <w:rPr>
          <w:rFonts w:hint="eastAsia" w:ascii="Arial" w:hAnsi="Arial"/>
          <w:b w:val="0"/>
          <w:bCs w:val="0"/>
          <w:color w:val="auto"/>
          <w:sz w:val="28"/>
          <w:szCs w:val="28"/>
          <w:highlight w:val="none"/>
        </w:rPr>
        <w:t>、承包人建议书</w:t>
      </w:r>
      <w:bookmarkEnd w:id="2254"/>
      <w:bookmarkEnd w:id="2255"/>
      <w:bookmarkEnd w:id="2256"/>
    </w:p>
    <w:p w14:paraId="5ECD8DA7">
      <w:pPr>
        <w:autoSpaceDE w:val="0"/>
        <w:autoSpaceDN w:val="0"/>
        <w:adjustRightInd w:val="0"/>
        <w:jc w:val="left"/>
        <w:rPr>
          <w:rFonts w:ascii="宋体" w:cs="宋体"/>
          <w:color w:val="auto"/>
          <w:kern w:val="0"/>
          <w:szCs w:val="21"/>
          <w:highlight w:val="none"/>
        </w:rPr>
      </w:pPr>
      <w:r>
        <w:rPr>
          <w:rFonts w:hint="eastAsia" w:ascii="宋体" w:cs="宋体"/>
          <w:color w:val="auto"/>
          <w:kern w:val="0"/>
          <w:szCs w:val="21"/>
          <w:highlight w:val="none"/>
        </w:rPr>
        <w:t>以下提纲内容仅供参考，招标人可根据建设项目实际情况及招标内容自行编制承包人建议书要求纲要。</w:t>
      </w:r>
    </w:p>
    <w:p w14:paraId="31EFFFFD">
      <w:pPr>
        <w:autoSpaceDE w:val="0"/>
        <w:autoSpaceDN w:val="0"/>
        <w:adjustRightInd w:val="0"/>
        <w:jc w:val="left"/>
        <w:rPr>
          <w:rFonts w:ascii="宋体" w:cs="宋体"/>
          <w:color w:val="auto"/>
          <w:kern w:val="0"/>
          <w:szCs w:val="21"/>
          <w:highlight w:val="none"/>
        </w:rPr>
      </w:pPr>
    </w:p>
    <w:p w14:paraId="3F946DA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（一）概述</w:t>
      </w:r>
    </w:p>
    <w:p w14:paraId="2DAED0AD">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1.</w:t>
      </w:r>
      <w:r>
        <w:rPr>
          <w:rFonts w:hint="eastAsia" w:ascii="宋体" w:cs="宋体"/>
          <w:color w:val="auto"/>
          <w:kern w:val="0"/>
          <w:szCs w:val="21"/>
          <w:highlight w:val="none"/>
        </w:rPr>
        <w:t>项目简要介绍。</w:t>
      </w:r>
    </w:p>
    <w:p w14:paraId="3A9644C9">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2.</w:t>
      </w:r>
      <w:r>
        <w:rPr>
          <w:rFonts w:hint="eastAsia" w:ascii="宋体" w:cs="宋体"/>
          <w:color w:val="auto"/>
          <w:kern w:val="0"/>
          <w:szCs w:val="21"/>
          <w:highlight w:val="none"/>
        </w:rPr>
        <w:t>项目特点。</w:t>
      </w:r>
    </w:p>
    <w:p w14:paraId="5959BFF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（二）工程详细说明</w:t>
      </w:r>
    </w:p>
    <w:p w14:paraId="3544C7C3">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对本工程的全面认识、理解。</w:t>
      </w:r>
    </w:p>
    <w:p w14:paraId="3B622B9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（三）对本工程重点和难点的认识以及对策、建议</w:t>
      </w:r>
    </w:p>
    <w:p w14:paraId="6DAB87F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66AF139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（四）设备设计方案</w:t>
      </w:r>
    </w:p>
    <w:p w14:paraId="3A366F6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68D3F40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（五）原设计（或方案）优化</w:t>
      </w:r>
    </w:p>
    <w:p w14:paraId="38B91DC2">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04BB647B">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（六）对发包人要求错误的说明</w:t>
      </w:r>
    </w:p>
    <w:p w14:paraId="5A940BFC">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214726A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（七）承包人设计实施计划</w:t>
      </w:r>
    </w:p>
    <w:p w14:paraId="177F2EC3">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3B82E33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（八）设计技术服务承诺与质量保证措施</w:t>
      </w:r>
    </w:p>
    <w:p w14:paraId="50932C3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4F33E55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（九）分包方案（如有）</w:t>
      </w:r>
    </w:p>
    <w:p w14:paraId="427C47A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4A332AA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（十）其他</w:t>
      </w:r>
    </w:p>
    <w:p w14:paraId="6D8FC830">
      <w:pPr>
        <w:spacing w:line="360" w:lineRule="auto"/>
        <w:rPr>
          <w:rFonts w:ascii="宋体" w:cs="宋体"/>
          <w:color w:val="auto"/>
          <w:kern w:val="0"/>
          <w:szCs w:val="21"/>
          <w:highlight w:val="none"/>
        </w:rPr>
      </w:pPr>
      <w:r>
        <w:rPr>
          <w:rFonts w:hint="eastAsia" w:ascii="宋体" w:cs="宋体"/>
          <w:color w:val="auto"/>
          <w:kern w:val="0"/>
          <w:szCs w:val="21"/>
          <w:highlight w:val="none"/>
        </w:rPr>
        <w:t>…………</w:t>
      </w:r>
    </w:p>
    <w:p w14:paraId="2547C80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（十一）图纸</w:t>
      </w:r>
    </w:p>
    <w:p w14:paraId="1E0120E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图纸严格按照标准规范制图。</w:t>
      </w:r>
    </w:p>
    <w:p w14:paraId="560762E7">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cs="宋体"/>
          <w:color w:val="auto"/>
          <w:kern w:val="0"/>
          <w:szCs w:val="21"/>
          <w:highlight w:val="none"/>
        </w:rPr>
        <w:t>承包人提供的投标图纸设计深度不低于招标图纸。</w:t>
      </w:r>
    </w:p>
    <w:p w14:paraId="649387DE">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b w:val="0"/>
          <w:bCs w:val="0"/>
          <w:color w:val="auto"/>
          <w:sz w:val="28"/>
          <w:szCs w:val="28"/>
          <w:highlight w:val="none"/>
        </w:rPr>
      </w:pPr>
      <w:bookmarkStart w:id="2257" w:name="_Toc7120_0"/>
      <w:bookmarkStart w:id="2258" w:name="_Toc256000214"/>
      <w:bookmarkStart w:id="2259" w:name="_Toc148860890"/>
      <w:r>
        <w:rPr>
          <w:rFonts w:hint="default"/>
          <w:b w:val="0"/>
          <w:bCs w:val="0"/>
          <w:color w:val="auto"/>
          <w:sz w:val="28"/>
          <w:szCs w:val="28"/>
          <w:highlight w:val="none"/>
        </w:rPr>
        <w:t>七</w:t>
      </w:r>
      <w:r>
        <w:rPr>
          <w:rFonts w:hint="eastAsia" w:ascii="Arial" w:hAnsi="Arial"/>
          <w:b w:val="0"/>
          <w:bCs w:val="0"/>
          <w:color w:val="auto"/>
          <w:sz w:val="28"/>
          <w:szCs w:val="28"/>
          <w:highlight w:val="none"/>
        </w:rPr>
        <w:t>、承包人实施方案</w:t>
      </w:r>
      <w:bookmarkEnd w:id="2257"/>
      <w:bookmarkEnd w:id="2258"/>
      <w:bookmarkEnd w:id="2259"/>
    </w:p>
    <w:p w14:paraId="35997AAF">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以下提纲内容仅供参考，招标人可根据建设项目实际情况及招标内容自行编制承包人实施方案要求纲要。</w:t>
      </w:r>
    </w:p>
    <w:p w14:paraId="2F6C8036">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（一）概述</w:t>
      </w:r>
    </w:p>
    <w:p w14:paraId="15A8817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项目简要介绍。</w:t>
      </w:r>
    </w:p>
    <w:p w14:paraId="6BFF2EF8">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项目范围。</w:t>
      </w:r>
    </w:p>
    <w:p w14:paraId="1D252582">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项目特点。</w:t>
      </w:r>
    </w:p>
    <w:p w14:paraId="2A3DE3BA">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340F8384">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（二）总体实施方案</w:t>
      </w:r>
    </w:p>
    <w:p w14:paraId="1ADCA81F">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项目目标（质量、工期、造价）。</w:t>
      </w:r>
    </w:p>
    <w:p w14:paraId="43421EA3">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项目实施组织形式。</w:t>
      </w:r>
    </w:p>
    <w:p w14:paraId="270770F8">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项目阶段划分。</w:t>
      </w:r>
    </w:p>
    <w:p w14:paraId="1038484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项目工作分解结构。</w:t>
      </w:r>
    </w:p>
    <w:p w14:paraId="72FDC5FD">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对项目各阶段工作及文件的要求。</w:t>
      </w:r>
    </w:p>
    <w:p w14:paraId="40DE8016">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项目分包和采购计划。</w:t>
      </w:r>
    </w:p>
    <w:p w14:paraId="320DFFEB">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7. </w:t>
      </w:r>
      <w:r>
        <w:rPr>
          <w:rFonts w:hint="eastAsia" w:ascii="宋体" w:hAnsi="宋体" w:cs="宋体"/>
          <w:color w:val="auto"/>
          <w:kern w:val="0"/>
          <w:szCs w:val="21"/>
          <w:highlight w:val="none"/>
        </w:rPr>
        <w:t>项目沟通与协调程序。</w:t>
      </w:r>
    </w:p>
    <w:p w14:paraId="79DDFD9B">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600FFA91">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（三）施工总体布置</w:t>
      </w:r>
    </w:p>
    <w:p w14:paraId="36CB8D5F">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5AB33214">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（四）项目实施方案与措施</w:t>
      </w:r>
    </w:p>
    <w:p w14:paraId="2E37605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勘察设计实施方案与措施。</w:t>
      </w:r>
    </w:p>
    <w:p w14:paraId="250839E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设备、材料采购方案及供应计划。</w:t>
      </w:r>
    </w:p>
    <w:p w14:paraId="1AB37E8E">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施工方案与技术措施。</w:t>
      </w:r>
    </w:p>
    <w:p w14:paraId="1926DAE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施工实施重点、难点。</w:t>
      </w:r>
    </w:p>
    <w:p w14:paraId="3D0F7295">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试运行实施要点。</w:t>
      </w:r>
    </w:p>
    <w:p w14:paraId="711F5E6C">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5E76FEDA">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（五）项目管理</w:t>
      </w:r>
    </w:p>
    <w:p w14:paraId="2DD3589F">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合同管理要点。</w:t>
      </w:r>
    </w:p>
    <w:p w14:paraId="5FED0597">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资源管理要点。</w:t>
      </w:r>
    </w:p>
    <w:p w14:paraId="119AA91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费用估算及控制要点。</w:t>
      </w:r>
    </w:p>
    <w:p w14:paraId="31384EA7">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工程质量管理体系及措施。</w:t>
      </w:r>
    </w:p>
    <w:p w14:paraId="575E0CF2">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工程进度计划及措施。</w:t>
      </w:r>
    </w:p>
    <w:p w14:paraId="560257CC">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安全管理体系及措施。</w:t>
      </w:r>
    </w:p>
    <w:p w14:paraId="236B0E16">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7. </w:t>
      </w:r>
      <w:r>
        <w:rPr>
          <w:rFonts w:hint="eastAsia" w:ascii="宋体" w:hAnsi="宋体" w:cs="宋体"/>
          <w:color w:val="auto"/>
          <w:kern w:val="0"/>
          <w:szCs w:val="21"/>
          <w:highlight w:val="none"/>
        </w:rPr>
        <w:t>水保、环保、文明施工管理体系及措施。</w:t>
      </w:r>
    </w:p>
    <w:p w14:paraId="47F890CD">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．职业健康管理要点。</w:t>
      </w:r>
    </w:p>
    <w:p w14:paraId="6D0FAB1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9. </w:t>
      </w:r>
      <w:r>
        <w:rPr>
          <w:rFonts w:hint="eastAsia" w:ascii="宋体" w:hAnsi="宋体" w:cs="宋体"/>
          <w:color w:val="auto"/>
          <w:kern w:val="0"/>
          <w:szCs w:val="21"/>
          <w:highlight w:val="none"/>
        </w:rPr>
        <w:t>沟通和协调管理要点。</w:t>
      </w:r>
    </w:p>
    <w:p w14:paraId="2FD58250">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10. </w:t>
      </w:r>
      <w:r>
        <w:rPr>
          <w:rFonts w:hint="eastAsia" w:ascii="宋体" w:hAnsi="宋体" w:cs="宋体"/>
          <w:color w:val="auto"/>
          <w:kern w:val="0"/>
          <w:szCs w:val="21"/>
          <w:highlight w:val="none"/>
        </w:rPr>
        <w:t>财务管理要点。</w:t>
      </w:r>
    </w:p>
    <w:p w14:paraId="6EB1F9FB">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对工程风险的分析及应急预案。</w:t>
      </w:r>
    </w:p>
    <w:p w14:paraId="4FD324BB">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0092BADB">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（六）实施方案相关内容附图、附表</w:t>
      </w:r>
    </w:p>
    <w:p w14:paraId="3DA3BC1F">
      <w:pPr>
        <w:autoSpaceDE w:val="0"/>
        <w:autoSpaceDN w:val="0"/>
        <w:adjustRightInd w:val="0"/>
        <w:jc w:val="lef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Cs w:val="21"/>
          <w:highlight w:val="none"/>
        </w:rPr>
        <w:t>包括但不限于以下内容：拟投入本标段的主要施工设备（含勘察、施工设备等）表、拟投入本标段的试验和检测仪器设备表、拟投入本标段的施工劳动力计划表、设计及施工进度网络图（或横道图）、施工总平面图、临时用地表等。</w:t>
      </w:r>
    </w:p>
    <w:p w14:paraId="28A68013">
      <w:pPr>
        <w:bidi w:val="0"/>
        <w:rPr>
          <w:rFonts w:hint="eastAsia"/>
          <w:color w:val="auto"/>
          <w:highlight w:val="none"/>
        </w:rPr>
      </w:pPr>
      <w:bookmarkStart w:id="2260" w:name="_Toc122603084"/>
    </w:p>
    <w:p w14:paraId="319CA07A">
      <w:pPr>
        <w:bidi w:val="0"/>
        <w:rPr>
          <w:rFonts w:hint="eastAsia"/>
          <w:color w:val="auto"/>
          <w:highlight w:val="none"/>
        </w:rPr>
      </w:pPr>
    </w:p>
    <w:p w14:paraId="1F5BF2C2">
      <w:pPr>
        <w:bidi w:val="0"/>
        <w:rPr>
          <w:rFonts w:hint="eastAsia"/>
          <w:color w:val="auto"/>
          <w:highlight w:val="none"/>
        </w:rPr>
      </w:pPr>
    </w:p>
    <w:p w14:paraId="6557445C">
      <w:pPr>
        <w:bidi w:val="0"/>
        <w:rPr>
          <w:rFonts w:hint="eastAsia"/>
          <w:color w:val="auto"/>
          <w:highlight w:val="none"/>
        </w:rPr>
      </w:pPr>
    </w:p>
    <w:p w14:paraId="42110026">
      <w:pPr>
        <w:bidi w:val="0"/>
        <w:rPr>
          <w:rFonts w:hint="eastAsia"/>
          <w:color w:val="auto"/>
          <w:highlight w:val="none"/>
        </w:rPr>
      </w:pPr>
    </w:p>
    <w:p w14:paraId="495E59DE">
      <w:pPr>
        <w:bidi w:val="0"/>
        <w:rPr>
          <w:rFonts w:hint="eastAsia"/>
          <w:color w:val="auto"/>
          <w:highlight w:val="none"/>
        </w:rPr>
      </w:pPr>
    </w:p>
    <w:p w14:paraId="4BE4D301">
      <w:pPr>
        <w:bidi w:val="0"/>
        <w:rPr>
          <w:rFonts w:hint="eastAsia"/>
          <w:color w:val="auto"/>
          <w:highlight w:val="none"/>
        </w:rPr>
      </w:pPr>
    </w:p>
    <w:p w14:paraId="6018D3B3">
      <w:pPr>
        <w:bidi w:val="0"/>
        <w:rPr>
          <w:rFonts w:hint="eastAsia"/>
          <w:color w:val="auto"/>
          <w:highlight w:val="none"/>
        </w:rPr>
      </w:pPr>
    </w:p>
    <w:p w14:paraId="76D0813F">
      <w:pPr>
        <w:bidi w:val="0"/>
        <w:rPr>
          <w:rFonts w:hint="eastAsia"/>
          <w:color w:val="auto"/>
          <w:highlight w:val="none"/>
        </w:rPr>
      </w:pPr>
    </w:p>
    <w:p w14:paraId="54B11188">
      <w:pPr>
        <w:bidi w:val="0"/>
        <w:rPr>
          <w:rFonts w:hint="eastAsia"/>
          <w:color w:val="auto"/>
          <w:highlight w:val="none"/>
        </w:rPr>
      </w:pPr>
    </w:p>
    <w:p w14:paraId="62769BF7">
      <w:pPr>
        <w:bidi w:val="0"/>
        <w:rPr>
          <w:rFonts w:hint="eastAsia"/>
          <w:color w:val="auto"/>
          <w:highlight w:val="none"/>
        </w:rPr>
      </w:pPr>
    </w:p>
    <w:p w14:paraId="2F2907AE">
      <w:pPr>
        <w:bidi w:val="0"/>
        <w:rPr>
          <w:rFonts w:hint="eastAsia"/>
          <w:color w:val="auto"/>
          <w:highlight w:val="none"/>
        </w:rPr>
      </w:pPr>
    </w:p>
    <w:p w14:paraId="06E52B9C">
      <w:pPr>
        <w:bidi w:val="0"/>
        <w:rPr>
          <w:rFonts w:hint="eastAsia"/>
          <w:color w:val="auto"/>
          <w:highlight w:val="none"/>
        </w:rPr>
      </w:pPr>
    </w:p>
    <w:p w14:paraId="4C13A77B">
      <w:pPr>
        <w:pStyle w:val="30"/>
        <w:jc w:val="center"/>
        <w:rPr>
          <w:rFonts w:ascii="黑体" w:hAnsi="宋体"/>
          <w:color w:val="auto"/>
          <w:szCs w:val="28"/>
          <w:highlight w:val="none"/>
        </w:rPr>
      </w:pPr>
      <w:bookmarkStart w:id="2261" w:name="_Toc256000215"/>
      <w:r>
        <w:rPr>
          <w:rFonts w:hint="default"/>
          <w:color w:val="auto"/>
          <w:highlight w:val="none"/>
        </w:rPr>
        <w:t>八</w:t>
      </w:r>
      <w:r>
        <w:rPr>
          <w:rFonts w:hint="eastAsia"/>
          <w:color w:val="auto"/>
          <w:highlight w:val="none"/>
        </w:rPr>
        <w:t>、资格审查资料</w:t>
      </w:r>
      <w:bookmarkEnd w:id="2260"/>
      <w:bookmarkEnd w:id="2261"/>
    </w:p>
    <w:p w14:paraId="6B8C1AB3">
      <w:pPr>
        <w:rPr>
          <w:color w:val="auto"/>
          <w:highlight w:val="none"/>
        </w:rPr>
        <w:sectPr>
          <w:footerReference r:id="rId3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3C581B7">
      <w:pPr>
        <w:bidi w:val="0"/>
        <w:rPr>
          <w:rFonts w:hint="default"/>
          <w:color w:val="auto"/>
          <w:highlight w:val="none"/>
        </w:rPr>
      </w:pPr>
      <w:bookmarkStart w:id="2262" w:name="_Toc122603085"/>
    </w:p>
    <w:p w14:paraId="5B97C72B">
      <w:pPr>
        <w:bidi w:val="0"/>
        <w:rPr>
          <w:rFonts w:hint="default"/>
          <w:color w:val="auto"/>
          <w:highlight w:val="none"/>
        </w:rPr>
      </w:pPr>
    </w:p>
    <w:p w14:paraId="15F2B58B">
      <w:pPr>
        <w:bidi w:val="0"/>
        <w:rPr>
          <w:rFonts w:hint="default"/>
          <w:color w:val="auto"/>
          <w:highlight w:val="none"/>
        </w:rPr>
      </w:pPr>
    </w:p>
    <w:p w14:paraId="110DEED3">
      <w:pPr>
        <w:bidi w:val="0"/>
        <w:rPr>
          <w:rFonts w:hint="default"/>
          <w:color w:val="auto"/>
          <w:highlight w:val="none"/>
        </w:rPr>
      </w:pPr>
    </w:p>
    <w:p w14:paraId="6BA97E05">
      <w:pPr>
        <w:bidi w:val="0"/>
        <w:rPr>
          <w:rFonts w:hint="default"/>
          <w:color w:val="auto"/>
          <w:highlight w:val="none"/>
        </w:rPr>
      </w:pPr>
    </w:p>
    <w:p w14:paraId="5B918012">
      <w:pPr>
        <w:bidi w:val="0"/>
        <w:rPr>
          <w:rFonts w:hint="default"/>
          <w:color w:val="auto"/>
          <w:highlight w:val="none"/>
        </w:rPr>
      </w:pPr>
    </w:p>
    <w:p w14:paraId="38D459F1">
      <w:pPr>
        <w:bidi w:val="0"/>
        <w:rPr>
          <w:rFonts w:hint="default"/>
          <w:color w:val="auto"/>
          <w:highlight w:val="none"/>
        </w:rPr>
      </w:pPr>
    </w:p>
    <w:p w14:paraId="71BB53CD">
      <w:pPr>
        <w:bidi w:val="0"/>
        <w:rPr>
          <w:rFonts w:hint="default"/>
          <w:color w:val="auto"/>
          <w:highlight w:val="none"/>
        </w:rPr>
      </w:pPr>
    </w:p>
    <w:p w14:paraId="28DEF0B4">
      <w:pPr>
        <w:bidi w:val="0"/>
        <w:rPr>
          <w:rFonts w:hint="default"/>
          <w:color w:val="auto"/>
          <w:highlight w:val="none"/>
        </w:rPr>
      </w:pPr>
    </w:p>
    <w:p w14:paraId="5615DDC2">
      <w:pPr>
        <w:bidi w:val="0"/>
        <w:rPr>
          <w:rFonts w:hint="default"/>
          <w:color w:val="auto"/>
          <w:highlight w:val="none"/>
        </w:rPr>
      </w:pPr>
    </w:p>
    <w:p w14:paraId="6816F60C">
      <w:pPr>
        <w:bidi w:val="0"/>
        <w:rPr>
          <w:rFonts w:hint="default"/>
          <w:color w:val="auto"/>
          <w:highlight w:val="none"/>
        </w:rPr>
      </w:pPr>
    </w:p>
    <w:p w14:paraId="75A035C7">
      <w:pPr>
        <w:bidi w:val="0"/>
        <w:rPr>
          <w:rFonts w:hint="default"/>
          <w:color w:val="auto"/>
          <w:highlight w:val="none"/>
        </w:rPr>
      </w:pPr>
    </w:p>
    <w:p w14:paraId="6187B9EF">
      <w:pPr>
        <w:bidi w:val="0"/>
        <w:rPr>
          <w:rFonts w:hint="default"/>
          <w:color w:val="auto"/>
          <w:highlight w:val="none"/>
        </w:rPr>
      </w:pPr>
    </w:p>
    <w:p w14:paraId="59594F79">
      <w:pPr>
        <w:bidi w:val="0"/>
        <w:rPr>
          <w:rFonts w:hint="default"/>
          <w:color w:val="auto"/>
          <w:highlight w:val="none"/>
        </w:rPr>
      </w:pPr>
    </w:p>
    <w:p w14:paraId="4A7B0855">
      <w:pPr>
        <w:bidi w:val="0"/>
        <w:rPr>
          <w:rFonts w:hint="default"/>
          <w:color w:val="auto"/>
          <w:highlight w:val="none"/>
        </w:rPr>
      </w:pPr>
    </w:p>
    <w:p w14:paraId="330B9087">
      <w:pPr>
        <w:pStyle w:val="32"/>
        <w:jc w:val="center"/>
        <w:rPr>
          <w:color w:val="auto"/>
          <w:highlight w:val="none"/>
        </w:rPr>
        <w:sectPr>
          <w:footerReference r:id="rId3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263" w:name="_Toc256000216"/>
      <w:r>
        <w:rPr>
          <w:rFonts w:hint="eastAsia"/>
          <w:color w:val="auto"/>
          <w:szCs w:val="24"/>
          <w:highlight w:val="none"/>
          <w:lang w:eastAsia="zh-CN"/>
        </w:rPr>
        <w:t>（</w:t>
      </w:r>
      <w:r>
        <w:rPr>
          <w:rFonts w:hint="default"/>
          <w:color w:val="auto"/>
          <w:szCs w:val="24"/>
          <w:highlight w:val="none"/>
        </w:rPr>
        <w:t>一</w:t>
      </w:r>
      <w:r>
        <w:rPr>
          <w:rFonts w:hint="eastAsia"/>
          <w:color w:val="auto"/>
          <w:szCs w:val="24"/>
          <w:highlight w:val="none"/>
          <w:lang w:eastAsia="zh-CN"/>
        </w:rPr>
        <w:t>）</w:t>
      </w:r>
      <w:r>
        <w:rPr>
          <w:rFonts w:hint="eastAsia"/>
          <w:color w:val="auto"/>
          <w:szCs w:val="24"/>
          <w:highlight w:val="none"/>
        </w:rPr>
        <w:t>投标人基本情况</w:t>
      </w:r>
      <w:bookmarkEnd w:id="2262"/>
      <w:bookmarkEnd w:id="2263"/>
    </w:p>
    <w:p w14:paraId="22E64FCB">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264" w:name="_Toc122603086"/>
      <w:bookmarkStart w:id="2265" w:name="_Toc256000217"/>
      <w:r>
        <w:rPr>
          <w:rFonts w:hint="default"/>
          <w:color w:val="auto"/>
          <w:szCs w:val="24"/>
          <w:highlight w:val="none"/>
        </w:rPr>
        <w:t>1-1</w:t>
      </w:r>
      <w:r>
        <w:rPr>
          <w:rFonts w:hint="eastAsia"/>
          <w:color w:val="auto"/>
          <w:szCs w:val="24"/>
          <w:highlight w:val="none"/>
          <w:lang w:val="en-US" w:eastAsia="zh-CN"/>
        </w:rPr>
        <w:t xml:space="preserve"> </w:t>
      </w:r>
      <w:r>
        <w:rPr>
          <w:rFonts w:hint="eastAsia"/>
          <w:color w:val="auto"/>
          <w:szCs w:val="24"/>
          <w:highlight w:val="none"/>
        </w:rPr>
        <w:t>投标人基本情况表</w:t>
      </w:r>
      <w:bookmarkEnd w:id="2264"/>
      <w:bookmarkEnd w:id="2265"/>
    </w:p>
    <w:tbl>
      <w:tblPr>
        <w:tblStyle w:val="2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5E5E9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7F8DA25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2D9800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5A27E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19DFEA7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1FED637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7AE4221">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A057FA3">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08170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66716B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C837F6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6CC11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F508435">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5A33CA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151C9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5EAD79F">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28317B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69E1E8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462B924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80CE32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3D06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01C0D21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7945105">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509C7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3DFB751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FD3F62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5FD59DE">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F5E9FE">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CFA8F1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DF50C6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85A0003">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3A5EA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129D3F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3B6CAA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C24A83F">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49761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FAA4A9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1B57FD95">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CA387B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78128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3BE800F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A9D00F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88CFF77">
            <w:pPr>
              <w:keepNext w:val="0"/>
              <w:keepLines w:val="0"/>
              <w:suppressLineNumbers w:val="0"/>
              <w:topLinePunct/>
              <w:spacing w:before="0" w:beforeAutospacing="0" w:after="0" w:afterAutospacing="0" w:line="440" w:lineRule="exact"/>
              <w:ind w:left="0" w:right="0" w:firstLine="105" w:firstLineChars="50"/>
              <w:jc w:val="center"/>
              <w:rPr>
                <w:rFonts w:hint="default"/>
                <w:color w:val="auto"/>
                <w:szCs w:val="21"/>
                <w:highlight w:val="none"/>
              </w:rPr>
            </w:pPr>
            <w:r>
              <w:rPr>
                <w:rFonts w:hint="default"/>
                <w:color w:val="auto"/>
                <w:szCs w:val="21"/>
                <w:highlight w:val="none"/>
              </w:rPr>
              <w:t>员工总人数：</w:t>
            </w:r>
          </w:p>
        </w:tc>
      </w:tr>
      <w:tr w14:paraId="61554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1B1F578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94C50E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357BAF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1E3A1C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C123E65">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4D84A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2F859BD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06A3DE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2C996F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B8CB47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A61C33E">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72A7A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5C56A63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7D9E80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DF6141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ED04DF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AFC276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05A60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0E93146E">
            <w:pPr>
              <w:keepNext w:val="0"/>
              <w:keepLines w:val="0"/>
              <w:suppressLineNumbers w:val="0"/>
              <w:topLinePunct/>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5B6ECD47">
            <w:pPr>
              <w:keepNext w:val="0"/>
              <w:keepLines w:val="0"/>
              <w:suppressLineNumbers w:val="0"/>
              <w:topLinePunct/>
              <w:spacing w:before="0" w:beforeAutospacing="0" w:after="0" w:afterAutospacing="0"/>
              <w:ind w:left="0" w:right="0"/>
              <w:jc w:val="center"/>
              <w:rPr>
                <w:rFonts w:hint="default"/>
                <w:color w:val="auto"/>
                <w:szCs w:val="21"/>
                <w:highlight w:val="none"/>
              </w:rPr>
            </w:pPr>
            <w:r>
              <w:rPr>
                <w:rFonts w:hint="default"/>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61E5C2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2EDE83E">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A53182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39FD3A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5CDE2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4047414F">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eastAsia" w:ascii="宋体" w:hAnsi="宋体"/>
                <w:color w:val="auto"/>
                <w:szCs w:val="21"/>
                <w:highlight w:val="none"/>
              </w:rPr>
              <w:t>基本账户</w:t>
            </w:r>
            <w:r>
              <w:rPr>
                <w:rFonts w:hint="default"/>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EA93FD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896F91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9E40048">
            <w:pPr>
              <w:keepNext w:val="0"/>
              <w:keepLines w:val="0"/>
              <w:suppressLineNumbers w:val="0"/>
              <w:topLinePunct/>
              <w:spacing w:before="0" w:beforeAutospacing="0" w:after="0" w:afterAutospacing="0" w:line="440" w:lineRule="exact"/>
              <w:ind w:left="0" w:right="0"/>
              <w:jc w:val="center"/>
              <w:rPr>
                <w:rFonts w:hint="default"/>
                <w:color w:val="auto"/>
                <w:highlight w:val="none"/>
              </w:rPr>
            </w:pPr>
            <w:r>
              <w:rPr>
                <w:rFonts w:hint="default"/>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5FEE84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5654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728" w:type="dxa"/>
            <w:tcBorders>
              <w:top w:val="single" w:color="auto" w:sz="4" w:space="0"/>
              <w:left w:val="single" w:color="auto" w:sz="4" w:space="0"/>
              <w:right w:val="single" w:color="auto" w:sz="4" w:space="0"/>
            </w:tcBorders>
            <w:vAlign w:val="center"/>
          </w:tcPr>
          <w:p w14:paraId="257BDC6F">
            <w:pPr>
              <w:keepNext w:val="0"/>
              <w:keepLines w:val="0"/>
              <w:suppressLineNumbers w:val="0"/>
              <w:topLinePunct/>
              <w:spacing w:before="0" w:beforeAutospacing="0" w:after="0" w:afterAutospacing="0" w:line="440" w:lineRule="exact"/>
              <w:ind w:left="0" w:right="0" w:firstLine="210" w:firstLineChars="100"/>
              <w:jc w:val="center"/>
              <w:rPr>
                <w:rFonts w:hint="default"/>
                <w:color w:val="auto"/>
                <w:szCs w:val="21"/>
                <w:highlight w:val="none"/>
              </w:rPr>
            </w:pPr>
            <w:r>
              <w:rPr>
                <w:rFonts w:hint="default"/>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794B82C2">
            <w:pPr>
              <w:keepNext w:val="0"/>
              <w:keepLines w:val="0"/>
              <w:suppressLineNumbers w:val="0"/>
              <w:topLinePunct/>
              <w:spacing w:before="0" w:beforeAutospacing="0" w:after="0" w:afterAutospacing="0" w:line="440" w:lineRule="exact"/>
              <w:ind w:left="0" w:right="0"/>
              <w:rPr>
                <w:rFonts w:hint="default"/>
                <w:color w:val="auto"/>
                <w:szCs w:val="21"/>
                <w:highlight w:val="none"/>
              </w:rPr>
            </w:pPr>
          </w:p>
        </w:tc>
      </w:tr>
      <w:tr w14:paraId="4A76F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481C90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EA34CE1">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bl>
    <w:p w14:paraId="3A78BFBC">
      <w:pPr>
        <w:keepNext w:val="0"/>
        <w:keepLines w:val="0"/>
        <w:widowControl w:val="0"/>
        <w:suppressLineNumbers w:val="0"/>
        <w:spacing w:before="0" w:beforeAutospacing="0" w:after="0" w:afterAutospacing="0" w:line="400" w:lineRule="atLeast"/>
        <w:ind w:left="945" w:right="0" w:hanging="945" w:hangingChars="450"/>
        <w:jc w:val="both"/>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备注：1</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本表后应附企业法人营业执照、企业资质证书、安全生产许可证、基本账户开户许可证（基本存款账户信息）、质量、环境、职业健康安全管理体系认证证书等材料。</w:t>
      </w:r>
    </w:p>
    <w:p w14:paraId="558D1364">
      <w:pPr>
        <w:keepNext w:val="0"/>
        <w:keepLines w:val="0"/>
        <w:widowControl w:val="0"/>
        <w:suppressLineNumbers w:val="0"/>
        <w:spacing w:before="0" w:beforeAutospacing="0" w:after="0" w:afterAutospacing="0" w:line="400" w:lineRule="atLeast"/>
        <w:ind w:left="945" w:leftChars="300" w:right="0" w:hanging="315" w:hangingChars="150"/>
        <w:jc w:val="both"/>
        <w:rPr>
          <w:rFonts w:hint="eastAsia" w:ascii="宋体" w:hAnsi="宋体" w:cs="宋体"/>
          <w:color w:val="auto"/>
          <w:szCs w:val="21"/>
          <w:highlight w:val="none"/>
          <w:lang w:bidi="ar"/>
        </w:rPr>
      </w:pP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.联合体投标的，联合体各成员应分别填写。</w:t>
      </w:r>
    </w:p>
    <w:p w14:paraId="163E6C48">
      <w:pPr>
        <w:rPr>
          <w:color w:val="auto"/>
          <w:highlight w:val="none"/>
        </w:rPr>
        <w:sectPr>
          <w:footerReference r:id="rId3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79CA68">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266" w:name="_Toc256000218"/>
      <w:bookmarkStart w:id="2267" w:name="_Toc467365520"/>
      <w:bookmarkStart w:id="2268" w:name="_Toc122603087"/>
      <w:r>
        <w:rPr>
          <w:rFonts w:hint="default" w:cs="宋体"/>
          <w:color w:val="auto"/>
          <w:szCs w:val="24"/>
          <w:highlight w:val="none"/>
        </w:rPr>
        <w:t>1-2</w:t>
      </w:r>
      <w:r>
        <w:rPr>
          <w:rFonts w:hint="eastAsia" w:cs="宋体"/>
          <w:color w:val="auto"/>
          <w:szCs w:val="24"/>
          <w:highlight w:val="none"/>
          <w:lang w:val="en-US" w:eastAsia="zh-CN"/>
        </w:rPr>
        <w:t xml:space="preserve"> </w:t>
      </w:r>
      <w:r>
        <w:rPr>
          <w:rFonts w:hint="eastAsia" w:cs="宋体"/>
          <w:color w:val="auto"/>
          <w:szCs w:val="24"/>
          <w:highlight w:val="none"/>
        </w:rPr>
        <w:t>关联单位情况说明</w:t>
      </w:r>
      <w:bookmarkEnd w:id="2266"/>
      <w:bookmarkEnd w:id="2267"/>
      <w:bookmarkEnd w:id="226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0" w:type="dxa"/>
          <w:bottom w:w="0" w:type="dxa"/>
          <w:right w:w="0" w:type="dxa"/>
        </w:tblCellMar>
      </w:tblPr>
      <w:tblGrid>
        <w:gridCol w:w="8316"/>
      </w:tblGrid>
      <w:tr w14:paraId="5DA8B04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5000" w:type="pct"/>
            <w:noWrap w:val="0"/>
            <w:vAlign w:val="top"/>
          </w:tcPr>
          <w:p w14:paraId="46361F8E">
            <w:pPr>
              <w:tabs>
                <w:tab w:val="left" w:pos="0"/>
              </w:tabs>
              <w:snapToGrid w:val="0"/>
              <w:spacing w:line="360" w:lineRule="exact"/>
              <w:rPr>
                <w:color w:val="auto"/>
                <w:szCs w:val="21"/>
                <w:highlight w:val="none"/>
              </w:rPr>
            </w:pPr>
          </w:p>
          <w:p w14:paraId="330C07F0">
            <w:pPr>
              <w:ind w:left="945" w:hanging="945" w:hangingChars="450"/>
              <w:rPr>
                <w:rFonts w:hint="eastAsia"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563A7C5A">
            <w:pPr>
              <w:ind w:left="945" w:hanging="945" w:hangingChars="450"/>
              <w:rPr>
                <w:rFonts w:hint="eastAsia" w:ascii="宋体" w:hAnsi="宋体"/>
                <w:color w:val="auto"/>
                <w:highlight w:val="none"/>
              </w:rPr>
            </w:pPr>
          </w:p>
          <w:p w14:paraId="498A8760">
            <w:pPr>
              <w:ind w:left="945" w:hanging="945" w:hangingChars="450"/>
              <w:rPr>
                <w:rFonts w:hint="eastAsia" w:ascii="宋体" w:hAnsi="宋体"/>
                <w:color w:val="auto"/>
                <w:highlight w:val="none"/>
              </w:rPr>
            </w:pPr>
          </w:p>
          <w:p w14:paraId="7327739C">
            <w:pPr>
              <w:ind w:left="945" w:hanging="945" w:hangingChars="450"/>
              <w:rPr>
                <w:rFonts w:hint="eastAsia" w:ascii="宋体" w:hAnsi="宋体"/>
                <w:color w:val="auto"/>
                <w:highlight w:val="none"/>
              </w:rPr>
            </w:pPr>
          </w:p>
          <w:p w14:paraId="36C6670F">
            <w:pPr>
              <w:ind w:left="945" w:hanging="945" w:hangingChars="450"/>
              <w:rPr>
                <w:rFonts w:hint="eastAsia" w:ascii="宋体" w:hAnsi="宋体"/>
                <w:color w:val="auto"/>
                <w:highlight w:val="none"/>
              </w:rPr>
            </w:pPr>
          </w:p>
          <w:p w14:paraId="6A4A5F02">
            <w:pPr>
              <w:ind w:left="945" w:hanging="945" w:hangingChars="450"/>
              <w:rPr>
                <w:rFonts w:hint="eastAsia" w:ascii="宋体" w:hAnsi="宋体"/>
                <w:color w:val="auto"/>
                <w:highlight w:val="none"/>
              </w:rPr>
            </w:pPr>
          </w:p>
          <w:p w14:paraId="58401B14">
            <w:pPr>
              <w:ind w:left="945" w:hanging="945" w:hangingChars="450"/>
              <w:rPr>
                <w:rFonts w:hint="eastAsia" w:ascii="宋体" w:hAnsi="宋体"/>
                <w:color w:val="auto"/>
                <w:highlight w:val="none"/>
              </w:rPr>
            </w:pPr>
          </w:p>
          <w:p w14:paraId="60BA1F92">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14229920">
            <w:pPr>
              <w:ind w:left="945" w:hanging="945" w:hangingChars="450"/>
              <w:rPr>
                <w:rFonts w:hint="eastAsia" w:ascii="宋体" w:hAnsi="宋体"/>
                <w:color w:val="auto"/>
                <w:highlight w:val="none"/>
              </w:rPr>
            </w:pPr>
          </w:p>
          <w:p w14:paraId="58BE4E66">
            <w:pPr>
              <w:ind w:left="945" w:hanging="945" w:hangingChars="450"/>
              <w:rPr>
                <w:rFonts w:hint="eastAsia" w:ascii="宋体" w:hAnsi="宋体"/>
                <w:color w:val="auto"/>
                <w:highlight w:val="none"/>
              </w:rPr>
            </w:pPr>
          </w:p>
          <w:p w14:paraId="2E1B2B8A">
            <w:pPr>
              <w:ind w:left="945" w:hanging="945" w:hangingChars="450"/>
              <w:rPr>
                <w:rFonts w:hint="eastAsia" w:ascii="宋体" w:hAnsi="宋体"/>
                <w:color w:val="auto"/>
                <w:highlight w:val="none"/>
              </w:rPr>
            </w:pPr>
          </w:p>
          <w:p w14:paraId="438745B8">
            <w:pPr>
              <w:ind w:left="945" w:hanging="945" w:hangingChars="450"/>
              <w:rPr>
                <w:rFonts w:hint="eastAsia" w:ascii="宋体" w:hAnsi="宋体"/>
                <w:color w:val="auto"/>
                <w:highlight w:val="none"/>
              </w:rPr>
            </w:pPr>
          </w:p>
          <w:p w14:paraId="53CF6C38">
            <w:pPr>
              <w:ind w:left="945" w:hanging="945" w:hangingChars="450"/>
              <w:rPr>
                <w:rFonts w:hint="eastAsia" w:ascii="宋体" w:hAnsi="宋体"/>
                <w:color w:val="auto"/>
                <w:highlight w:val="none"/>
              </w:rPr>
            </w:pPr>
          </w:p>
          <w:p w14:paraId="6AB28B27">
            <w:pPr>
              <w:ind w:left="945" w:hanging="945" w:hangingChars="450"/>
              <w:rPr>
                <w:rFonts w:hint="eastAsia" w:ascii="宋体" w:hAnsi="宋体"/>
                <w:color w:val="auto"/>
                <w:highlight w:val="none"/>
              </w:rPr>
            </w:pPr>
          </w:p>
          <w:p w14:paraId="60F415C0">
            <w:pPr>
              <w:ind w:left="945" w:hanging="945" w:hangingChars="450"/>
              <w:rPr>
                <w:rFonts w:hint="eastAsia" w:ascii="宋体" w:hAnsi="宋体"/>
                <w:color w:val="auto"/>
                <w:highlight w:val="none"/>
              </w:rPr>
            </w:pPr>
          </w:p>
          <w:p w14:paraId="359608A9">
            <w:pPr>
              <w:ind w:left="945" w:hanging="945" w:hangingChars="450"/>
              <w:rPr>
                <w:rFonts w:hint="eastAsia" w:ascii="宋体" w:hAnsi="宋体"/>
                <w:color w:val="auto"/>
                <w:highlight w:val="none"/>
              </w:rPr>
            </w:pPr>
          </w:p>
          <w:p w14:paraId="29E6DADC">
            <w:pPr>
              <w:ind w:left="945" w:hanging="945" w:hangingChars="450"/>
              <w:rPr>
                <w:rFonts w:hint="eastAsia" w:ascii="宋体" w:hAnsi="宋体"/>
                <w:color w:val="auto"/>
                <w:highlight w:val="none"/>
              </w:rPr>
            </w:pPr>
          </w:p>
          <w:p w14:paraId="083ECD42">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6D2A31DF">
            <w:pPr>
              <w:snapToGrid w:val="0"/>
              <w:spacing w:line="360" w:lineRule="exact"/>
              <w:rPr>
                <w:color w:val="auto"/>
                <w:szCs w:val="21"/>
                <w:highlight w:val="none"/>
              </w:rPr>
            </w:pPr>
          </w:p>
          <w:p w14:paraId="22634FE9">
            <w:pPr>
              <w:snapToGrid w:val="0"/>
              <w:spacing w:line="360" w:lineRule="exact"/>
              <w:rPr>
                <w:color w:val="auto"/>
                <w:szCs w:val="21"/>
                <w:highlight w:val="none"/>
              </w:rPr>
            </w:pPr>
          </w:p>
          <w:p w14:paraId="1AF77BD0">
            <w:pPr>
              <w:tabs>
                <w:tab w:val="left" w:pos="6039"/>
              </w:tabs>
              <w:snapToGrid w:val="0"/>
              <w:spacing w:line="360" w:lineRule="exact"/>
              <w:rPr>
                <w:color w:val="auto"/>
                <w:szCs w:val="21"/>
                <w:highlight w:val="none"/>
              </w:rPr>
            </w:pPr>
          </w:p>
        </w:tc>
      </w:tr>
    </w:tbl>
    <w:p w14:paraId="3E3AEAB4">
      <w:pPr>
        <w:ind w:left="945" w:hanging="945" w:hangingChars="450"/>
        <w:rPr>
          <w:rFonts w:hint="eastAsia" w:ascii="宋体" w:hAnsi="宋体"/>
          <w:color w:val="auto"/>
          <w:highlight w:val="none"/>
        </w:rPr>
      </w:pPr>
      <w:r>
        <w:rPr>
          <w:rFonts w:hint="eastAsia" w:ascii="宋体" w:hAnsi="宋体"/>
          <w:color w:val="auto"/>
          <w:highlight w:val="none"/>
        </w:rPr>
        <w:t>备注：1</w:t>
      </w:r>
      <w:r>
        <w:rPr>
          <w:rFonts w:hint="eastAsia" w:ascii="宋体" w:hAnsi="宋体"/>
          <w:color w:val="auto"/>
          <w:highlight w:val="none"/>
          <w:lang w:val="en-US" w:eastAsia="zh-CN"/>
        </w:rPr>
        <w:t>.</w:t>
      </w:r>
      <w:r>
        <w:rPr>
          <w:rFonts w:hint="eastAsia" w:ascii="宋体" w:hAnsi="宋体"/>
          <w:color w:val="auto"/>
          <w:highlight w:val="none"/>
        </w:rPr>
        <w:t>投标人应当如实披露相关关联单位的情况。没有相关关联单位的明确填“无”。</w:t>
      </w:r>
    </w:p>
    <w:p w14:paraId="7D03BD46">
      <w:pPr>
        <w:ind w:left="0" w:leftChars="0" w:firstLine="630" w:firstLineChars="300"/>
        <w:rPr>
          <w:color w:val="auto"/>
          <w:highlight w:val="none"/>
        </w:rPr>
        <w:sectPr>
          <w:footerReference r:id="rId3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lang w:val="en-US" w:eastAsia="zh-CN"/>
        </w:rPr>
        <w:t>.</w:t>
      </w:r>
      <w:r>
        <w:rPr>
          <w:rFonts w:hint="eastAsia" w:ascii="宋体" w:hAnsi="宋体"/>
          <w:color w:val="auto"/>
          <w:highlight w:val="none"/>
        </w:rPr>
        <w:t>联合体投标的，联合体各成员应分别填写。</w:t>
      </w:r>
    </w:p>
    <w:p w14:paraId="4D283A29">
      <w:pPr>
        <w:pStyle w:val="32"/>
        <w:keepNext/>
        <w:keepLines/>
        <w:pageBreakBefore w:val="0"/>
        <w:widowControl w:val="0"/>
        <w:kinsoku/>
        <w:wordWrap/>
        <w:overflowPunct/>
        <w:topLinePunct w:val="0"/>
        <w:autoSpaceDE/>
        <w:autoSpaceDN/>
        <w:bidi w:val="0"/>
        <w:adjustRightInd/>
        <w:snapToGrid/>
        <w:spacing w:before="240" w:beforeLines="100" w:after="240" w:afterLines="100"/>
        <w:ind w:firstLine="0" w:firstLineChars="0"/>
        <w:jc w:val="center"/>
        <w:textAlignment w:val="auto"/>
        <w:outlineLvl w:val="3"/>
        <w:rPr>
          <w:rFonts w:ascii="宋体" w:hAnsi="宋体"/>
          <w:color w:val="auto"/>
          <w:highlight w:val="none"/>
        </w:rPr>
      </w:pPr>
      <w:bookmarkStart w:id="2269" w:name="_Toc467365521"/>
      <w:bookmarkStart w:id="2270" w:name="_Toc122603088"/>
      <w:bookmarkStart w:id="2271" w:name="_Toc256000219"/>
      <w:bookmarkStart w:id="2272" w:name="_Toc161228834"/>
      <w:r>
        <w:rPr>
          <w:rFonts w:hint="eastAsia" w:ascii="Times New Roman" w:hAnsi="Times New Roman" w:cs="宋体"/>
          <w:b w:val="0"/>
          <w:color w:val="auto"/>
          <w:szCs w:val="24"/>
          <w:highlight w:val="none"/>
        </w:rPr>
        <w:t>1-3 企业在辽基本信息登记</w:t>
      </w:r>
      <w:bookmarkEnd w:id="2269"/>
      <w:r>
        <w:rPr>
          <w:rFonts w:hint="eastAsia" w:ascii="Times New Roman" w:hAnsi="Times New Roman" w:cs="宋体"/>
          <w:b w:val="0"/>
          <w:color w:val="auto"/>
          <w:szCs w:val="24"/>
          <w:highlight w:val="none"/>
        </w:rPr>
        <w:t>单</w:t>
      </w:r>
      <w:bookmarkEnd w:id="2270"/>
      <w:bookmarkEnd w:id="2271"/>
      <w:bookmarkEnd w:id="227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80"/>
        <w:gridCol w:w="2280"/>
      </w:tblGrid>
      <w:tr w14:paraId="1CB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shd w:val="clear" w:color="auto" w:fill="auto"/>
            <w:vAlign w:val="center"/>
          </w:tcPr>
          <w:p w14:paraId="7B5204E1">
            <w:pPr>
              <w:jc w:val="center"/>
              <w:rPr>
                <w:rFonts w:ascii="宋体" w:hAnsi="宋体"/>
                <w:color w:val="auto"/>
                <w:highlight w:val="none"/>
              </w:rPr>
            </w:pPr>
            <w:r>
              <w:rPr>
                <w:rFonts w:hint="eastAsia" w:ascii="宋体" w:hAnsi="宋体"/>
                <w:color w:val="auto"/>
                <w:highlight w:val="none"/>
              </w:rPr>
              <w:t>单位名称</w:t>
            </w:r>
          </w:p>
        </w:tc>
        <w:tc>
          <w:tcPr>
            <w:tcW w:w="6839" w:type="dxa"/>
            <w:gridSpan w:val="3"/>
            <w:shd w:val="clear" w:color="auto" w:fill="auto"/>
            <w:vAlign w:val="center"/>
          </w:tcPr>
          <w:p w14:paraId="77B4378A">
            <w:pPr>
              <w:jc w:val="center"/>
              <w:rPr>
                <w:rFonts w:ascii="宋体" w:hAnsi="宋体"/>
                <w:color w:val="auto"/>
                <w:highlight w:val="none"/>
              </w:rPr>
            </w:pPr>
          </w:p>
        </w:tc>
      </w:tr>
      <w:tr w14:paraId="48B3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shd w:val="clear" w:color="auto" w:fill="auto"/>
            <w:vAlign w:val="center"/>
          </w:tcPr>
          <w:p w14:paraId="2046AD0C">
            <w:pPr>
              <w:jc w:val="center"/>
              <w:rPr>
                <w:rFonts w:ascii="宋体" w:hAnsi="宋体"/>
                <w:color w:val="auto"/>
                <w:highlight w:val="none"/>
              </w:rPr>
            </w:pPr>
            <w:r>
              <w:rPr>
                <w:rFonts w:hint="eastAsia" w:ascii="宋体" w:hAnsi="宋体"/>
                <w:color w:val="auto"/>
                <w:highlight w:val="none"/>
              </w:rPr>
              <w:t>法定代表人姓名</w:t>
            </w:r>
          </w:p>
        </w:tc>
        <w:tc>
          <w:tcPr>
            <w:tcW w:w="2279" w:type="dxa"/>
            <w:shd w:val="clear" w:color="auto" w:fill="auto"/>
            <w:vAlign w:val="center"/>
          </w:tcPr>
          <w:p w14:paraId="04CE5D7E">
            <w:pPr>
              <w:jc w:val="center"/>
              <w:rPr>
                <w:rFonts w:ascii="宋体" w:hAnsi="宋体"/>
                <w:color w:val="auto"/>
                <w:highlight w:val="none"/>
              </w:rPr>
            </w:pPr>
          </w:p>
        </w:tc>
        <w:tc>
          <w:tcPr>
            <w:tcW w:w="2280" w:type="dxa"/>
            <w:shd w:val="clear" w:color="auto" w:fill="auto"/>
            <w:vAlign w:val="center"/>
          </w:tcPr>
          <w:p w14:paraId="0CE2DF73">
            <w:pPr>
              <w:jc w:val="center"/>
              <w:rPr>
                <w:rFonts w:ascii="宋体" w:hAnsi="宋体"/>
                <w:color w:val="auto"/>
                <w:highlight w:val="none"/>
              </w:rPr>
            </w:pPr>
            <w:r>
              <w:rPr>
                <w:rFonts w:hint="eastAsia" w:ascii="宋体" w:hAnsi="宋体"/>
                <w:color w:val="auto"/>
                <w:highlight w:val="none"/>
              </w:rPr>
              <w:t>公司所在地</w:t>
            </w:r>
          </w:p>
        </w:tc>
        <w:tc>
          <w:tcPr>
            <w:tcW w:w="2280" w:type="dxa"/>
            <w:shd w:val="clear" w:color="auto" w:fill="auto"/>
            <w:vAlign w:val="center"/>
          </w:tcPr>
          <w:p w14:paraId="10D102E9">
            <w:pPr>
              <w:jc w:val="center"/>
              <w:rPr>
                <w:rFonts w:ascii="宋体" w:hAnsi="宋体"/>
                <w:color w:val="auto"/>
                <w:highlight w:val="none"/>
              </w:rPr>
            </w:pPr>
          </w:p>
        </w:tc>
      </w:tr>
      <w:tr w14:paraId="71AF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shd w:val="clear" w:color="auto" w:fill="auto"/>
            <w:vAlign w:val="center"/>
          </w:tcPr>
          <w:p w14:paraId="2276D661">
            <w:pPr>
              <w:jc w:val="center"/>
              <w:rPr>
                <w:rFonts w:ascii="宋体" w:hAnsi="宋体"/>
                <w:color w:val="auto"/>
                <w:highlight w:val="none"/>
              </w:rPr>
            </w:pPr>
            <w:r>
              <w:rPr>
                <w:rFonts w:hint="eastAsia" w:ascii="宋体" w:hAnsi="宋体"/>
                <w:color w:val="auto"/>
                <w:highlight w:val="none"/>
              </w:rPr>
              <w:t>安全生产许可证号</w:t>
            </w:r>
          </w:p>
        </w:tc>
        <w:tc>
          <w:tcPr>
            <w:tcW w:w="6839" w:type="dxa"/>
            <w:gridSpan w:val="3"/>
            <w:shd w:val="clear" w:color="auto" w:fill="auto"/>
            <w:vAlign w:val="center"/>
          </w:tcPr>
          <w:p w14:paraId="24DB20A8">
            <w:pPr>
              <w:jc w:val="center"/>
              <w:rPr>
                <w:rFonts w:ascii="宋体" w:hAnsi="宋体"/>
                <w:color w:val="auto"/>
                <w:highlight w:val="none"/>
              </w:rPr>
            </w:pPr>
          </w:p>
        </w:tc>
      </w:tr>
      <w:tr w14:paraId="6C55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0EEF5F21">
            <w:pPr>
              <w:jc w:val="center"/>
              <w:rPr>
                <w:rFonts w:ascii="宋体" w:hAnsi="宋体"/>
                <w:color w:val="auto"/>
                <w:highlight w:val="none"/>
              </w:rPr>
            </w:pPr>
            <w:r>
              <w:rPr>
                <w:rFonts w:hint="eastAsia" w:ascii="宋体" w:hAnsi="宋体"/>
                <w:color w:val="auto"/>
                <w:highlight w:val="none"/>
              </w:rPr>
              <w:t>资质证书号</w:t>
            </w:r>
          </w:p>
        </w:tc>
        <w:tc>
          <w:tcPr>
            <w:tcW w:w="6839" w:type="dxa"/>
            <w:gridSpan w:val="3"/>
            <w:shd w:val="clear" w:color="auto" w:fill="auto"/>
            <w:vAlign w:val="center"/>
          </w:tcPr>
          <w:p w14:paraId="7FCB4AC5">
            <w:pPr>
              <w:jc w:val="center"/>
              <w:rPr>
                <w:rFonts w:ascii="宋体" w:hAnsi="宋体"/>
                <w:color w:val="auto"/>
                <w:highlight w:val="none"/>
              </w:rPr>
            </w:pPr>
            <w:r>
              <w:rPr>
                <w:rFonts w:hint="eastAsia" w:ascii="宋体" w:hAnsi="宋体"/>
                <w:color w:val="auto"/>
                <w:highlight w:val="none"/>
              </w:rPr>
              <w:t>资质类别及等级</w:t>
            </w:r>
          </w:p>
        </w:tc>
      </w:tr>
      <w:tr w14:paraId="5FE2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600B4F7D">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3238309E">
            <w:pPr>
              <w:jc w:val="center"/>
              <w:rPr>
                <w:rFonts w:ascii="宋体" w:hAnsi="宋体"/>
                <w:color w:val="auto"/>
                <w:highlight w:val="none"/>
              </w:rPr>
            </w:pPr>
          </w:p>
        </w:tc>
      </w:tr>
      <w:tr w14:paraId="4A82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20F31725">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2F321BF5">
            <w:pPr>
              <w:jc w:val="center"/>
              <w:rPr>
                <w:rFonts w:ascii="宋体" w:hAnsi="宋体"/>
                <w:color w:val="auto"/>
                <w:highlight w:val="none"/>
              </w:rPr>
            </w:pPr>
          </w:p>
        </w:tc>
      </w:tr>
      <w:tr w14:paraId="3BF6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30E0A9AB">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4AB160A1">
            <w:pPr>
              <w:jc w:val="center"/>
              <w:rPr>
                <w:rFonts w:ascii="宋体" w:hAnsi="宋体"/>
                <w:color w:val="auto"/>
                <w:highlight w:val="none"/>
              </w:rPr>
            </w:pPr>
          </w:p>
        </w:tc>
      </w:tr>
      <w:tr w14:paraId="5E4A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shd w:val="clear" w:color="auto" w:fill="auto"/>
            <w:vAlign w:val="center"/>
          </w:tcPr>
          <w:p w14:paraId="69CCF3C8">
            <w:pPr>
              <w:jc w:val="center"/>
              <w:rPr>
                <w:rFonts w:ascii="宋体" w:hAnsi="宋体"/>
                <w:color w:val="auto"/>
                <w:highlight w:val="none"/>
              </w:rPr>
            </w:pPr>
            <w:r>
              <w:rPr>
                <w:rFonts w:hint="eastAsia" w:ascii="宋体" w:hAnsi="宋体"/>
                <w:color w:val="auto"/>
                <w:highlight w:val="none"/>
              </w:rPr>
              <w:t>企业归属地</w:t>
            </w:r>
          </w:p>
        </w:tc>
        <w:tc>
          <w:tcPr>
            <w:tcW w:w="6839" w:type="dxa"/>
            <w:gridSpan w:val="3"/>
            <w:shd w:val="clear" w:color="auto" w:fill="auto"/>
            <w:vAlign w:val="center"/>
          </w:tcPr>
          <w:p w14:paraId="46ED37AD">
            <w:pPr>
              <w:jc w:val="center"/>
              <w:rPr>
                <w:rFonts w:ascii="宋体" w:hAnsi="宋体"/>
                <w:color w:val="auto"/>
                <w:highlight w:val="none"/>
              </w:rPr>
            </w:pPr>
            <w:r>
              <w:rPr>
                <w:rFonts w:hint="eastAsia" w:ascii="宋体" w:hAnsi="宋体"/>
                <w:color w:val="auto"/>
                <w:highlight w:val="none"/>
              </w:rPr>
              <w:t xml:space="preserve">□省内企业 </w:t>
            </w:r>
            <w:r>
              <w:rPr>
                <w:rFonts w:ascii="宋体" w:hAnsi="宋体"/>
                <w:color w:val="auto"/>
                <w:highlight w:val="none"/>
              </w:rPr>
              <w:t xml:space="preserve">       </w:t>
            </w:r>
            <w:r>
              <w:rPr>
                <w:rFonts w:hint="eastAsia" w:ascii="宋体" w:hAnsi="宋体"/>
                <w:color w:val="auto"/>
                <w:highlight w:val="none"/>
              </w:rPr>
              <w:t>□省外企业</w:t>
            </w:r>
          </w:p>
        </w:tc>
      </w:tr>
      <w:tr w14:paraId="0AEE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shd w:val="clear" w:color="auto" w:fill="auto"/>
            <w:vAlign w:val="center"/>
          </w:tcPr>
          <w:p w14:paraId="7FF40256">
            <w:pPr>
              <w:jc w:val="center"/>
              <w:rPr>
                <w:rFonts w:ascii="宋体" w:hAnsi="宋体"/>
                <w:color w:val="auto"/>
                <w:highlight w:val="none"/>
              </w:rPr>
            </w:pPr>
            <w:r>
              <w:rPr>
                <w:rFonts w:hint="eastAsia" w:ascii="宋体" w:hAnsi="宋体"/>
                <w:color w:val="auto"/>
                <w:highlight w:val="none"/>
              </w:rPr>
              <w:t>在辽负责人姓名</w:t>
            </w:r>
          </w:p>
        </w:tc>
        <w:tc>
          <w:tcPr>
            <w:tcW w:w="2279" w:type="dxa"/>
            <w:shd w:val="clear" w:color="auto" w:fill="auto"/>
            <w:vAlign w:val="center"/>
          </w:tcPr>
          <w:p w14:paraId="65FFC673">
            <w:pPr>
              <w:jc w:val="center"/>
              <w:rPr>
                <w:rFonts w:ascii="宋体" w:hAnsi="宋体"/>
                <w:color w:val="auto"/>
                <w:highlight w:val="none"/>
              </w:rPr>
            </w:pPr>
          </w:p>
        </w:tc>
        <w:tc>
          <w:tcPr>
            <w:tcW w:w="2280" w:type="dxa"/>
            <w:shd w:val="clear" w:color="auto" w:fill="auto"/>
            <w:vAlign w:val="center"/>
          </w:tcPr>
          <w:p w14:paraId="21EFAE09">
            <w:pPr>
              <w:jc w:val="center"/>
              <w:rPr>
                <w:rFonts w:ascii="宋体" w:hAnsi="宋体"/>
                <w:color w:val="auto"/>
                <w:highlight w:val="none"/>
              </w:rPr>
            </w:pPr>
            <w:r>
              <w:rPr>
                <w:rFonts w:hint="eastAsia" w:ascii="宋体" w:hAnsi="宋体"/>
                <w:color w:val="auto"/>
                <w:highlight w:val="none"/>
              </w:rPr>
              <w:t>电话</w:t>
            </w:r>
          </w:p>
        </w:tc>
        <w:tc>
          <w:tcPr>
            <w:tcW w:w="2280" w:type="dxa"/>
            <w:shd w:val="clear" w:color="auto" w:fill="auto"/>
            <w:vAlign w:val="center"/>
          </w:tcPr>
          <w:p w14:paraId="53D956CC">
            <w:pPr>
              <w:jc w:val="center"/>
              <w:rPr>
                <w:rFonts w:ascii="宋体" w:hAnsi="宋体"/>
                <w:color w:val="auto"/>
                <w:highlight w:val="none"/>
              </w:rPr>
            </w:pPr>
          </w:p>
        </w:tc>
      </w:tr>
      <w:tr w14:paraId="2B2C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shd w:val="clear" w:color="auto" w:fill="auto"/>
            <w:vAlign w:val="center"/>
          </w:tcPr>
          <w:p w14:paraId="5092F7BC">
            <w:pPr>
              <w:jc w:val="center"/>
              <w:rPr>
                <w:rFonts w:ascii="宋体" w:hAnsi="宋体"/>
                <w:color w:val="auto"/>
                <w:highlight w:val="none"/>
              </w:rPr>
            </w:pPr>
            <w:r>
              <w:rPr>
                <w:rFonts w:hint="eastAsia" w:ascii="宋体" w:hAnsi="宋体"/>
                <w:color w:val="auto"/>
                <w:highlight w:val="none"/>
              </w:rPr>
              <w:t>入辽登记有效期</w:t>
            </w:r>
          </w:p>
        </w:tc>
        <w:tc>
          <w:tcPr>
            <w:tcW w:w="6839" w:type="dxa"/>
            <w:gridSpan w:val="3"/>
            <w:shd w:val="clear" w:color="auto" w:fill="auto"/>
            <w:vAlign w:val="center"/>
          </w:tcPr>
          <w:p w14:paraId="613806CC">
            <w:pPr>
              <w:jc w:val="center"/>
              <w:rPr>
                <w:rFonts w:ascii="宋体" w:hAnsi="宋体"/>
                <w:color w:val="auto"/>
                <w:highlight w:val="none"/>
              </w:rPr>
            </w:pPr>
            <w:r>
              <w:rPr>
                <w:rFonts w:hint="eastAsia" w:ascii="宋体" w:hAnsi="宋体"/>
                <w:color w:val="auto"/>
                <w:highlight w:val="none"/>
              </w:rPr>
              <w:t xml:space="preserve">年  </w:t>
            </w:r>
            <w:r>
              <w:rPr>
                <w:rFonts w:ascii="宋体" w:hAnsi="宋体"/>
                <w:color w:val="auto"/>
                <w:highlight w:val="none"/>
              </w:rPr>
              <w:t xml:space="preserve"> </w:t>
            </w:r>
            <w:r>
              <w:rPr>
                <w:rFonts w:hint="eastAsia" w:ascii="宋体" w:hAnsi="宋体"/>
                <w:color w:val="auto"/>
                <w:highlight w:val="none"/>
              </w:rPr>
              <w:t xml:space="preserve">月 </w:t>
            </w:r>
            <w:r>
              <w:rPr>
                <w:rFonts w:ascii="宋体" w:hAnsi="宋体"/>
                <w:color w:val="auto"/>
                <w:highlight w:val="none"/>
              </w:rPr>
              <w:t xml:space="preserve">   </w:t>
            </w:r>
            <w:r>
              <w:rPr>
                <w:rFonts w:hint="eastAsia" w:ascii="宋体" w:hAnsi="宋体"/>
                <w:color w:val="auto"/>
                <w:highlight w:val="none"/>
              </w:rPr>
              <w:t>日</w:t>
            </w:r>
          </w:p>
        </w:tc>
      </w:tr>
    </w:tbl>
    <w:p w14:paraId="436B5592">
      <w:pPr>
        <w:ind w:left="945" w:hanging="945" w:hangingChars="450"/>
        <w:rPr>
          <w:color w:val="auto"/>
          <w:highlight w:val="none"/>
        </w:rPr>
      </w:pPr>
      <w:r>
        <w:rPr>
          <w:rFonts w:hint="eastAsia"/>
          <w:color w:val="auto"/>
          <w:highlight w:val="none"/>
        </w:rPr>
        <w:t>备注：联合体投标的，联合体各成员均应附</w:t>
      </w:r>
      <w:r>
        <w:rPr>
          <w:rFonts w:hint="eastAsia" w:ascii="Times New Roman" w:hAnsi="Times New Roman" w:cs="宋体"/>
          <w:b w:val="0"/>
          <w:color w:val="auto"/>
          <w:szCs w:val="24"/>
          <w:highlight w:val="none"/>
        </w:rPr>
        <w:t>在辽基本信息登记单</w:t>
      </w:r>
      <w:r>
        <w:rPr>
          <w:rFonts w:hint="eastAsia"/>
          <w:color w:val="auto"/>
          <w:highlight w:val="none"/>
        </w:rPr>
        <w:t>。</w:t>
      </w:r>
    </w:p>
    <w:p w14:paraId="0DAF139E">
      <w:pPr>
        <w:rPr>
          <w:color w:val="auto"/>
          <w:highlight w:val="none"/>
        </w:rPr>
        <w:sectPr>
          <w:footerReference r:id="rId37" w:type="default"/>
          <w:pgSz w:w="11907" w:h="16840"/>
          <w:pgMar w:top="1701" w:right="1531" w:bottom="1588"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60244C0A">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 w:val="28"/>
          <w:szCs w:val="28"/>
          <w:highlight w:val="none"/>
        </w:rPr>
      </w:pPr>
      <w:bookmarkStart w:id="2273" w:name="_Toc256000220"/>
      <w:bookmarkStart w:id="2274" w:name="_Toc122603080"/>
      <w:r>
        <w:rPr>
          <w:rFonts w:hint="default" w:cs="宋体"/>
          <w:color w:val="auto"/>
          <w:szCs w:val="24"/>
          <w:highlight w:val="none"/>
        </w:rPr>
        <w:t>1-4</w:t>
      </w:r>
      <w:r>
        <w:rPr>
          <w:rFonts w:hint="eastAsia" w:cs="宋体"/>
          <w:color w:val="auto"/>
          <w:szCs w:val="24"/>
          <w:highlight w:val="none"/>
          <w:lang w:val="en-US" w:eastAsia="zh-CN"/>
        </w:rPr>
        <w:t xml:space="preserve"> </w:t>
      </w:r>
      <w:r>
        <w:rPr>
          <w:rFonts w:hint="eastAsia" w:cs="宋体"/>
          <w:color w:val="auto"/>
          <w:szCs w:val="24"/>
          <w:highlight w:val="none"/>
        </w:rPr>
        <w:t>项目管理机构主要人员表</w:t>
      </w:r>
      <w:bookmarkEnd w:id="2273"/>
      <w:bookmarkEnd w:id="2274"/>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0AAA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tcBorders>
              <w:top w:val="single" w:color="auto" w:sz="4" w:space="0"/>
              <w:left w:val="single" w:color="auto" w:sz="4" w:space="0"/>
              <w:bottom w:val="single" w:color="auto" w:sz="4" w:space="0"/>
              <w:right w:val="single" w:color="auto" w:sz="4" w:space="0"/>
            </w:tcBorders>
            <w:vAlign w:val="center"/>
          </w:tcPr>
          <w:p w14:paraId="7FB0BC2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14:paraId="1410945C">
            <w:pPr>
              <w:keepNext w:val="0"/>
              <w:keepLines w:val="0"/>
              <w:widowControl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岗位</w:t>
            </w:r>
          </w:p>
          <w:p w14:paraId="6F723AD4">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14:paraId="2F44411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4" w:type="dxa"/>
            <w:vMerge w:val="restart"/>
            <w:tcBorders>
              <w:top w:val="single" w:color="auto" w:sz="4" w:space="0"/>
              <w:left w:val="single" w:color="auto" w:sz="4" w:space="0"/>
              <w:bottom w:val="single" w:color="auto" w:sz="4" w:space="0"/>
              <w:right w:val="single" w:color="auto" w:sz="4" w:space="0"/>
            </w:tcBorders>
            <w:vAlign w:val="center"/>
          </w:tcPr>
          <w:p w14:paraId="3058C2D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178382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1C8FD79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530874F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412ACEF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35" w:type="dxa"/>
            <w:gridSpan w:val="3"/>
            <w:tcBorders>
              <w:top w:val="single" w:color="auto" w:sz="4" w:space="0"/>
              <w:left w:val="single" w:color="auto" w:sz="4" w:space="0"/>
              <w:bottom w:val="single" w:color="auto" w:sz="4" w:space="0"/>
              <w:right w:val="single" w:color="auto" w:sz="4" w:space="0"/>
            </w:tcBorders>
            <w:vAlign w:val="center"/>
          </w:tcPr>
          <w:p w14:paraId="4F4AB7E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4038" w:type="dxa"/>
            <w:gridSpan w:val="4"/>
            <w:tcBorders>
              <w:top w:val="single" w:color="auto" w:sz="4" w:space="0"/>
              <w:left w:val="single" w:color="auto" w:sz="4" w:space="0"/>
              <w:bottom w:val="single" w:color="auto" w:sz="4" w:space="0"/>
              <w:right w:val="single" w:color="auto" w:sz="4" w:space="0"/>
            </w:tcBorders>
            <w:vAlign w:val="center"/>
          </w:tcPr>
          <w:p w14:paraId="490989D7">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1091" w:type="dxa"/>
            <w:vMerge w:val="restart"/>
            <w:tcBorders>
              <w:top w:val="single" w:color="auto" w:sz="4" w:space="0"/>
              <w:left w:val="single" w:color="auto" w:sz="4" w:space="0"/>
              <w:bottom w:val="single" w:color="auto" w:sz="4" w:space="0"/>
              <w:right w:val="single" w:color="auto" w:sz="4" w:space="0"/>
            </w:tcBorders>
            <w:vAlign w:val="center"/>
          </w:tcPr>
          <w:p w14:paraId="60179560">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社会保险</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6457481">
            <w:pPr>
              <w:keepNext w:val="0"/>
              <w:keepLines w:val="0"/>
              <w:widowControl w:val="0"/>
              <w:suppressLineNumbers w:val="0"/>
              <w:spacing w:before="0" w:beforeAutospacing="0" w:after="0" w:afterAutospacing="0" w:line="420" w:lineRule="exact"/>
              <w:ind w:left="0" w:right="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3A5BE591">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26E3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tcBorders>
              <w:top w:val="single" w:color="auto" w:sz="4" w:space="0"/>
              <w:left w:val="single" w:color="auto" w:sz="4" w:space="0"/>
              <w:bottom w:val="single" w:color="auto" w:sz="4" w:space="0"/>
              <w:right w:val="single" w:color="auto" w:sz="4" w:space="0"/>
            </w:tcBorders>
            <w:vAlign w:val="center"/>
          </w:tcPr>
          <w:p w14:paraId="0A63ECBF">
            <w:pPr>
              <w:rPr>
                <w:rFonts w:ascii="宋体" w:hAnsi="宋体" w:cs="宋体"/>
                <w:color w:val="auto"/>
                <w:szCs w:val="21"/>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14:paraId="2F6E9F57">
            <w:pPr>
              <w:rPr>
                <w:rFonts w:ascii="宋体" w:hAnsi="宋体" w:cs="宋体"/>
                <w:color w:val="auto"/>
                <w:szCs w:val="21"/>
                <w:highlight w:val="none"/>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14:paraId="05BC430D">
            <w:pPr>
              <w:rPr>
                <w:rFonts w:ascii="宋体" w:hAnsi="宋体" w:cs="宋体"/>
                <w:color w:val="auto"/>
                <w:szCs w:val="21"/>
                <w:highlight w:val="none"/>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4A77F4B1">
            <w:pPr>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9E5A6A2">
            <w:pPr>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D374BCC">
            <w:pPr>
              <w:rPr>
                <w:rFonts w:ascii="宋体" w:hAnsi="宋体" w:cs="宋体"/>
                <w:color w:val="auto"/>
                <w:szCs w:val="21"/>
                <w:highlight w:val="none"/>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7BFF83D">
            <w:pPr>
              <w:rPr>
                <w:rFonts w:ascii="宋体" w:hAnsi="宋体" w:cs="宋体"/>
                <w:color w:val="auto"/>
                <w:szCs w:val="21"/>
                <w:highlight w:val="none"/>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47BB6BD7">
            <w:pP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6F0FEEA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6" w:type="dxa"/>
            <w:tcBorders>
              <w:top w:val="single" w:color="auto" w:sz="4" w:space="0"/>
              <w:left w:val="single" w:color="auto" w:sz="4" w:space="0"/>
              <w:bottom w:val="single" w:color="auto" w:sz="4" w:space="0"/>
              <w:right w:val="single" w:color="auto" w:sz="4" w:space="0"/>
            </w:tcBorders>
            <w:vAlign w:val="center"/>
          </w:tcPr>
          <w:p w14:paraId="6F7065B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90" w:type="dxa"/>
            <w:tcBorders>
              <w:top w:val="single" w:color="auto" w:sz="4" w:space="0"/>
              <w:left w:val="single" w:color="auto" w:sz="4" w:space="0"/>
              <w:bottom w:val="single" w:color="auto" w:sz="4" w:space="0"/>
              <w:right w:val="single" w:color="auto" w:sz="4" w:space="0"/>
            </w:tcBorders>
            <w:vAlign w:val="center"/>
          </w:tcPr>
          <w:p w14:paraId="464114FD">
            <w:pPr>
              <w:keepNext w:val="0"/>
              <w:keepLines w:val="0"/>
              <w:widowControl w:val="0"/>
              <w:suppressLineNumbers w:val="0"/>
              <w:spacing w:before="0" w:beforeAutospacing="0" w:after="0" w:afterAutospacing="0"/>
              <w:ind w:left="0" w:leftChars="0" w:right="0" w:rightChars="0"/>
              <w:jc w:val="center"/>
              <w:rPr>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35" w:type="dxa"/>
            <w:tcBorders>
              <w:top w:val="single" w:color="auto" w:sz="4" w:space="0"/>
              <w:left w:val="single" w:color="auto" w:sz="4" w:space="0"/>
              <w:bottom w:val="single" w:color="auto" w:sz="4" w:space="0"/>
              <w:right w:val="single" w:color="auto" w:sz="4" w:space="0"/>
            </w:tcBorders>
            <w:vAlign w:val="center"/>
          </w:tcPr>
          <w:p w14:paraId="5BF42DA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966" w:type="dxa"/>
            <w:tcBorders>
              <w:top w:val="single" w:color="auto" w:sz="4" w:space="0"/>
              <w:left w:val="single" w:color="auto" w:sz="4" w:space="0"/>
              <w:bottom w:val="single" w:color="auto" w:sz="4" w:space="0"/>
              <w:right w:val="single" w:color="auto" w:sz="4" w:space="0"/>
            </w:tcBorders>
            <w:vAlign w:val="center"/>
          </w:tcPr>
          <w:p w14:paraId="0770983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级别</w:t>
            </w:r>
          </w:p>
        </w:tc>
        <w:tc>
          <w:tcPr>
            <w:tcW w:w="967" w:type="dxa"/>
            <w:tcBorders>
              <w:top w:val="single" w:color="auto" w:sz="4" w:space="0"/>
              <w:left w:val="single" w:color="auto" w:sz="4" w:space="0"/>
              <w:bottom w:val="single" w:color="auto" w:sz="4" w:space="0"/>
              <w:right w:val="single" w:color="auto" w:sz="4" w:space="0"/>
            </w:tcBorders>
            <w:vAlign w:val="center"/>
          </w:tcPr>
          <w:p w14:paraId="0E8BCAC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证号</w:t>
            </w:r>
          </w:p>
        </w:tc>
        <w:tc>
          <w:tcPr>
            <w:tcW w:w="970" w:type="dxa"/>
            <w:tcBorders>
              <w:top w:val="single" w:color="auto" w:sz="4" w:space="0"/>
              <w:left w:val="single" w:color="auto" w:sz="4" w:space="0"/>
              <w:bottom w:val="single" w:color="auto" w:sz="4" w:space="0"/>
              <w:right w:val="single" w:color="auto" w:sz="4" w:space="0"/>
            </w:tcBorders>
            <w:vAlign w:val="center"/>
          </w:tcPr>
          <w:p w14:paraId="11C7612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专业</w:t>
            </w: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42843131">
            <w:pPr>
              <w:rPr>
                <w:rFonts w:ascii="宋体" w:hAnsi="宋体" w:cs="宋体"/>
                <w:color w:val="auto"/>
                <w:szCs w:val="21"/>
                <w:highlight w:val="none"/>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30346EDF">
            <w:pPr>
              <w:rPr>
                <w:rFonts w:ascii="宋体" w:hAnsi="宋体" w:cs="宋体"/>
                <w:color w:val="auto"/>
                <w:szCs w:val="21"/>
                <w:highlight w:val="none"/>
              </w:rPr>
            </w:pPr>
          </w:p>
        </w:tc>
      </w:tr>
      <w:tr w14:paraId="611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3A61784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14:paraId="2FBB416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43C3181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2E57033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9977B1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0391887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4C7F610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52848B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216311A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45101DB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01E7A75F">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B9001B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2AF9201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55B67DA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7500D6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ABB525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006864C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5524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2322CC4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9" w:type="dxa"/>
            <w:tcBorders>
              <w:top w:val="single" w:color="auto" w:sz="4" w:space="0"/>
              <w:left w:val="single" w:color="auto" w:sz="4" w:space="0"/>
              <w:bottom w:val="single" w:color="auto" w:sz="4" w:space="0"/>
              <w:right w:val="single" w:color="auto" w:sz="4" w:space="0"/>
            </w:tcBorders>
            <w:vAlign w:val="center"/>
          </w:tcPr>
          <w:p w14:paraId="33C48B8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A63E92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0C74B8E4">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A7B913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BC559C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7E50CB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145DAA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27E6873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6CF5EC4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69202DFC">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5E8FD2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4114C0C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2D9A2A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F2572F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120876B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52F0B5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06C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5385374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9" w:type="dxa"/>
            <w:tcBorders>
              <w:top w:val="single" w:color="auto" w:sz="4" w:space="0"/>
              <w:left w:val="single" w:color="auto" w:sz="4" w:space="0"/>
              <w:bottom w:val="single" w:color="auto" w:sz="4" w:space="0"/>
              <w:right w:val="single" w:color="auto" w:sz="4" w:space="0"/>
            </w:tcBorders>
            <w:vAlign w:val="center"/>
          </w:tcPr>
          <w:p w14:paraId="20E13BB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186701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4BD4EB6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764642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B20AF0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442C1F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8981FC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687DAA1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09E2819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2669E68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C45053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65D1D56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7C505F8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A923EC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1D5AE5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B3C67B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046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57F695F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9" w:type="dxa"/>
            <w:tcBorders>
              <w:top w:val="single" w:color="auto" w:sz="4" w:space="0"/>
              <w:left w:val="single" w:color="auto" w:sz="4" w:space="0"/>
              <w:bottom w:val="single" w:color="auto" w:sz="4" w:space="0"/>
              <w:right w:val="single" w:color="auto" w:sz="4" w:space="0"/>
            </w:tcBorders>
            <w:vAlign w:val="center"/>
          </w:tcPr>
          <w:p w14:paraId="107E700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AE26794">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20617E5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42AC4B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2770B90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6F14904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385F96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0414DC6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25520BD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4521C49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C848F8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5C6B85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5C0F3F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A7AE89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8B4D27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03CCBD4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2126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61658F2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9" w:type="dxa"/>
            <w:tcBorders>
              <w:top w:val="single" w:color="auto" w:sz="4" w:space="0"/>
              <w:left w:val="single" w:color="auto" w:sz="4" w:space="0"/>
              <w:bottom w:val="single" w:color="auto" w:sz="4" w:space="0"/>
              <w:right w:val="single" w:color="auto" w:sz="4" w:space="0"/>
            </w:tcBorders>
            <w:vAlign w:val="center"/>
          </w:tcPr>
          <w:p w14:paraId="59DB4C8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85DB44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0ED68D7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34C651F">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1604151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1ECAB4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6DF1F9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6A224B4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74B918B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2ED09F6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3610CD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5F0F711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1F01B3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3299B19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2D16265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1970B9C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34DA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5CBAA45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9" w:type="dxa"/>
            <w:tcBorders>
              <w:top w:val="single" w:color="auto" w:sz="4" w:space="0"/>
              <w:left w:val="single" w:color="auto" w:sz="4" w:space="0"/>
              <w:bottom w:val="single" w:color="auto" w:sz="4" w:space="0"/>
              <w:right w:val="single" w:color="auto" w:sz="4" w:space="0"/>
            </w:tcBorders>
            <w:vAlign w:val="center"/>
          </w:tcPr>
          <w:p w14:paraId="539C20A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78BD4A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043BEEA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5A2EBB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1298D52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1388DA7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877335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5A5D255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2695E98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8B7374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BBA95A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9B72F7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5E05F0F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472679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F3870B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784E62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4E08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22E61B5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9" w:type="dxa"/>
            <w:tcBorders>
              <w:top w:val="single" w:color="auto" w:sz="4" w:space="0"/>
              <w:left w:val="single" w:color="auto" w:sz="4" w:space="0"/>
              <w:bottom w:val="single" w:color="auto" w:sz="4" w:space="0"/>
              <w:right w:val="single" w:color="auto" w:sz="4" w:space="0"/>
            </w:tcBorders>
            <w:vAlign w:val="center"/>
          </w:tcPr>
          <w:p w14:paraId="6D1422D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6B99ABC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5F484B8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E3CE9F6">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2A70AD3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6CA1D02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2E277F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1328FBF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4365304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6589C240">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66ED76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2059F64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9D0192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10681F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10C9C48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16CB2C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1198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7084DEF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9" w:type="dxa"/>
            <w:tcBorders>
              <w:top w:val="single" w:color="auto" w:sz="4" w:space="0"/>
              <w:left w:val="single" w:color="auto" w:sz="4" w:space="0"/>
              <w:bottom w:val="single" w:color="auto" w:sz="4" w:space="0"/>
              <w:right w:val="single" w:color="auto" w:sz="4" w:space="0"/>
            </w:tcBorders>
            <w:vAlign w:val="center"/>
          </w:tcPr>
          <w:p w14:paraId="5973C07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4CF82B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4F7DC06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C9DC65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EB14CE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B531446">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5A4A82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39CF773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5A0F4C7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558760E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24C963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2D854B1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35797D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47131A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391EB73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19307B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150E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0040F6C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9" w:type="dxa"/>
            <w:tcBorders>
              <w:top w:val="single" w:color="auto" w:sz="4" w:space="0"/>
              <w:left w:val="single" w:color="auto" w:sz="4" w:space="0"/>
              <w:bottom w:val="single" w:color="auto" w:sz="4" w:space="0"/>
              <w:right w:val="single" w:color="auto" w:sz="4" w:space="0"/>
            </w:tcBorders>
            <w:vAlign w:val="center"/>
          </w:tcPr>
          <w:p w14:paraId="62CCD9B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6710492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18B96FC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40195D7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742768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E83848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A87F3B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6EE5BA0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0BD9FB9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C687526">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A17C51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B20BF6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0838D2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3E9E1D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7274D5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7E6143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596D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52133E8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p>
        </w:tc>
        <w:tc>
          <w:tcPr>
            <w:tcW w:w="1229" w:type="dxa"/>
            <w:tcBorders>
              <w:top w:val="single" w:color="auto" w:sz="4" w:space="0"/>
              <w:left w:val="single" w:color="auto" w:sz="4" w:space="0"/>
              <w:bottom w:val="single" w:color="auto" w:sz="4" w:space="0"/>
              <w:right w:val="single" w:color="auto" w:sz="4" w:space="0"/>
            </w:tcBorders>
            <w:vAlign w:val="center"/>
          </w:tcPr>
          <w:p w14:paraId="7761EA6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819CEC5">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7E1F1CA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4BBDE87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F8CA27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B24C6C5">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82F021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79FA2DC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1E01E39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29ED084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65CE90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3832228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06CE44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884CFF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2F9AE8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100E29E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bl>
    <w:p w14:paraId="3DE726D7">
      <w:pPr>
        <w:keepNext w:val="0"/>
        <w:keepLines w:val="0"/>
        <w:widowControl w:val="0"/>
        <w:suppressLineNumbers w:val="0"/>
        <w:spacing w:before="0" w:beforeAutospacing="0" w:after="0" w:afterAutospacing="0" w:line="400" w:lineRule="atLeast"/>
        <w:ind w:left="630" w:right="0" w:hanging="630" w:hangingChars="3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注：1</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执业、职业单位指拟投入的项目管理机构人员目前是否在投标人处注册执业或岗位登记。</w:t>
      </w:r>
    </w:p>
    <w:p w14:paraId="7FC2666F">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附项目管理机构主要人员社会保险证明。社会保险证明中缴费单位应与投标单位一致。</w:t>
      </w:r>
    </w:p>
    <w:p w14:paraId="1F5737CF">
      <w:pPr>
        <w:rPr>
          <w:color w:val="auto"/>
          <w:highlight w:val="none"/>
        </w:rPr>
        <w:sectPr>
          <w:footerReference r:id="rId38"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F0050B">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275" w:name="_Toc122603081"/>
      <w:bookmarkStart w:id="2276" w:name="_Toc256000221"/>
      <w:r>
        <w:rPr>
          <w:rFonts w:hint="default" w:cs="宋体"/>
          <w:color w:val="auto"/>
          <w:szCs w:val="24"/>
          <w:highlight w:val="none"/>
        </w:rPr>
        <w:t>1-5</w:t>
      </w:r>
      <w:r>
        <w:rPr>
          <w:rFonts w:hint="eastAsia" w:cs="宋体"/>
          <w:color w:val="auto"/>
          <w:szCs w:val="24"/>
          <w:highlight w:val="none"/>
          <w:lang w:val="en-US" w:eastAsia="zh-CN"/>
        </w:rPr>
        <w:t xml:space="preserve"> </w:t>
      </w:r>
      <w:r>
        <w:rPr>
          <w:rFonts w:hint="default" w:cs="宋体"/>
          <w:color w:val="auto"/>
          <w:szCs w:val="24"/>
          <w:highlight w:val="none"/>
        </w:rPr>
        <w:t>主要人员</w:t>
      </w:r>
      <w:r>
        <w:rPr>
          <w:rFonts w:hint="eastAsia" w:cs="宋体"/>
          <w:color w:val="auto"/>
          <w:szCs w:val="24"/>
          <w:highlight w:val="none"/>
        </w:rPr>
        <w:t>简历表</w:t>
      </w:r>
      <w:bookmarkEnd w:id="2275"/>
      <w:bookmarkEnd w:id="2276"/>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985"/>
        <w:gridCol w:w="1091"/>
        <w:gridCol w:w="1211"/>
        <w:gridCol w:w="2021"/>
        <w:gridCol w:w="2055"/>
      </w:tblGrid>
      <w:tr w14:paraId="03F4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124757F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  名</w:t>
            </w:r>
          </w:p>
        </w:tc>
        <w:tc>
          <w:tcPr>
            <w:tcW w:w="986" w:type="dxa"/>
            <w:tcBorders>
              <w:top w:val="single" w:color="auto" w:sz="4" w:space="0"/>
              <w:left w:val="single" w:color="auto" w:sz="4" w:space="0"/>
              <w:bottom w:val="single" w:color="auto" w:sz="4" w:space="0"/>
              <w:right w:val="single" w:color="auto" w:sz="4" w:space="0"/>
            </w:tcBorders>
            <w:vAlign w:val="center"/>
          </w:tcPr>
          <w:p w14:paraId="43BE31F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49EEE6A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年  龄</w:t>
            </w:r>
          </w:p>
        </w:tc>
        <w:tc>
          <w:tcPr>
            <w:tcW w:w="1212" w:type="dxa"/>
            <w:tcBorders>
              <w:top w:val="single" w:color="auto" w:sz="4" w:space="0"/>
              <w:left w:val="single" w:color="auto" w:sz="4" w:space="0"/>
              <w:bottom w:val="single" w:color="auto" w:sz="4" w:space="0"/>
              <w:right w:val="single" w:color="auto" w:sz="4" w:space="0"/>
            </w:tcBorders>
            <w:vAlign w:val="center"/>
          </w:tcPr>
          <w:p w14:paraId="6313203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57F2CD8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学历</w:t>
            </w:r>
          </w:p>
        </w:tc>
        <w:tc>
          <w:tcPr>
            <w:tcW w:w="2056" w:type="dxa"/>
            <w:tcBorders>
              <w:top w:val="single" w:color="auto" w:sz="4" w:space="0"/>
              <w:left w:val="single" w:color="auto" w:sz="4" w:space="0"/>
              <w:bottom w:val="single" w:color="auto" w:sz="4" w:space="0"/>
              <w:right w:val="single" w:color="auto" w:sz="4" w:space="0"/>
            </w:tcBorders>
            <w:vAlign w:val="center"/>
          </w:tcPr>
          <w:p w14:paraId="6521BFD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16D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7B4110D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职  称</w:t>
            </w:r>
          </w:p>
        </w:tc>
        <w:tc>
          <w:tcPr>
            <w:tcW w:w="986" w:type="dxa"/>
            <w:tcBorders>
              <w:top w:val="single" w:color="auto" w:sz="4" w:space="0"/>
              <w:left w:val="single" w:color="auto" w:sz="4" w:space="0"/>
              <w:bottom w:val="single" w:color="auto" w:sz="4" w:space="0"/>
              <w:right w:val="single" w:color="auto" w:sz="4" w:space="0"/>
            </w:tcBorders>
            <w:vAlign w:val="center"/>
          </w:tcPr>
          <w:p w14:paraId="6128EA2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304502F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职  务</w:t>
            </w:r>
          </w:p>
        </w:tc>
        <w:tc>
          <w:tcPr>
            <w:tcW w:w="1212" w:type="dxa"/>
            <w:tcBorders>
              <w:top w:val="single" w:color="auto" w:sz="4" w:space="0"/>
              <w:left w:val="single" w:color="auto" w:sz="4" w:space="0"/>
              <w:bottom w:val="single" w:color="auto" w:sz="4" w:space="0"/>
              <w:right w:val="single" w:color="auto" w:sz="4" w:space="0"/>
            </w:tcBorders>
            <w:vAlign w:val="center"/>
          </w:tcPr>
          <w:p w14:paraId="6685472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584F3B8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拟在本工程任职</w:t>
            </w:r>
          </w:p>
        </w:tc>
        <w:tc>
          <w:tcPr>
            <w:tcW w:w="2056" w:type="dxa"/>
            <w:tcBorders>
              <w:top w:val="single" w:color="auto" w:sz="4" w:space="0"/>
              <w:left w:val="single" w:color="auto" w:sz="4" w:space="0"/>
              <w:bottom w:val="single" w:color="auto" w:sz="4" w:space="0"/>
              <w:right w:val="single" w:color="auto" w:sz="4" w:space="0"/>
            </w:tcBorders>
            <w:vAlign w:val="center"/>
          </w:tcPr>
          <w:p w14:paraId="4D33E3F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A28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1BA54B81">
            <w:pPr>
              <w:keepNext w:val="0"/>
              <w:keepLines w:val="0"/>
              <w:suppressLineNumbers w:val="0"/>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毕业</w:t>
            </w:r>
          </w:p>
          <w:p w14:paraId="32420AF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学校</w:t>
            </w:r>
          </w:p>
        </w:tc>
        <w:tc>
          <w:tcPr>
            <w:tcW w:w="7368" w:type="dxa"/>
            <w:gridSpan w:val="5"/>
            <w:tcBorders>
              <w:top w:val="single" w:color="auto" w:sz="4" w:space="0"/>
              <w:left w:val="single" w:color="auto" w:sz="4" w:space="0"/>
              <w:bottom w:val="single" w:color="auto" w:sz="4" w:space="0"/>
              <w:right w:val="single" w:color="auto" w:sz="4" w:space="0"/>
            </w:tcBorders>
            <w:vAlign w:val="center"/>
          </w:tcPr>
          <w:p w14:paraId="59871F6F">
            <w:pPr>
              <w:keepNext w:val="0"/>
              <w:keepLines w:val="0"/>
              <w:suppressLineNumbers w:val="0"/>
              <w:spacing w:before="0" w:beforeAutospacing="0" w:after="0" w:afterAutospacing="0"/>
              <w:ind w:left="0" w:right="0" w:firstLine="840" w:firstLineChars="400"/>
              <w:rPr>
                <w:rFonts w:hint="default" w:ascii="宋体" w:hAnsi="宋体" w:cs="宋体"/>
                <w:color w:val="auto"/>
                <w:szCs w:val="21"/>
                <w:highlight w:val="none"/>
              </w:rPr>
            </w:pPr>
            <w:r>
              <w:rPr>
                <w:rFonts w:hint="eastAsia" w:ascii="宋体" w:hAnsi="宋体" w:cs="宋体"/>
                <w:color w:val="auto"/>
                <w:szCs w:val="21"/>
                <w:highlight w:val="none"/>
                <w:lang w:bidi="ar"/>
              </w:rPr>
              <w:t>年毕业于                  学校            专业</w:t>
            </w:r>
          </w:p>
        </w:tc>
      </w:tr>
      <w:tr w14:paraId="37EA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tcBorders>
              <w:top w:val="single" w:color="auto" w:sz="4" w:space="0"/>
              <w:left w:val="single" w:color="auto" w:sz="4" w:space="0"/>
              <w:bottom w:val="single" w:color="auto" w:sz="4" w:space="0"/>
              <w:right w:val="single" w:color="auto" w:sz="4" w:space="0"/>
            </w:tcBorders>
            <w:vAlign w:val="center"/>
          </w:tcPr>
          <w:p w14:paraId="25BC3D9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主要工作经历</w:t>
            </w:r>
          </w:p>
        </w:tc>
      </w:tr>
      <w:tr w14:paraId="459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6914E3A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时  间</w:t>
            </w: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1CE8B8A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参加过的类似项目名称</w:t>
            </w:r>
          </w:p>
        </w:tc>
        <w:tc>
          <w:tcPr>
            <w:tcW w:w="2022" w:type="dxa"/>
            <w:tcBorders>
              <w:top w:val="single" w:color="auto" w:sz="4" w:space="0"/>
              <w:left w:val="single" w:color="auto" w:sz="4" w:space="0"/>
              <w:bottom w:val="single" w:color="auto" w:sz="4" w:space="0"/>
              <w:right w:val="single" w:color="auto" w:sz="4" w:space="0"/>
            </w:tcBorders>
            <w:vAlign w:val="center"/>
          </w:tcPr>
          <w:p w14:paraId="0D12064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工程概况说明</w:t>
            </w:r>
          </w:p>
        </w:tc>
        <w:tc>
          <w:tcPr>
            <w:tcW w:w="2056" w:type="dxa"/>
            <w:tcBorders>
              <w:top w:val="single" w:color="auto" w:sz="4" w:space="0"/>
              <w:left w:val="single" w:color="auto" w:sz="4" w:space="0"/>
              <w:bottom w:val="single" w:color="auto" w:sz="4" w:space="0"/>
              <w:right w:val="single" w:color="auto" w:sz="4" w:space="0"/>
            </w:tcBorders>
            <w:vAlign w:val="center"/>
          </w:tcPr>
          <w:p w14:paraId="40492DC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委托人及联系电话</w:t>
            </w:r>
          </w:p>
        </w:tc>
      </w:tr>
      <w:tr w14:paraId="3E57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2A5041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0DE003D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7952886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8712BE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62D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5380157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7D9B197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3B97EC3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6556EA1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BD0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747F52D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18B0C0D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4E22F35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C7D4CF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DC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0F56D0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6B370EC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26011E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0993A9E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84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4A36886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3923E53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6B03E3E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16B22BE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5C95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1C53BE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5B99412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00ECA7A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66D727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4BE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42658F5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4C20269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5423C3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29D442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04F7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6DCDFBB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0CD6EE4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AC9CB4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4E8ADFB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EF8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7AF2B48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7C7EF29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5499DF1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65A80D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571DAC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主要人员简历表”中的项目经理应附项目经理证、身份证、职称证、学历证、养老保险证明，管理过的项目业绩须附合同协议书；设计、施工、采购负责人应附身份证、职称证、学历证、养老保险，以及设计、施工负责人的执业资格证书，管理过的项目业绩须附证明其所任技术职务的企业文件或用户证明；其他主要人员应附职称证（执业证或上岗证书）、养老保险证明。</w:t>
      </w:r>
    </w:p>
    <w:p w14:paraId="1455FCA4">
      <w:pPr>
        <w:rPr>
          <w:color w:val="auto"/>
          <w:highlight w:val="none"/>
        </w:rPr>
        <w:sectPr>
          <w:footerReference r:id="rId3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5250CFC">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277" w:name="_Toc256000222"/>
      <w:r>
        <w:rPr>
          <w:rFonts w:hint="default" w:cs="宋体"/>
          <w:color w:val="auto"/>
          <w:szCs w:val="24"/>
          <w:highlight w:val="none"/>
        </w:rPr>
        <w:t>1-6</w:t>
      </w:r>
      <w:r>
        <w:rPr>
          <w:rFonts w:hint="eastAsia" w:cs="宋体"/>
          <w:color w:val="auto"/>
          <w:szCs w:val="24"/>
          <w:highlight w:val="none"/>
          <w:lang w:val="en-US" w:eastAsia="zh-CN"/>
        </w:rPr>
        <w:t xml:space="preserve"> </w:t>
      </w:r>
      <w:r>
        <w:rPr>
          <w:rFonts w:hint="default" w:cs="宋体"/>
          <w:color w:val="auto"/>
          <w:szCs w:val="24"/>
          <w:highlight w:val="none"/>
        </w:rPr>
        <w:t>其他主要项目管理人员简历表</w:t>
      </w:r>
      <w:bookmarkEnd w:id="227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1CB7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73BB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岗位名称</w:t>
            </w:r>
          </w:p>
          <w:p w14:paraId="17933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职务</w:t>
            </w:r>
            <w:r>
              <w:rPr>
                <w:rFonts w:hint="eastAsia" w:ascii="宋体" w:hAnsi="宋体" w:cs="宋体"/>
                <w:color w:val="auto"/>
                <w:szCs w:val="21"/>
                <w:highlight w:val="none"/>
                <w:lang w:eastAsia="zh-CN" w:bidi="ar"/>
              </w:rPr>
              <w:t>）</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205FE38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5C3C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27160F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43562EE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0F742A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0C314B1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088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BEE72F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561C75C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395089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2A0540E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6B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371648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1E82BDB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BFF4DC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4C0D191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3BC4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84051B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0810226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9D10FB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6599965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27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8CD478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执业/岗位</w:t>
            </w:r>
          </w:p>
          <w:p w14:paraId="5F17F68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2AC636F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39E7E0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428C3D9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p w14:paraId="31B05AD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EA7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17623D68">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主</w:t>
            </w:r>
          </w:p>
          <w:p w14:paraId="4F015482">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要</w:t>
            </w:r>
          </w:p>
          <w:p w14:paraId="34D717D3">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工</w:t>
            </w:r>
          </w:p>
          <w:p w14:paraId="37A18738">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作</w:t>
            </w:r>
          </w:p>
          <w:p w14:paraId="14D46C6A">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业</w:t>
            </w:r>
          </w:p>
          <w:p w14:paraId="7A9DA94B">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绩</w:t>
            </w:r>
          </w:p>
          <w:p w14:paraId="5C40D85B">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及</w:t>
            </w:r>
          </w:p>
          <w:p w14:paraId="78869604">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担</w:t>
            </w:r>
          </w:p>
          <w:p w14:paraId="2A6DA573">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任</w:t>
            </w:r>
          </w:p>
          <w:p w14:paraId="00F73870">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的</w:t>
            </w:r>
          </w:p>
          <w:p w14:paraId="3487EDD8">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主</w:t>
            </w:r>
          </w:p>
          <w:p w14:paraId="714E8DE6">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要</w:t>
            </w:r>
          </w:p>
          <w:p w14:paraId="5EA996E4">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工</w:t>
            </w:r>
          </w:p>
          <w:p w14:paraId="3BEC0DE4">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作</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0B545D7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72CDAF95">
      <w:pPr>
        <w:ind w:left="630" w:leftChars="100" w:hanging="420" w:hangingChars="200"/>
        <w:rPr>
          <w:rFonts w:ascii="宋体" w:hAnsi="宋体" w:cs="宋体"/>
          <w:color w:val="auto"/>
          <w:szCs w:val="21"/>
          <w:highlight w:val="none"/>
          <w:lang w:bidi="ar"/>
        </w:rPr>
      </w:pPr>
      <w:r>
        <w:rPr>
          <w:rFonts w:hint="eastAsia" w:ascii="宋体" w:hAnsi="宋体" w:cs="宋体"/>
          <w:color w:val="auto"/>
          <w:szCs w:val="21"/>
          <w:highlight w:val="none"/>
          <w:lang w:bidi="ar"/>
        </w:rPr>
        <w:t>注：提供其他主要项目管理人员的相关证书、职称证书（如有）、学历证书（如有）。</w:t>
      </w:r>
    </w:p>
    <w:p w14:paraId="6B844CCA">
      <w:pPr>
        <w:rPr>
          <w:color w:val="auto"/>
          <w:highlight w:val="none"/>
        </w:rPr>
        <w:sectPr>
          <w:footerReference r:id="rId4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7A2799">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黑体" w:hAnsi="宋体"/>
          <w:color w:val="auto"/>
          <w:highlight w:val="none"/>
        </w:rPr>
      </w:pPr>
      <w:bookmarkStart w:id="2278" w:name="_Toc256000223"/>
      <w:r>
        <w:rPr>
          <w:rFonts w:hint="default" w:cs="宋体"/>
          <w:color w:val="auto"/>
          <w:szCs w:val="24"/>
          <w:highlight w:val="none"/>
        </w:rPr>
        <w:t>1-7</w:t>
      </w:r>
      <w:r>
        <w:rPr>
          <w:rFonts w:hint="eastAsia" w:cs="宋体"/>
          <w:color w:val="auto"/>
          <w:szCs w:val="24"/>
          <w:highlight w:val="none"/>
          <w:lang w:val="en-US" w:eastAsia="zh-CN"/>
        </w:rPr>
        <w:t xml:space="preserve"> </w:t>
      </w:r>
      <w:r>
        <w:rPr>
          <w:rFonts w:hint="eastAsia" w:cs="宋体"/>
          <w:color w:val="auto"/>
          <w:szCs w:val="24"/>
          <w:highlight w:val="none"/>
        </w:rPr>
        <w:t>拟投入本项目的主要施工设备表</w:t>
      </w:r>
      <w:bookmarkEnd w:id="2278"/>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3BB9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3556795">
            <w:pPr>
              <w:spacing w:line="440" w:lineRule="exact"/>
              <w:rPr>
                <w:color w:val="auto"/>
                <w:szCs w:val="21"/>
                <w:highlight w:val="none"/>
              </w:rPr>
            </w:pPr>
            <w:r>
              <w:rPr>
                <w:color w:val="auto"/>
                <w:szCs w:val="21"/>
                <w:highlight w:val="none"/>
              </w:rPr>
              <w:t>序号</w:t>
            </w:r>
          </w:p>
        </w:tc>
        <w:tc>
          <w:tcPr>
            <w:tcW w:w="1086" w:type="dxa"/>
            <w:vAlign w:val="center"/>
          </w:tcPr>
          <w:p w14:paraId="786EDB04">
            <w:pPr>
              <w:spacing w:line="440" w:lineRule="exact"/>
              <w:jc w:val="center"/>
              <w:rPr>
                <w:color w:val="auto"/>
                <w:szCs w:val="21"/>
                <w:highlight w:val="none"/>
              </w:rPr>
            </w:pPr>
            <w:r>
              <w:rPr>
                <w:color w:val="auto"/>
                <w:szCs w:val="21"/>
                <w:highlight w:val="none"/>
              </w:rPr>
              <w:t>设备名称</w:t>
            </w:r>
          </w:p>
        </w:tc>
        <w:tc>
          <w:tcPr>
            <w:tcW w:w="761" w:type="dxa"/>
            <w:vAlign w:val="center"/>
          </w:tcPr>
          <w:p w14:paraId="38EBFC4A">
            <w:pPr>
              <w:spacing w:line="440" w:lineRule="exact"/>
              <w:jc w:val="center"/>
              <w:rPr>
                <w:color w:val="auto"/>
                <w:szCs w:val="21"/>
                <w:highlight w:val="none"/>
              </w:rPr>
            </w:pPr>
            <w:r>
              <w:rPr>
                <w:color w:val="auto"/>
                <w:szCs w:val="21"/>
                <w:highlight w:val="none"/>
              </w:rPr>
              <w:t>型号</w:t>
            </w:r>
          </w:p>
          <w:p w14:paraId="69F5420D">
            <w:pPr>
              <w:spacing w:line="440" w:lineRule="exact"/>
              <w:jc w:val="center"/>
              <w:rPr>
                <w:color w:val="auto"/>
                <w:szCs w:val="21"/>
                <w:highlight w:val="none"/>
              </w:rPr>
            </w:pPr>
            <w:r>
              <w:rPr>
                <w:color w:val="auto"/>
                <w:szCs w:val="21"/>
                <w:highlight w:val="none"/>
              </w:rPr>
              <w:t>规格</w:t>
            </w:r>
          </w:p>
        </w:tc>
        <w:tc>
          <w:tcPr>
            <w:tcW w:w="990" w:type="dxa"/>
            <w:vAlign w:val="center"/>
          </w:tcPr>
          <w:p w14:paraId="74E45684">
            <w:pPr>
              <w:spacing w:line="440" w:lineRule="exact"/>
              <w:jc w:val="center"/>
              <w:rPr>
                <w:color w:val="auto"/>
                <w:szCs w:val="21"/>
                <w:highlight w:val="none"/>
              </w:rPr>
            </w:pPr>
            <w:r>
              <w:rPr>
                <w:color w:val="auto"/>
                <w:szCs w:val="21"/>
                <w:highlight w:val="none"/>
              </w:rPr>
              <w:t>数量</w:t>
            </w:r>
          </w:p>
        </w:tc>
        <w:tc>
          <w:tcPr>
            <w:tcW w:w="672" w:type="dxa"/>
            <w:vAlign w:val="center"/>
          </w:tcPr>
          <w:p w14:paraId="55157FCE">
            <w:pPr>
              <w:spacing w:line="440" w:lineRule="exact"/>
              <w:jc w:val="center"/>
              <w:rPr>
                <w:color w:val="auto"/>
                <w:szCs w:val="21"/>
                <w:highlight w:val="none"/>
              </w:rPr>
            </w:pPr>
            <w:r>
              <w:rPr>
                <w:color w:val="auto"/>
                <w:szCs w:val="21"/>
                <w:highlight w:val="none"/>
              </w:rPr>
              <w:t>国别</w:t>
            </w:r>
          </w:p>
          <w:p w14:paraId="73E5F6C2">
            <w:pPr>
              <w:spacing w:line="440" w:lineRule="exact"/>
              <w:jc w:val="center"/>
              <w:rPr>
                <w:color w:val="auto"/>
                <w:szCs w:val="21"/>
                <w:highlight w:val="none"/>
              </w:rPr>
            </w:pPr>
            <w:r>
              <w:rPr>
                <w:color w:val="auto"/>
                <w:szCs w:val="21"/>
                <w:highlight w:val="none"/>
              </w:rPr>
              <w:t>产地</w:t>
            </w:r>
          </w:p>
        </w:tc>
        <w:tc>
          <w:tcPr>
            <w:tcW w:w="738" w:type="dxa"/>
            <w:vAlign w:val="center"/>
          </w:tcPr>
          <w:p w14:paraId="34A0A5EA">
            <w:pPr>
              <w:spacing w:line="440" w:lineRule="exact"/>
              <w:jc w:val="center"/>
              <w:rPr>
                <w:color w:val="auto"/>
                <w:szCs w:val="21"/>
                <w:highlight w:val="none"/>
              </w:rPr>
            </w:pPr>
            <w:r>
              <w:rPr>
                <w:color w:val="auto"/>
                <w:szCs w:val="21"/>
                <w:highlight w:val="none"/>
              </w:rPr>
              <w:t>制造</w:t>
            </w:r>
          </w:p>
          <w:p w14:paraId="4C5E9996">
            <w:pPr>
              <w:spacing w:line="440" w:lineRule="exact"/>
              <w:jc w:val="center"/>
              <w:rPr>
                <w:color w:val="auto"/>
                <w:szCs w:val="21"/>
                <w:highlight w:val="none"/>
              </w:rPr>
            </w:pPr>
            <w:r>
              <w:rPr>
                <w:color w:val="auto"/>
                <w:szCs w:val="21"/>
                <w:highlight w:val="none"/>
              </w:rPr>
              <w:t>年份</w:t>
            </w:r>
          </w:p>
        </w:tc>
        <w:tc>
          <w:tcPr>
            <w:tcW w:w="1212" w:type="dxa"/>
            <w:vAlign w:val="center"/>
          </w:tcPr>
          <w:p w14:paraId="7A979677">
            <w:pPr>
              <w:spacing w:line="440" w:lineRule="exact"/>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vAlign w:val="center"/>
          </w:tcPr>
          <w:p w14:paraId="53BDEC51">
            <w:pPr>
              <w:spacing w:line="440" w:lineRule="exact"/>
              <w:jc w:val="center"/>
              <w:rPr>
                <w:color w:val="auto"/>
                <w:szCs w:val="21"/>
                <w:highlight w:val="none"/>
              </w:rPr>
            </w:pPr>
            <w:r>
              <w:rPr>
                <w:color w:val="auto"/>
                <w:szCs w:val="21"/>
                <w:highlight w:val="none"/>
              </w:rPr>
              <w:t>生产</w:t>
            </w:r>
          </w:p>
          <w:p w14:paraId="58148B42">
            <w:pPr>
              <w:spacing w:line="440" w:lineRule="exact"/>
              <w:jc w:val="center"/>
              <w:rPr>
                <w:color w:val="auto"/>
                <w:szCs w:val="21"/>
                <w:highlight w:val="none"/>
              </w:rPr>
            </w:pPr>
            <w:r>
              <w:rPr>
                <w:color w:val="auto"/>
                <w:szCs w:val="21"/>
                <w:highlight w:val="none"/>
              </w:rPr>
              <w:t>能力</w:t>
            </w:r>
          </w:p>
        </w:tc>
        <w:tc>
          <w:tcPr>
            <w:tcW w:w="1055" w:type="dxa"/>
            <w:vAlign w:val="center"/>
          </w:tcPr>
          <w:p w14:paraId="436364BA">
            <w:pPr>
              <w:spacing w:line="440" w:lineRule="exact"/>
              <w:jc w:val="center"/>
              <w:rPr>
                <w:color w:val="auto"/>
                <w:szCs w:val="21"/>
                <w:highlight w:val="none"/>
              </w:rPr>
            </w:pPr>
            <w:r>
              <w:rPr>
                <w:color w:val="auto"/>
                <w:szCs w:val="21"/>
                <w:highlight w:val="none"/>
              </w:rPr>
              <w:t>用于施工部位</w:t>
            </w:r>
          </w:p>
        </w:tc>
        <w:tc>
          <w:tcPr>
            <w:tcW w:w="691" w:type="dxa"/>
            <w:vAlign w:val="center"/>
          </w:tcPr>
          <w:p w14:paraId="046F9F84">
            <w:pPr>
              <w:spacing w:line="440" w:lineRule="exact"/>
              <w:jc w:val="center"/>
              <w:rPr>
                <w:color w:val="auto"/>
                <w:szCs w:val="21"/>
                <w:highlight w:val="none"/>
              </w:rPr>
            </w:pPr>
            <w:r>
              <w:rPr>
                <w:color w:val="auto"/>
                <w:szCs w:val="21"/>
                <w:highlight w:val="none"/>
              </w:rPr>
              <w:t>备注</w:t>
            </w:r>
          </w:p>
        </w:tc>
      </w:tr>
      <w:tr w14:paraId="7586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EB57414">
            <w:pPr>
              <w:spacing w:line="440" w:lineRule="exact"/>
              <w:jc w:val="center"/>
              <w:rPr>
                <w:color w:val="auto"/>
                <w:szCs w:val="21"/>
                <w:highlight w:val="none"/>
              </w:rPr>
            </w:pPr>
          </w:p>
        </w:tc>
        <w:tc>
          <w:tcPr>
            <w:tcW w:w="1086" w:type="dxa"/>
            <w:vAlign w:val="center"/>
          </w:tcPr>
          <w:p w14:paraId="68EBC6CE">
            <w:pPr>
              <w:spacing w:line="440" w:lineRule="exact"/>
              <w:jc w:val="center"/>
              <w:rPr>
                <w:color w:val="auto"/>
                <w:szCs w:val="21"/>
                <w:highlight w:val="none"/>
              </w:rPr>
            </w:pPr>
          </w:p>
        </w:tc>
        <w:tc>
          <w:tcPr>
            <w:tcW w:w="761" w:type="dxa"/>
            <w:vAlign w:val="center"/>
          </w:tcPr>
          <w:p w14:paraId="5A7F9E6A">
            <w:pPr>
              <w:spacing w:line="440" w:lineRule="exact"/>
              <w:jc w:val="center"/>
              <w:rPr>
                <w:color w:val="auto"/>
                <w:szCs w:val="21"/>
                <w:highlight w:val="none"/>
              </w:rPr>
            </w:pPr>
          </w:p>
        </w:tc>
        <w:tc>
          <w:tcPr>
            <w:tcW w:w="990" w:type="dxa"/>
            <w:vAlign w:val="center"/>
          </w:tcPr>
          <w:p w14:paraId="620599D5">
            <w:pPr>
              <w:spacing w:line="440" w:lineRule="exact"/>
              <w:jc w:val="center"/>
              <w:rPr>
                <w:color w:val="auto"/>
                <w:szCs w:val="21"/>
                <w:highlight w:val="none"/>
              </w:rPr>
            </w:pPr>
          </w:p>
        </w:tc>
        <w:tc>
          <w:tcPr>
            <w:tcW w:w="672" w:type="dxa"/>
            <w:vAlign w:val="center"/>
          </w:tcPr>
          <w:p w14:paraId="233DC495">
            <w:pPr>
              <w:spacing w:line="440" w:lineRule="exact"/>
              <w:jc w:val="center"/>
              <w:rPr>
                <w:color w:val="auto"/>
                <w:szCs w:val="21"/>
                <w:highlight w:val="none"/>
              </w:rPr>
            </w:pPr>
          </w:p>
        </w:tc>
        <w:tc>
          <w:tcPr>
            <w:tcW w:w="738" w:type="dxa"/>
            <w:vAlign w:val="center"/>
          </w:tcPr>
          <w:p w14:paraId="5A199964">
            <w:pPr>
              <w:spacing w:line="440" w:lineRule="exact"/>
              <w:jc w:val="center"/>
              <w:rPr>
                <w:color w:val="auto"/>
                <w:szCs w:val="21"/>
                <w:highlight w:val="none"/>
              </w:rPr>
            </w:pPr>
          </w:p>
        </w:tc>
        <w:tc>
          <w:tcPr>
            <w:tcW w:w="1212" w:type="dxa"/>
            <w:vAlign w:val="center"/>
          </w:tcPr>
          <w:p w14:paraId="3A69C519">
            <w:pPr>
              <w:spacing w:line="440" w:lineRule="exact"/>
              <w:jc w:val="center"/>
              <w:rPr>
                <w:color w:val="auto"/>
                <w:szCs w:val="21"/>
                <w:highlight w:val="none"/>
              </w:rPr>
            </w:pPr>
          </w:p>
        </w:tc>
        <w:tc>
          <w:tcPr>
            <w:tcW w:w="874" w:type="dxa"/>
            <w:vAlign w:val="center"/>
          </w:tcPr>
          <w:p w14:paraId="535ECA02">
            <w:pPr>
              <w:spacing w:line="440" w:lineRule="exact"/>
              <w:jc w:val="center"/>
              <w:rPr>
                <w:color w:val="auto"/>
                <w:szCs w:val="21"/>
                <w:highlight w:val="none"/>
              </w:rPr>
            </w:pPr>
          </w:p>
        </w:tc>
        <w:tc>
          <w:tcPr>
            <w:tcW w:w="1055" w:type="dxa"/>
            <w:vAlign w:val="center"/>
          </w:tcPr>
          <w:p w14:paraId="3E3400D1">
            <w:pPr>
              <w:spacing w:line="440" w:lineRule="exact"/>
              <w:jc w:val="center"/>
              <w:rPr>
                <w:color w:val="auto"/>
                <w:szCs w:val="21"/>
                <w:highlight w:val="none"/>
              </w:rPr>
            </w:pPr>
          </w:p>
        </w:tc>
        <w:tc>
          <w:tcPr>
            <w:tcW w:w="691" w:type="dxa"/>
            <w:vAlign w:val="center"/>
          </w:tcPr>
          <w:p w14:paraId="0B3A8BF7">
            <w:pPr>
              <w:spacing w:line="440" w:lineRule="exact"/>
              <w:jc w:val="center"/>
              <w:rPr>
                <w:color w:val="auto"/>
                <w:szCs w:val="21"/>
                <w:highlight w:val="none"/>
              </w:rPr>
            </w:pPr>
          </w:p>
        </w:tc>
      </w:tr>
      <w:tr w14:paraId="3956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CDFDB0F">
            <w:pPr>
              <w:spacing w:line="440" w:lineRule="exact"/>
              <w:jc w:val="center"/>
              <w:rPr>
                <w:color w:val="auto"/>
                <w:szCs w:val="21"/>
                <w:highlight w:val="none"/>
              </w:rPr>
            </w:pPr>
          </w:p>
        </w:tc>
        <w:tc>
          <w:tcPr>
            <w:tcW w:w="1086" w:type="dxa"/>
            <w:vAlign w:val="center"/>
          </w:tcPr>
          <w:p w14:paraId="302C7B86">
            <w:pPr>
              <w:spacing w:line="440" w:lineRule="exact"/>
              <w:jc w:val="center"/>
              <w:rPr>
                <w:color w:val="auto"/>
                <w:szCs w:val="21"/>
                <w:highlight w:val="none"/>
              </w:rPr>
            </w:pPr>
          </w:p>
        </w:tc>
        <w:tc>
          <w:tcPr>
            <w:tcW w:w="761" w:type="dxa"/>
            <w:vAlign w:val="center"/>
          </w:tcPr>
          <w:p w14:paraId="171D5F92">
            <w:pPr>
              <w:spacing w:line="440" w:lineRule="exact"/>
              <w:jc w:val="center"/>
              <w:rPr>
                <w:color w:val="auto"/>
                <w:szCs w:val="21"/>
                <w:highlight w:val="none"/>
              </w:rPr>
            </w:pPr>
          </w:p>
        </w:tc>
        <w:tc>
          <w:tcPr>
            <w:tcW w:w="990" w:type="dxa"/>
            <w:vAlign w:val="center"/>
          </w:tcPr>
          <w:p w14:paraId="0999B1B1">
            <w:pPr>
              <w:spacing w:line="440" w:lineRule="exact"/>
              <w:jc w:val="center"/>
              <w:rPr>
                <w:color w:val="auto"/>
                <w:szCs w:val="21"/>
                <w:highlight w:val="none"/>
              </w:rPr>
            </w:pPr>
          </w:p>
        </w:tc>
        <w:tc>
          <w:tcPr>
            <w:tcW w:w="672" w:type="dxa"/>
            <w:vAlign w:val="center"/>
          </w:tcPr>
          <w:p w14:paraId="168559D0">
            <w:pPr>
              <w:spacing w:line="440" w:lineRule="exact"/>
              <w:jc w:val="center"/>
              <w:rPr>
                <w:color w:val="auto"/>
                <w:szCs w:val="21"/>
                <w:highlight w:val="none"/>
              </w:rPr>
            </w:pPr>
          </w:p>
        </w:tc>
        <w:tc>
          <w:tcPr>
            <w:tcW w:w="738" w:type="dxa"/>
            <w:vAlign w:val="center"/>
          </w:tcPr>
          <w:p w14:paraId="6C7BCCBC">
            <w:pPr>
              <w:spacing w:line="440" w:lineRule="exact"/>
              <w:jc w:val="center"/>
              <w:rPr>
                <w:color w:val="auto"/>
                <w:szCs w:val="21"/>
                <w:highlight w:val="none"/>
              </w:rPr>
            </w:pPr>
          </w:p>
        </w:tc>
        <w:tc>
          <w:tcPr>
            <w:tcW w:w="1212" w:type="dxa"/>
            <w:vAlign w:val="center"/>
          </w:tcPr>
          <w:p w14:paraId="5CD761D1">
            <w:pPr>
              <w:spacing w:line="440" w:lineRule="exact"/>
              <w:jc w:val="center"/>
              <w:rPr>
                <w:color w:val="auto"/>
                <w:szCs w:val="21"/>
                <w:highlight w:val="none"/>
              </w:rPr>
            </w:pPr>
          </w:p>
        </w:tc>
        <w:tc>
          <w:tcPr>
            <w:tcW w:w="874" w:type="dxa"/>
            <w:vAlign w:val="center"/>
          </w:tcPr>
          <w:p w14:paraId="50A07DE8">
            <w:pPr>
              <w:spacing w:line="440" w:lineRule="exact"/>
              <w:jc w:val="center"/>
              <w:rPr>
                <w:color w:val="auto"/>
                <w:szCs w:val="21"/>
                <w:highlight w:val="none"/>
              </w:rPr>
            </w:pPr>
          </w:p>
        </w:tc>
        <w:tc>
          <w:tcPr>
            <w:tcW w:w="1055" w:type="dxa"/>
            <w:vAlign w:val="center"/>
          </w:tcPr>
          <w:p w14:paraId="62F7A9A0">
            <w:pPr>
              <w:spacing w:line="440" w:lineRule="exact"/>
              <w:jc w:val="center"/>
              <w:rPr>
                <w:color w:val="auto"/>
                <w:szCs w:val="21"/>
                <w:highlight w:val="none"/>
              </w:rPr>
            </w:pPr>
          </w:p>
        </w:tc>
        <w:tc>
          <w:tcPr>
            <w:tcW w:w="691" w:type="dxa"/>
            <w:vAlign w:val="center"/>
          </w:tcPr>
          <w:p w14:paraId="55727FB8">
            <w:pPr>
              <w:spacing w:line="440" w:lineRule="exact"/>
              <w:jc w:val="center"/>
              <w:rPr>
                <w:color w:val="auto"/>
                <w:szCs w:val="21"/>
                <w:highlight w:val="none"/>
              </w:rPr>
            </w:pPr>
          </w:p>
        </w:tc>
      </w:tr>
      <w:tr w14:paraId="5DA5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564CFBF">
            <w:pPr>
              <w:spacing w:line="440" w:lineRule="exact"/>
              <w:jc w:val="center"/>
              <w:rPr>
                <w:color w:val="auto"/>
                <w:szCs w:val="21"/>
                <w:highlight w:val="none"/>
              </w:rPr>
            </w:pPr>
          </w:p>
        </w:tc>
        <w:tc>
          <w:tcPr>
            <w:tcW w:w="1086" w:type="dxa"/>
          </w:tcPr>
          <w:p w14:paraId="4FA08FF1">
            <w:pPr>
              <w:spacing w:line="440" w:lineRule="exact"/>
              <w:jc w:val="center"/>
              <w:rPr>
                <w:color w:val="auto"/>
                <w:szCs w:val="21"/>
                <w:highlight w:val="none"/>
              </w:rPr>
            </w:pPr>
          </w:p>
        </w:tc>
        <w:tc>
          <w:tcPr>
            <w:tcW w:w="761" w:type="dxa"/>
          </w:tcPr>
          <w:p w14:paraId="63BB68C1">
            <w:pPr>
              <w:spacing w:line="440" w:lineRule="exact"/>
              <w:jc w:val="center"/>
              <w:rPr>
                <w:color w:val="auto"/>
                <w:szCs w:val="21"/>
                <w:highlight w:val="none"/>
              </w:rPr>
            </w:pPr>
          </w:p>
        </w:tc>
        <w:tc>
          <w:tcPr>
            <w:tcW w:w="990" w:type="dxa"/>
          </w:tcPr>
          <w:p w14:paraId="481FA460">
            <w:pPr>
              <w:spacing w:line="440" w:lineRule="exact"/>
              <w:jc w:val="center"/>
              <w:rPr>
                <w:color w:val="auto"/>
                <w:szCs w:val="21"/>
                <w:highlight w:val="none"/>
              </w:rPr>
            </w:pPr>
          </w:p>
        </w:tc>
        <w:tc>
          <w:tcPr>
            <w:tcW w:w="672" w:type="dxa"/>
          </w:tcPr>
          <w:p w14:paraId="29A3CEB5">
            <w:pPr>
              <w:spacing w:line="440" w:lineRule="exact"/>
              <w:jc w:val="center"/>
              <w:rPr>
                <w:color w:val="auto"/>
                <w:szCs w:val="21"/>
                <w:highlight w:val="none"/>
              </w:rPr>
            </w:pPr>
          </w:p>
        </w:tc>
        <w:tc>
          <w:tcPr>
            <w:tcW w:w="738" w:type="dxa"/>
          </w:tcPr>
          <w:p w14:paraId="4454C633">
            <w:pPr>
              <w:spacing w:line="440" w:lineRule="exact"/>
              <w:jc w:val="center"/>
              <w:rPr>
                <w:color w:val="auto"/>
                <w:szCs w:val="21"/>
                <w:highlight w:val="none"/>
              </w:rPr>
            </w:pPr>
          </w:p>
        </w:tc>
        <w:tc>
          <w:tcPr>
            <w:tcW w:w="1212" w:type="dxa"/>
          </w:tcPr>
          <w:p w14:paraId="48BA439D">
            <w:pPr>
              <w:spacing w:line="440" w:lineRule="exact"/>
              <w:jc w:val="center"/>
              <w:rPr>
                <w:color w:val="auto"/>
                <w:szCs w:val="21"/>
                <w:highlight w:val="none"/>
              </w:rPr>
            </w:pPr>
          </w:p>
        </w:tc>
        <w:tc>
          <w:tcPr>
            <w:tcW w:w="874" w:type="dxa"/>
          </w:tcPr>
          <w:p w14:paraId="58A36CA2">
            <w:pPr>
              <w:spacing w:line="440" w:lineRule="exact"/>
              <w:jc w:val="center"/>
              <w:rPr>
                <w:color w:val="auto"/>
                <w:szCs w:val="21"/>
                <w:highlight w:val="none"/>
              </w:rPr>
            </w:pPr>
          </w:p>
        </w:tc>
        <w:tc>
          <w:tcPr>
            <w:tcW w:w="1055" w:type="dxa"/>
          </w:tcPr>
          <w:p w14:paraId="06071C5F">
            <w:pPr>
              <w:spacing w:line="440" w:lineRule="exact"/>
              <w:jc w:val="center"/>
              <w:rPr>
                <w:color w:val="auto"/>
                <w:szCs w:val="21"/>
                <w:highlight w:val="none"/>
              </w:rPr>
            </w:pPr>
          </w:p>
        </w:tc>
        <w:tc>
          <w:tcPr>
            <w:tcW w:w="691" w:type="dxa"/>
          </w:tcPr>
          <w:p w14:paraId="20186E33">
            <w:pPr>
              <w:spacing w:line="440" w:lineRule="exact"/>
              <w:jc w:val="center"/>
              <w:rPr>
                <w:color w:val="auto"/>
                <w:szCs w:val="21"/>
                <w:highlight w:val="none"/>
              </w:rPr>
            </w:pPr>
          </w:p>
        </w:tc>
      </w:tr>
      <w:tr w14:paraId="5C0D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68BD0A7">
            <w:pPr>
              <w:spacing w:line="440" w:lineRule="exact"/>
              <w:jc w:val="center"/>
              <w:rPr>
                <w:color w:val="auto"/>
                <w:szCs w:val="21"/>
                <w:highlight w:val="none"/>
              </w:rPr>
            </w:pPr>
          </w:p>
        </w:tc>
        <w:tc>
          <w:tcPr>
            <w:tcW w:w="1086" w:type="dxa"/>
          </w:tcPr>
          <w:p w14:paraId="1927D08F">
            <w:pPr>
              <w:spacing w:line="440" w:lineRule="exact"/>
              <w:jc w:val="center"/>
              <w:rPr>
                <w:color w:val="auto"/>
                <w:szCs w:val="21"/>
                <w:highlight w:val="none"/>
              </w:rPr>
            </w:pPr>
          </w:p>
        </w:tc>
        <w:tc>
          <w:tcPr>
            <w:tcW w:w="761" w:type="dxa"/>
          </w:tcPr>
          <w:p w14:paraId="791BE3B3">
            <w:pPr>
              <w:spacing w:line="440" w:lineRule="exact"/>
              <w:jc w:val="center"/>
              <w:rPr>
                <w:color w:val="auto"/>
                <w:szCs w:val="21"/>
                <w:highlight w:val="none"/>
              </w:rPr>
            </w:pPr>
          </w:p>
        </w:tc>
        <w:tc>
          <w:tcPr>
            <w:tcW w:w="990" w:type="dxa"/>
          </w:tcPr>
          <w:p w14:paraId="3575DF93">
            <w:pPr>
              <w:spacing w:line="440" w:lineRule="exact"/>
              <w:jc w:val="center"/>
              <w:rPr>
                <w:color w:val="auto"/>
                <w:szCs w:val="21"/>
                <w:highlight w:val="none"/>
              </w:rPr>
            </w:pPr>
          </w:p>
        </w:tc>
        <w:tc>
          <w:tcPr>
            <w:tcW w:w="672" w:type="dxa"/>
          </w:tcPr>
          <w:p w14:paraId="7751FB71">
            <w:pPr>
              <w:spacing w:line="440" w:lineRule="exact"/>
              <w:jc w:val="center"/>
              <w:rPr>
                <w:color w:val="auto"/>
                <w:szCs w:val="21"/>
                <w:highlight w:val="none"/>
              </w:rPr>
            </w:pPr>
          </w:p>
        </w:tc>
        <w:tc>
          <w:tcPr>
            <w:tcW w:w="738" w:type="dxa"/>
          </w:tcPr>
          <w:p w14:paraId="0E507A9D">
            <w:pPr>
              <w:spacing w:line="440" w:lineRule="exact"/>
              <w:jc w:val="center"/>
              <w:rPr>
                <w:color w:val="auto"/>
                <w:szCs w:val="21"/>
                <w:highlight w:val="none"/>
              </w:rPr>
            </w:pPr>
          </w:p>
        </w:tc>
        <w:tc>
          <w:tcPr>
            <w:tcW w:w="1212" w:type="dxa"/>
          </w:tcPr>
          <w:p w14:paraId="1B0D77BA">
            <w:pPr>
              <w:spacing w:line="440" w:lineRule="exact"/>
              <w:jc w:val="center"/>
              <w:rPr>
                <w:color w:val="auto"/>
                <w:szCs w:val="21"/>
                <w:highlight w:val="none"/>
              </w:rPr>
            </w:pPr>
          </w:p>
        </w:tc>
        <w:tc>
          <w:tcPr>
            <w:tcW w:w="874" w:type="dxa"/>
          </w:tcPr>
          <w:p w14:paraId="103278A7">
            <w:pPr>
              <w:spacing w:line="440" w:lineRule="exact"/>
              <w:jc w:val="center"/>
              <w:rPr>
                <w:color w:val="auto"/>
                <w:szCs w:val="21"/>
                <w:highlight w:val="none"/>
              </w:rPr>
            </w:pPr>
          </w:p>
        </w:tc>
        <w:tc>
          <w:tcPr>
            <w:tcW w:w="1055" w:type="dxa"/>
          </w:tcPr>
          <w:p w14:paraId="2527BB5A">
            <w:pPr>
              <w:spacing w:line="440" w:lineRule="exact"/>
              <w:jc w:val="center"/>
              <w:rPr>
                <w:color w:val="auto"/>
                <w:szCs w:val="21"/>
                <w:highlight w:val="none"/>
              </w:rPr>
            </w:pPr>
          </w:p>
        </w:tc>
        <w:tc>
          <w:tcPr>
            <w:tcW w:w="691" w:type="dxa"/>
          </w:tcPr>
          <w:p w14:paraId="5CAA26A5">
            <w:pPr>
              <w:spacing w:line="440" w:lineRule="exact"/>
              <w:jc w:val="center"/>
              <w:rPr>
                <w:color w:val="auto"/>
                <w:szCs w:val="21"/>
                <w:highlight w:val="none"/>
              </w:rPr>
            </w:pPr>
          </w:p>
        </w:tc>
      </w:tr>
      <w:tr w14:paraId="381C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346EE79">
            <w:pPr>
              <w:spacing w:line="440" w:lineRule="exact"/>
              <w:jc w:val="center"/>
              <w:rPr>
                <w:color w:val="auto"/>
                <w:szCs w:val="21"/>
                <w:highlight w:val="none"/>
              </w:rPr>
            </w:pPr>
          </w:p>
        </w:tc>
        <w:tc>
          <w:tcPr>
            <w:tcW w:w="1086" w:type="dxa"/>
          </w:tcPr>
          <w:p w14:paraId="4B360704">
            <w:pPr>
              <w:spacing w:line="440" w:lineRule="exact"/>
              <w:jc w:val="center"/>
              <w:rPr>
                <w:color w:val="auto"/>
                <w:szCs w:val="21"/>
                <w:highlight w:val="none"/>
              </w:rPr>
            </w:pPr>
          </w:p>
        </w:tc>
        <w:tc>
          <w:tcPr>
            <w:tcW w:w="761" w:type="dxa"/>
          </w:tcPr>
          <w:p w14:paraId="07E2F0EC">
            <w:pPr>
              <w:spacing w:line="440" w:lineRule="exact"/>
              <w:jc w:val="center"/>
              <w:rPr>
                <w:color w:val="auto"/>
                <w:szCs w:val="21"/>
                <w:highlight w:val="none"/>
              </w:rPr>
            </w:pPr>
          </w:p>
        </w:tc>
        <w:tc>
          <w:tcPr>
            <w:tcW w:w="990" w:type="dxa"/>
          </w:tcPr>
          <w:p w14:paraId="36209FE7">
            <w:pPr>
              <w:spacing w:line="440" w:lineRule="exact"/>
              <w:jc w:val="center"/>
              <w:rPr>
                <w:color w:val="auto"/>
                <w:szCs w:val="21"/>
                <w:highlight w:val="none"/>
              </w:rPr>
            </w:pPr>
          </w:p>
        </w:tc>
        <w:tc>
          <w:tcPr>
            <w:tcW w:w="672" w:type="dxa"/>
          </w:tcPr>
          <w:p w14:paraId="234234D5">
            <w:pPr>
              <w:spacing w:line="440" w:lineRule="exact"/>
              <w:jc w:val="center"/>
              <w:rPr>
                <w:color w:val="auto"/>
                <w:szCs w:val="21"/>
                <w:highlight w:val="none"/>
              </w:rPr>
            </w:pPr>
          </w:p>
        </w:tc>
        <w:tc>
          <w:tcPr>
            <w:tcW w:w="738" w:type="dxa"/>
          </w:tcPr>
          <w:p w14:paraId="342FC095">
            <w:pPr>
              <w:spacing w:line="440" w:lineRule="exact"/>
              <w:jc w:val="center"/>
              <w:rPr>
                <w:color w:val="auto"/>
                <w:szCs w:val="21"/>
                <w:highlight w:val="none"/>
              </w:rPr>
            </w:pPr>
          </w:p>
        </w:tc>
        <w:tc>
          <w:tcPr>
            <w:tcW w:w="1212" w:type="dxa"/>
          </w:tcPr>
          <w:p w14:paraId="48962D37">
            <w:pPr>
              <w:spacing w:line="440" w:lineRule="exact"/>
              <w:jc w:val="center"/>
              <w:rPr>
                <w:color w:val="auto"/>
                <w:szCs w:val="21"/>
                <w:highlight w:val="none"/>
              </w:rPr>
            </w:pPr>
          </w:p>
        </w:tc>
        <w:tc>
          <w:tcPr>
            <w:tcW w:w="874" w:type="dxa"/>
          </w:tcPr>
          <w:p w14:paraId="0038DD1E">
            <w:pPr>
              <w:spacing w:line="440" w:lineRule="exact"/>
              <w:jc w:val="center"/>
              <w:rPr>
                <w:color w:val="auto"/>
                <w:szCs w:val="21"/>
                <w:highlight w:val="none"/>
              </w:rPr>
            </w:pPr>
          </w:p>
        </w:tc>
        <w:tc>
          <w:tcPr>
            <w:tcW w:w="1055" w:type="dxa"/>
          </w:tcPr>
          <w:p w14:paraId="5E2F0B0F">
            <w:pPr>
              <w:spacing w:line="440" w:lineRule="exact"/>
              <w:jc w:val="center"/>
              <w:rPr>
                <w:color w:val="auto"/>
                <w:szCs w:val="21"/>
                <w:highlight w:val="none"/>
              </w:rPr>
            </w:pPr>
          </w:p>
        </w:tc>
        <w:tc>
          <w:tcPr>
            <w:tcW w:w="691" w:type="dxa"/>
          </w:tcPr>
          <w:p w14:paraId="15DA4C55">
            <w:pPr>
              <w:spacing w:line="440" w:lineRule="exact"/>
              <w:jc w:val="center"/>
              <w:rPr>
                <w:color w:val="auto"/>
                <w:szCs w:val="21"/>
                <w:highlight w:val="none"/>
              </w:rPr>
            </w:pPr>
          </w:p>
        </w:tc>
      </w:tr>
      <w:tr w14:paraId="18AD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D8718E2">
            <w:pPr>
              <w:spacing w:line="440" w:lineRule="exact"/>
              <w:jc w:val="center"/>
              <w:rPr>
                <w:color w:val="auto"/>
                <w:szCs w:val="21"/>
                <w:highlight w:val="none"/>
              </w:rPr>
            </w:pPr>
          </w:p>
        </w:tc>
        <w:tc>
          <w:tcPr>
            <w:tcW w:w="1086" w:type="dxa"/>
          </w:tcPr>
          <w:p w14:paraId="652242DA">
            <w:pPr>
              <w:spacing w:line="440" w:lineRule="exact"/>
              <w:jc w:val="center"/>
              <w:rPr>
                <w:color w:val="auto"/>
                <w:szCs w:val="21"/>
                <w:highlight w:val="none"/>
              </w:rPr>
            </w:pPr>
          </w:p>
        </w:tc>
        <w:tc>
          <w:tcPr>
            <w:tcW w:w="761" w:type="dxa"/>
          </w:tcPr>
          <w:p w14:paraId="7E83D59E">
            <w:pPr>
              <w:spacing w:line="440" w:lineRule="exact"/>
              <w:jc w:val="center"/>
              <w:rPr>
                <w:color w:val="auto"/>
                <w:szCs w:val="21"/>
                <w:highlight w:val="none"/>
              </w:rPr>
            </w:pPr>
          </w:p>
        </w:tc>
        <w:tc>
          <w:tcPr>
            <w:tcW w:w="990" w:type="dxa"/>
          </w:tcPr>
          <w:p w14:paraId="12532DAC">
            <w:pPr>
              <w:spacing w:line="440" w:lineRule="exact"/>
              <w:jc w:val="center"/>
              <w:rPr>
                <w:color w:val="auto"/>
                <w:szCs w:val="21"/>
                <w:highlight w:val="none"/>
              </w:rPr>
            </w:pPr>
          </w:p>
        </w:tc>
        <w:tc>
          <w:tcPr>
            <w:tcW w:w="672" w:type="dxa"/>
          </w:tcPr>
          <w:p w14:paraId="7FA4F9C2">
            <w:pPr>
              <w:spacing w:line="440" w:lineRule="exact"/>
              <w:jc w:val="center"/>
              <w:rPr>
                <w:color w:val="auto"/>
                <w:szCs w:val="21"/>
                <w:highlight w:val="none"/>
              </w:rPr>
            </w:pPr>
          </w:p>
        </w:tc>
        <w:tc>
          <w:tcPr>
            <w:tcW w:w="738" w:type="dxa"/>
          </w:tcPr>
          <w:p w14:paraId="5A67F091">
            <w:pPr>
              <w:spacing w:line="440" w:lineRule="exact"/>
              <w:jc w:val="center"/>
              <w:rPr>
                <w:color w:val="auto"/>
                <w:szCs w:val="21"/>
                <w:highlight w:val="none"/>
              </w:rPr>
            </w:pPr>
          </w:p>
        </w:tc>
        <w:tc>
          <w:tcPr>
            <w:tcW w:w="1212" w:type="dxa"/>
          </w:tcPr>
          <w:p w14:paraId="432A42FC">
            <w:pPr>
              <w:spacing w:line="440" w:lineRule="exact"/>
              <w:jc w:val="center"/>
              <w:rPr>
                <w:color w:val="auto"/>
                <w:szCs w:val="21"/>
                <w:highlight w:val="none"/>
              </w:rPr>
            </w:pPr>
          </w:p>
        </w:tc>
        <w:tc>
          <w:tcPr>
            <w:tcW w:w="874" w:type="dxa"/>
          </w:tcPr>
          <w:p w14:paraId="62226BC9">
            <w:pPr>
              <w:spacing w:line="440" w:lineRule="exact"/>
              <w:jc w:val="center"/>
              <w:rPr>
                <w:color w:val="auto"/>
                <w:szCs w:val="21"/>
                <w:highlight w:val="none"/>
              </w:rPr>
            </w:pPr>
          </w:p>
        </w:tc>
        <w:tc>
          <w:tcPr>
            <w:tcW w:w="1055" w:type="dxa"/>
          </w:tcPr>
          <w:p w14:paraId="4835A49C">
            <w:pPr>
              <w:spacing w:line="440" w:lineRule="exact"/>
              <w:jc w:val="center"/>
              <w:rPr>
                <w:color w:val="auto"/>
                <w:szCs w:val="21"/>
                <w:highlight w:val="none"/>
              </w:rPr>
            </w:pPr>
          </w:p>
        </w:tc>
        <w:tc>
          <w:tcPr>
            <w:tcW w:w="691" w:type="dxa"/>
          </w:tcPr>
          <w:p w14:paraId="3DB92929">
            <w:pPr>
              <w:spacing w:line="440" w:lineRule="exact"/>
              <w:jc w:val="center"/>
              <w:rPr>
                <w:color w:val="auto"/>
                <w:szCs w:val="21"/>
                <w:highlight w:val="none"/>
              </w:rPr>
            </w:pPr>
          </w:p>
        </w:tc>
      </w:tr>
      <w:tr w14:paraId="6392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ECB8008">
            <w:pPr>
              <w:spacing w:line="440" w:lineRule="exact"/>
              <w:jc w:val="center"/>
              <w:rPr>
                <w:color w:val="auto"/>
                <w:szCs w:val="21"/>
                <w:highlight w:val="none"/>
              </w:rPr>
            </w:pPr>
          </w:p>
        </w:tc>
        <w:tc>
          <w:tcPr>
            <w:tcW w:w="1086" w:type="dxa"/>
          </w:tcPr>
          <w:p w14:paraId="3B11063A">
            <w:pPr>
              <w:spacing w:line="440" w:lineRule="exact"/>
              <w:jc w:val="center"/>
              <w:rPr>
                <w:color w:val="auto"/>
                <w:szCs w:val="21"/>
                <w:highlight w:val="none"/>
              </w:rPr>
            </w:pPr>
          </w:p>
        </w:tc>
        <w:tc>
          <w:tcPr>
            <w:tcW w:w="761" w:type="dxa"/>
          </w:tcPr>
          <w:p w14:paraId="5E4FE1AA">
            <w:pPr>
              <w:spacing w:line="440" w:lineRule="exact"/>
              <w:jc w:val="center"/>
              <w:rPr>
                <w:color w:val="auto"/>
                <w:szCs w:val="21"/>
                <w:highlight w:val="none"/>
              </w:rPr>
            </w:pPr>
          </w:p>
        </w:tc>
        <w:tc>
          <w:tcPr>
            <w:tcW w:w="990" w:type="dxa"/>
          </w:tcPr>
          <w:p w14:paraId="203C118A">
            <w:pPr>
              <w:spacing w:line="440" w:lineRule="exact"/>
              <w:jc w:val="center"/>
              <w:rPr>
                <w:color w:val="auto"/>
                <w:szCs w:val="21"/>
                <w:highlight w:val="none"/>
              </w:rPr>
            </w:pPr>
          </w:p>
        </w:tc>
        <w:tc>
          <w:tcPr>
            <w:tcW w:w="672" w:type="dxa"/>
          </w:tcPr>
          <w:p w14:paraId="272FD5EE">
            <w:pPr>
              <w:spacing w:line="440" w:lineRule="exact"/>
              <w:jc w:val="center"/>
              <w:rPr>
                <w:color w:val="auto"/>
                <w:szCs w:val="21"/>
                <w:highlight w:val="none"/>
              </w:rPr>
            </w:pPr>
          </w:p>
        </w:tc>
        <w:tc>
          <w:tcPr>
            <w:tcW w:w="738" w:type="dxa"/>
          </w:tcPr>
          <w:p w14:paraId="5D355B7B">
            <w:pPr>
              <w:spacing w:line="440" w:lineRule="exact"/>
              <w:jc w:val="center"/>
              <w:rPr>
                <w:color w:val="auto"/>
                <w:szCs w:val="21"/>
                <w:highlight w:val="none"/>
              </w:rPr>
            </w:pPr>
          </w:p>
        </w:tc>
        <w:tc>
          <w:tcPr>
            <w:tcW w:w="1212" w:type="dxa"/>
          </w:tcPr>
          <w:p w14:paraId="0CA2DC80">
            <w:pPr>
              <w:spacing w:line="440" w:lineRule="exact"/>
              <w:jc w:val="center"/>
              <w:rPr>
                <w:color w:val="auto"/>
                <w:szCs w:val="21"/>
                <w:highlight w:val="none"/>
              </w:rPr>
            </w:pPr>
          </w:p>
        </w:tc>
        <w:tc>
          <w:tcPr>
            <w:tcW w:w="874" w:type="dxa"/>
          </w:tcPr>
          <w:p w14:paraId="2C664440">
            <w:pPr>
              <w:spacing w:line="440" w:lineRule="exact"/>
              <w:jc w:val="center"/>
              <w:rPr>
                <w:color w:val="auto"/>
                <w:szCs w:val="21"/>
                <w:highlight w:val="none"/>
              </w:rPr>
            </w:pPr>
          </w:p>
        </w:tc>
        <w:tc>
          <w:tcPr>
            <w:tcW w:w="1055" w:type="dxa"/>
          </w:tcPr>
          <w:p w14:paraId="02861A83">
            <w:pPr>
              <w:spacing w:line="440" w:lineRule="exact"/>
              <w:jc w:val="center"/>
              <w:rPr>
                <w:color w:val="auto"/>
                <w:szCs w:val="21"/>
                <w:highlight w:val="none"/>
              </w:rPr>
            </w:pPr>
          </w:p>
        </w:tc>
        <w:tc>
          <w:tcPr>
            <w:tcW w:w="691" w:type="dxa"/>
          </w:tcPr>
          <w:p w14:paraId="65CE2F21">
            <w:pPr>
              <w:spacing w:line="440" w:lineRule="exact"/>
              <w:jc w:val="center"/>
              <w:rPr>
                <w:color w:val="auto"/>
                <w:szCs w:val="21"/>
                <w:highlight w:val="none"/>
              </w:rPr>
            </w:pPr>
          </w:p>
        </w:tc>
      </w:tr>
      <w:tr w14:paraId="6F0A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7C11498">
            <w:pPr>
              <w:spacing w:line="440" w:lineRule="exact"/>
              <w:jc w:val="center"/>
              <w:rPr>
                <w:color w:val="auto"/>
                <w:szCs w:val="21"/>
                <w:highlight w:val="none"/>
              </w:rPr>
            </w:pPr>
          </w:p>
        </w:tc>
        <w:tc>
          <w:tcPr>
            <w:tcW w:w="1086" w:type="dxa"/>
          </w:tcPr>
          <w:p w14:paraId="32C9845E">
            <w:pPr>
              <w:spacing w:line="440" w:lineRule="exact"/>
              <w:jc w:val="center"/>
              <w:rPr>
                <w:color w:val="auto"/>
                <w:szCs w:val="21"/>
                <w:highlight w:val="none"/>
              </w:rPr>
            </w:pPr>
          </w:p>
        </w:tc>
        <w:tc>
          <w:tcPr>
            <w:tcW w:w="761" w:type="dxa"/>
          </w:tcPr>
          <w:p w14:paraId="0728F654">
            <w:pPr>
              <w:spacing w:line="440" w:lineRule="exact"/>
              <w:jc w:val="center"/>
              <w:rPr>
                <w:color w:val="auto"/>
                <w:szCs w:val="21"/>
                <w:highlight w:val="none"/>
              </w:rPr>
            </w:pPr>
          </w:p>
        </w:tc>
        <w:tc>
          <w:tcPr>
            <w:tcW w:w="990" w:type="dxa"/>
          </w:tcPr>
          <w:p w14:paraId="4EF6B332">
            <w:pPr>
              <w:spacing w:line="440" w:lineRule="exact"/>
              <w:jc w:val="center"/>
              <w:rPr>
                <w:color w:val="auto"/>
                <w:szCs w:val="21"/>
                <w:highlight w:val="none"/>
              </w:rPr>
            </w:pPr>
          </w:p>
        </w:tc>
        <w:tc>
          <w:tcPr>
            <w:tcW w:w="672" w:type="dxa"/>
          </w:tcPr>
          <w:p w14:paraId="54BFD036">
            <w:pPr>
              <w:spacing w:line="440" w:lineRule="exact"/>
              <w:jc w:val="center"/>
              <w:rPr>
                <w:color w:val="auto"/>
                <w:szCs w:val="21"/>
                <w:highlight w:val="none"/>
              </w:rPr>
            </w:pPr>
          </w:p>
        </w:tc>
        <w:tc>
          <w:tcPr>
            <w:tcW w:w="738" w:type="dxa"/>
          </w:tcPr>
          <w:p w14:paraId="21450B4E">
            <w:pPr>
              <w:spacing w:line="440" w:lineRule="exact"/>
              <w:jc w:val="center"/>
              <w:rPr>
                <w:color w:val="auto"/>
                <w:szCs w:val="21"/>
                <w:highlight w:val="none"/>
              </w:rPr>
            </w:pPr>
          </w:p>
        </w:tc>
        <w:tc>
          <w:tcPr>
            <w:tcW w:w="1212" w:type="dxa"/>
          </w:tcPr>
          <w:p w14:paraId="299A0477">
            <w:pPr>
              <w:spacing w:line="440" w:lineRule="exact"/>
              <w:jc w:val="center"/>
              <w:rPr>
                <w:color w:val="auto"/>
                <w:szCs w:val="21"/>
                <w:highlight w:val="none"/>
              </w:rPr>
            </w:pPr>
          </w:p>
        </w:tc>
        <w:tc>
          <w:tcPr>
            <w:tcW w:w="874" w:type="dxa"/>
          </w:tcPr>
          <w:p w14:paraId="7041A5B9">
            <w:pPr>
              <w:spacing w:line="440" w:lineRule="exact"/>
              <w:jc w:val="center"/>
              <w:rPr>
                <w:color w:val="auto"/>
                <w:szCs w:val="21"/>
                <w:highlight w:val="none"/>
              </w:rPr>
            </w:pPr>
          </w:p>
        </w:tc>
        <w:tc>
          <w:tcPr>
            <w:tcW w:w="1055" w:type="dxa"/>
          </w:tcPr>
          <w:p w14:paraId="66F43DFF">
            <w:pPr>
              <w:spacing w:line="440" w:lineRule="exact"/>
              <w:jc w:val="center"/>
              <w:rPr>
                <w:color w:val="auto"/>
                <w:szCs w:val="21"/>
                <w:highlight w:val="none"/>
              </w:rPr>
            </w:pPr>
          </w:p>
        </w:tc>
        <w:tc>
          <w:tcPr>
            <w:tcW w:w="691" w:type="dxa"/>
          </w:tcPr>
          <w:p w14:paraId="573E5ABE">
            <w:pPr>
              <w:spacing w:line="440" w:lineRule="exact"/>
              <w:jc w:val="center"/>
              <w:rPr>
                <w:color w:val="auto"/>
                <w:szCs w:val="21"/>
                <w:highlight w:val="none"/>
              </w:rPr>
            </w:pPr>
          </w:p>
        </w:tc>
      </w:tr>
      <w:tr w14:paraId="0DBD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8BC672D">
            <w:pPr>
              <w:spacing w:line="440" w:lineRule="exact"/>
              <w:jc w:val="center"/>
              <w:rPr>
                <w:color w:val="auto"/>
                <w:szCs w:val="21"/>
                <w:highlight w:val="none"/>
              </w:rPr>
            </w:pPr>
          </w:p>
        </w:tc>
        <w:tc>
          <w:tcPr>
            <w:tcW w:w="1086" w:type="dxa"/>
          </w:tcPr>
          <w:p w14:paraId="6D6F7830">
            <w:pPr>
              <w:spacing w:line="440" w:lineRule="exact"/>
              <w:jc w:val="center"/>
              <w:rPr>
                <w:color w:val="auto"/>
                <w:szCs w:val="21"/>
                <w:highlight w:val="none"/>
              </w:rPr>
            </w:pPr>
          </w:p>
        </w:tc>
        <w:tc>
          <w:tcPr>
            <w:tcW w:w="761" w:type="dxa"/>
          </w:tcPr>
          <w:p w14:paraId="41496479">
            <w:pPr>
              <w:spacing w:line="440" w:lineRule="exact"/>
              <w:jc w:val="center"/>
              <w:rPr>
                <w:color w:val="auto"/>
                <w:szCs w:val="21"/>
                <w:highlight w:val="none"/>
              </w:rPr>
            </w:pPr>
          </w:p>
        </w:tc>
        <w:tc>
          <w:tcPr>
            <w:tcW w:w="990" w:type="dxa"/>
          </w:tcPr>
          <w:p w14:paraId="7DC1C998">
            <w:pPr>
              <w:spacing w:line="440" w:lineRule="exact"/>
              <w:jc w:val="center"/>
              <w:rPr>
                <w:color w:val="auto"/>
                <w:szCs w:val="21"/>
                <w:highlight w:val="none"/>
              </w:rPr>
            </w:pPr>
          </w:p>
        </w:tc>
        <w:tc>
          <w:tcPr>
            <w:tcW w:w="672" w:type="dxa"/>
          </w:tcPr>
          <w:p w14:paraId="03181313">
            <w:pPr>
              <w:spacing w:line="440" w:lineRule="exact"/>
              <w:jc w:val="center"/>
              <w:rPr>
                <w:color w:val="auto"/>
                <w:szCs w:val="21"/>
                <w:highlight w:val="none"/>
              </w:rPr>
            </w:pPr>
          </w:p>
        </w:tc>
        <w:tc>
          <w:tcPr>
            <w:tcW w:w="738" w:type="dxa"/>
          </w:tcPr>
          <w:p w14:paraId="1E6CC1D9">
            <w:pPr>
              <w:spacing w:line="440" w:lineRule="exact"/>
              <w:jc w:val="center"/>
              <w:rPr>
                <w:color w:val="auto"/>
                <w:szCs w:val="21"/>
                <w:highlight w:val="none"/>
              </w:rPr>
            </w:pPr>
          </w:p>
        </w:tc>
        <w:tc>
          <w:tcPr>
            <w:tcW w:w="1212" w:type="dxa"/>
          </w:tcPr>
          <w:p w14:paraId="0375EFCA">
            <w:pPr>
              <w:spacing w:line="440" w:lineRule="exact"/>
              <w:jc w:val="center"/>
              <w:rPr>
                <w:color w:val="auto"/>
                <w:szCs w:val="21"/>
                <w:highlight w:val="none"/>
              </w:rPr>
            </w:pPr>
          </w:p>
        </w:tc>
        <w:tc>
          <w:tcPr>
            <w:tcW w:w="874" w:type="dxa"/>
          </w:tcPr>
          <w:p w14:paraId="5778005E">
            <w:pPr>
              <w:spacing w:line="440" w:lineRule="exact"/>
              <w:jc w:val="center"/>
              <w:rPr>
                <w:color w:val="auto"/>
                <w:szCs w:val="21"/>
                <w:highlight w:val="none"/>
              </w:rPr>
            </w:pPr>
          </w:p>
        </w:tc>
        <w:tc>
          <w:tcPr>
            <w:tcW w:w="1055" w:type="dxa"/>
          </w:tcPr>
          <w:p w14:paraId="01DD0200">
            <w:pPr>
              <w:spacing w:line="440" w:lineRule="exact"/>
              <w:jc w:val="center"/>
              <w:rPr>
                <w:color w:val="auto"/>
                <w:szCs w:val="21"/>
                <w:highlight w:val="none"/>
              </w:rPr>
            </w:pPr>
          </w:p>
        </w:tc>
        <w:tc>
          <w:tcPr>
            <w:tcW w:w="691" w:type="dxa"/>
          </w:tcPr>
          <w:p w14:paraId="66CC9AF2">
            <w:pPr>
              <w:spacing w:line="440" w:lineRule="exact"/>
              <w:jc w:val="center"/>
              <w:rPr>
                <w:color w:val="auto"/>
                <w:szCs w:val="21"/>
                <w:highlight w:val="none"/>
              </w:rPr>
            </w:pPr>
          </w:p>
        </w:tc>
      </w:tr>
      <w:tr w14:paraId="3195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247805A">
            <w:pPr>
              <w:spacing w:line="440" w:lineRule="exact"/>
              <w:jc w:val="center"/>
              <w:rPr>
                <w:color w:val="auto"/>
                <w:szCs w:val="21"/>
                <w:highlight w:val="none"/>
              </w:rPr>
            </w:pPr>
          </w:p>
        </w:tc>
        <w:tc>
          <w:tcPr>
            <w:tcW w:w="1086" w:type="dxa"/>
          </w:tcPr>
          <w:p w14:paraId="395750A7">
            <w:pPr>
              <w:spacing w:line="440" w:lineRule="exact"/>
              <w:jc w:val="center"/>
              <w:rPr>
                <w:color w:val="auto"/>
                <w:szCs w:val="21"/>
                <w:highlight w:val="none"/>
              </w:rPr>
            </w:pPr>
          </w:p>
        </w:tc>
        <w:tc>
          <w:tcPr>
            <w:tcW w:w="761" w:type="dxa"/>
          </w:tcPr>
          <w:p w14:paraId="3BEF71E9">
            <w:pPr>
              <w:spacing w:line="440" w:lineRule="exact"/>
              <w:jc w:val="center"/>
              <w:rPr>
                <w:color w:val="auto"/>
                <w:szCs w:val="21"/>
                <w:highlight w:val="none"/>
              </w:rPr>
            </w:pPr>
          </w:p>
        </w:tc>
        <w:tc>
          <w:tcPr>
            <w:tcW w:w="990" w:type="dxa"/>
          </w:tcPr>
          <w:p w14:paraId="754D535D">
            <w:pPr>
              <w:spacing w:line="440" w:lineRule="exact"/>
              <w:jc w:val="center"/>
              <w:rPr>
                <w:color w:val="auto"/>
                <w:szCs w:val="21"/>
                <w:highlight w:val="none"/>
              </w:rPr>
            </w:pPr>
          </w:p>
        </w:tc>
        <w:tc>
          <w:tcPr>
            <w:tcW w:w="672" w:type="dxa"/>
          </w:tcPr>
          <w:p w14:paraId="4B56A4AB">
            <w:pPr>
              <w:spacing w:line="440" w:lineRule="exact"/>
              <w:jc w:val="center"/>
              <w:rPr>
                <w:color w:val="auto"/>
                <w:szCs w:val="21"/>
                <w:highlight w:val="none"/>
              </w:rPr>
            </w:pPr>
          </w:p>
        </w:tc>
        <w:tc>
          <w:tcPr>
            <w:tcW w:w="738" w:type="dxa"/>
          </w:tcPr>
          <w:p w14:paraId="75C78143">
            <w:pPr>
              <w:spacing w:line="440" w:lineRule="exact"/>
              <w:jc w:val="center"/>
              <w:rPr>
                <w:color w:val="auto"/>
                <w:szCs w:val="21"/>
                <w:highlight w:val="none"/>
              </w:rPr>
            </w:pPr>
          </w:p>
        </w:tc>
        <w:tc>
          <w:tcPr>
            <w:tcW w:w="1212" w:type="dxa"/>
          </w:tcPr>
          <w:p w14:paraId="10A393F5">
            <w:pPr>
              <w:spacing w:line="440" w:lineRule="exact"/>
              <w:jc w:val="center"/>
              <w:rPr>
                <w:color w:val="auto"/>
                <w:szCs w:val="21"/>
                <w:highlight w:val="none"/>
              </w:rPr>
            </w:pPr>
          </w:p>
        </w:tc>
        <w:tc>
          <w:tcPr>
            <w:tcW w:w="874" w:type="dxa"/>
          </w:tcPr>
          <w:p w14:paraId="1AE688DA">
            <w:pPr>
              <w:spacing w:line="440" w:lineRule="exact"/>
              <w:jc w:val="center"/>
              <w:rPr>
                <w:color w:val="auto"/>
                <w:szCs w:val="21"/>
                <w:highlight w:val="none"/>
              </w:rPr>
            </w:pPr>
          </w:p>
        </w:tc>
        <w:tc>
          <w:tcPr>
            <w:tcW w:w="1055" w:type="dxa"/>
          </w:tcPr>
          <w:p w14:paraId="29F2E8D3">
            <w:pPr>
              <w:spacing w:line="440" w:lineRule="exact"/>
              <w:jc w:val="center"/>
              <w:rPr>
                <w:color w:val="auto"/>
                <w:szCs w:val="21"/>
                <w:highlight w:val="none"/>
              </w:rPr>
            </w:pPr>
          </w:p>
        </w:tc>
        <w:tc>
          <w:tcPr>
            <w:tcW w:w="691" w:type="dxa"/>
          </w:tcPr>
          <w:p w14:paraId="7C7D4020">
            <w:pPr>
              <w:spacing w:line="440" w:lineRule="exact"/>
              <w:jc w:val="center"/>
              <w:rPr>
                <w:color w:val="auto"/>
                <w:szCs w:val="21"/>
                <w:highlight w:val="none"/>
              </w:rPr>
            </w:pPr>
          </w:p>
        </w:tc>
      </w:tr>
      <w:tr w14:paraId="3ACD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930EED2">
            <w:pPr>
              <w:spacing w:line="440" w:lineRule="exact"/>
              <w:jc w:val="center"/>
              <w:rPr>
                <w:color w:val="auto"/>
                <w:szCs w:val="21"/>
                <w:highlight w:val="none"/>
              </w:rPr>
            </w:pPr>
          </w:p>
        </w:tc>
        <w:tc>
          <w:tcPr>
            <w:tcW w:w="1086" w:type="dxa"/>
          </w:tcPr>
          <w:p w14:paraId="2970E0CF">
            <w:pPr>
              <w:spacing w:line="440" w:lineRule="exact"/>
              <w:jc w:val="center"/>
              <w:rPr>
                <w:color w:val="auto"/>
                <w:szCs w:val="21"/>
                <w:highlight w:val="none"/>
              </w:rPr>
            </w:pPr>
          </w:p>
        </w:tc>
        <w:tc>
          <w:tcPr>
            <w:tcW w:w="761" w:type="dxa"/>
          </w:tcPr>
          <w:p w14:paraId="53541771">
            <w:pPr>
              <w:spacing w:line="440" w:lineRule="exact"/>
              <w:jc w:val="center"/>
              <w:rPr>
                <w:color w:val="auto"/>
                <w:szCs w:val="21"/>
                <w:highlight w:val="none"/>
              </w:rPr>
            </w:pPr>
          </w:p>
        </w:tc>
        <w:tc>
          <w:tcPr>
            <w:tcW w:w="990" w:type="dxa"/>
          </w:tcPr>
          <w:p w14:paraId="77A72553">
            <w:pPr>
              <w:spacing w:line="440" w:lineRule="exact"/>
              <w:jc w:val="center"/>
              <w:rPr>
                <w:color w:val="auto"/>
                <w:szCs w:val="21"/>
                <w:highlight w:val="none"/>
              </w:rPr>
            </w:pPr>
          </w:p>
        </w:tc>
        <w:tc>
          <w:tcPr>
            <w:tcW w:w="672" w:type="dxa"/>
          </w:tcPr>
          <w:p w14:paraId="189D5278">
            <w:pPr>
              <w:spacing w:line="440" w:lineRule="exact"/>
              <w:jc w:val="center"/>
              <w:rPr>
                <w:color w:val="auto"/>
                <w:szCs w:val="21"/>
                <w:highlight w:val="none"/>
              </w:rPr>
            </w:pPr>
          </w:p>
        </w:tc>
        <w:tc>
          <w:tcPr>
            <w:tcW w:w="738" w:type="dxa"/>
          </w:tcPr>
          <w:p w14:paraId="192A498D">
            <w:pPr>
              <w:spacing w:line="440" w:lineRule="exact"/>
              <w:jc w:val="center"/>
              <w:rPr>
                <w:color w:val="auto"/>
                <w:szCs w:val="21"/>
                <w:highlight w:val="none"/>
              </w:rPr>
            </w:pPr>
          </w:p>
        </w:tc>
        <w:tc>
          <w:tcPr>
            <w:tcW w:w="1212" w:type="dxa"/>
          </w:tcPr>
          <w:p w14:paraId="0376E746">
            <w:pPr>
              <w:spacing w:line="440" w:lineRule="exact"/>
              <w:jc w:val="center"/>
              <w:rPr>
                <w:color w:val="auto"/>
                <w:szCs w:val="21"/>
                <w:highlight w:val="none"/>
              </w:rPr>
            </w:pPr>
          </w:p>
        </w:tc>
        <w:tc>
          <w:tcPr>
            <w:tcW w:w="874" w:type="dxa"/>
          </w:tcPr>
          <w:p w14:paraId="6D342C5B">
            <w:pPr>
              <w:spacing w:line="440" w:lineRule="exact"/>
              <w:jc w:val="center"/>
              <w:rPr>
                <w:color w:val="auto"/>
                <w:szCs w:val="21"/>
                <w:highlight w:val="none"/>
              </w:rPr>
            </w:pPr>
          </w:p>
        </w:tc>
        <w:tc>
          <w:tcPr>
            <w:tcW w:w="1055" w:type="dxa"/>
          </w:tcPr>
          <w:p w14:paraId="3E77B298">
            <w:pPr>
              <w:spacing w:line="440" w:lineRule="exact"/>
              <w:jc w:val="center"/>
              <w:rPr>
                <w:color w:val="auto"/>
                <w:szCs w:val="21"/>
                <w:highlight w:val="none"/>
              </w:rPr>
            </w:pPr>
          </w:p>
        </w:tc>
        <w:tc>
          <w:tcPr>
            <w:tcW w:w="691" w:type="dxa"/>
          </w:tcPr>
          <w:p w14:paraId="6D9792CA">
            <w:pPr>
              <w:spacing w:line="440" w:lineRule="exact"/>
              <w:jc w:val="center"/>
              <w:rPr>
                <w:color w:val="auto"/>
                <w:szCs w:val="21"/>
                <w:highlight w:val="none"/>
              </w:rPr>
            </w:pPr>
          </w:p>
        </w:tc>
      </w:tr>
      <w:tr w14:paraId="0529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D524FDD">
            <w:pPr>
              <w:spacing w:line="440" w:lineRule="exact"/>
              <w:jc w:val="center"/>
              <w:rPr>
                <w:color w:val="auto"/>
                <w:szCs w:val="21"/>
                <w:highlight w:val="none"/>
              </w:rPr>
            </w:pPr>
          </w:p>
        </w:tc>
        <w:tc>
          <w:tcPr>
            <w:tcW w:w="1086" w:type="dxa"/>
          </w:tcPr>
          <w:p w14:paraId="23D329F6">
            <w:pPr>
              <w:spacing w:line="440" w:lineRule="exact"/>
              <w:jc w:val="center"/>
              <w:rPr>
                <w:color w:val="auto"/>
                <w:szCs w:val="21"/>
                <w:highlight w:val="none"/>
              </w:rPr>
            </w:pPr>
          </w:p>
        </w:tc>
        <w:tc>
          <w:tcPr>
            <w:tcW w:w="761" w:type="dxa"/>
          </w:tcPr>
          <w:p w14:paraId="7A3F1E8D">
            <w:pPr>
              <w:spacing w:line="440" w:lineRule="exact"/>
              <w:jc w:val="center"/>
              <w:rPr>
                <w:color w:val="auto"/>
                <w:szCs w:val="21"/>
                <w:highlight w:val="none"/>
              </w:rPr>
            </w:pPr>
          </w:p>
        </w:tc>
        <w:tc>
          <w:tcPr>
            <w:tcW w:w="990" w:type="dxa"/>
          </w:tcPr>
          <w:p w14:paraId="4EA119CE">
            <w:pPr>
              <w:spacing w:line="440" w:lineRule="exact"/>
              <w:jc w:val="center"/>
              <w:rPr>
                <w:color w:val="auto"/>
                <w:szCs w:val="21"/>
                <w:highlight w:val="none"/>
              </w:rPr>
            </w:pPr>
          </w:p>
        </w:tc>
        <w:tc>
          <w:tcPr>
            <w:tcW w:w="672" w:type="dxa"/>
          </w:tcPr>
          <w:p w14:paraId="350CDAB6">
            <w:pPr>
              <w:spacing w:line="440" w:lineRule="exact"/>
              <w:jc w:val="center"/>
              <w:rPr>
                <w:color w:val="auto"/>
                <w:szCs w:val="21"/>
                <w:highlight w:val="none"/>
              </w:rPr>
            </w:pPr>
          </w:p>
        </w:tc>
        <w:tc>
          <w:tcPr>
            <w:tcW w:w="738" w:type="dxa"/>
          </w:tcPr>
          <w:p w14:paraId="342F4311">
            <w:pPr>
              <w:spacing w:line="440" w:lineRule="exact"/>
              <w:jc w:val="center"/>
              <w:rPr>
                <w:color w:val="auto"/>
                <w:szCs w:val="21"/>
                <w:highlight w:val="none"/>
              </w:rPr>
            </w:pPr>
          </w:p>
        </w:tc>
        <w:tc>
          <w:tcPr>
            <w:tcW w:w="1212" w:type="dxa"/>
          </w:tcPr>
          <w:p w14:paraId="6EDF1682">
            <w:pPr>
              <w:spacing w:line="440" w:lineRule="exact"/>
              <w:jc w:val="center"/>
              <w:rPr>
                <w:color w:val="auto"/>
                <w:szCs w:val="21"/>
                <w:highlight w:val="none"/>
              </w:rPr>
            </w:pPr>
          </w:p>
        </w:tc>
        <w:tc>
          <w:tcPr>
            <w:tcW w:w="874" w:type="dxa"/>
          </w:tcPr>
          <w:p w14:paraId="4794BD59">
            <w:pPr>
              <w:spacing w:line="440" w:lineRule="exact"/>
              <w:jc w:val="center"/>
              <w:rPr>
                <w:color w:val="auto"/>
                <w:szCs w:val="21"/>
                <w:highlight w:val="none"/>
              </w:rPr>
            </w:pPr>
          </w:p>
        </w:tc>
        <w:tc>
          <w:tcPr>
            <w:tcW w:w="1055" w:type="dxa"/>
          </w:tcPr>
          <w:p w14:paraId="05A7F352">
            <w:pPr>
              <w:spacing w:line="440" w:lineRule="exact"/>
              <w:jc w:val="center"/>
              <w:rPr>
                <w:color w:val="auto"/>
                <w:szCs w:val="21"/>
                <w:highlight w:val="none"/>
              </w:rPr>
            </w:pPr>
          </w:p>
        </w:tc>
        <w:tc>
          <w:tcPr>
            <w:tcW w:w="691" w:type="dxa"/>
          </w:tcPr>
          <w:p w14:paraId="7C726B86">
            <w:pPr>
              <w:spacing w:line="440" w:lineRule="exact"/>
              <w:jc w:val="center"/>
              <w:rPr>
                <w:color w:val="auto"/>
                <w:szCs w:val="21"/>
                <w:highlight w:val="none"/>
              </w:rPr>
            </w:pPr>
          </w:p>
        </w:tc>
      </w:tr>
      <w:tr w14:paraId="37DE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B11890A">
            <w:pPr>
              <w:spacing w:line="440" w:lineRule="exact"/>
              <w:jc w:val="center"/>
              <w:rPr>
                <w:color w:val="auto"/>
                <w:szCs w:val="21"/>
                <w:highlight w:val="none"/>
              </w:rPr>
            </w:pPr>
          </w:p>
        </w:tc>
        <w:tc>
          <w:tcPr>
            <w:tcW w:w="1086" w:type="dxa"/>
          </w:tcPr>
          <w:p w14:paraId="17C21F7A">
            <w:pPr>
              <w:spacing w:line="440" w:lineRule="exact"/>
              <w:jc w:val="center"/>
              <w:rPr>
                <w:color w:val="auto"/>
                <w:szCs w:val="21"/>
                <w:highlight w:val="none"/>
              </w:rPr>
            </w:pPr>
          </w:p>
        </w:tc>
        <w:tc>
          <w:tcPr>
            <w:tcW w:w="761" w:type="dxa"/>
          </w:tcPr>
          <w:p w14:paraId="0C5C1D79">
            <w:pPr>
              <w:spacing w:line="440" w:lineRule="exact"/>
              <w:jc w:val="center"/>
              <w:rPr>
                <w:color w:val="auto"/>
                <w:szCs w:val="21"/>
                <w:highlight w:val="none"/>
              </w:rPr>
            </w:pPr>
          </w:p>
        </w:tc>
        <w:tc>
          <w:tcPr>
            <w:tcW w:w="990" w:type="dxa"/>
          </w:tcPr>
          <w:p w14:paraId="6FC56A68">
            <w:pPr>
              <w:spacing w:line="440" w:lineRule="exact"/>
              <w:jc w:val="center"/>
              <w:rPr>
                <w:color w:val="auto"/>
                <w:szCs w:val="21"/>
                <w:highlight w:val="none"/>
              </w:rPr>
            </w:pPr>
          </w:p>
        </w:tc>
        <w:tc>
          <w:tcPr>
            <w:tcW w:w="672" w:type="dxa"/>
          </w:tcPr>
          <w:p w14:paraId="291DBFC1">
            <w:pPr>
              <w:spacing w:line="440" w:lineRule="exact"/>
              <w:jc w:val="center"/>
              <w:rPr>
                <w:color w:val="auto"/>
                <w:szCs w:val="21"/>
                <w:highlight w:val="none"/>
              </w:rPr>
            </w:pPr>
          </w:p>
        </w:tc>
        <w:tc>
          <w:tcPr>
            <w:tcW w:w="738" w:type="dxa"/>
          </w:tcPr>
          <w:p w14:paraId="4A6540CC">
            <w:pPr>
              <w:spacing w:line="440" w:lineRule="exact"/>
              <w:jc w:val="center"/>
              <w:rPr>
                <w:color w:val="auto"/>
                <w:szCs w:val="21"/>
                <w:highlight w:val="none"/>
              </w:rPr>
            </w:pPr>
          </w:p>
        </w:tc>
        <w:tc>
          <w:tcPr>
            <w:tcW w:w="1212" w:type="dxa"/>
          </w:tcPr>
          <w:p w14:paraId="40DCE451">
            <w:pPr>
              <w:spacing w:line="440" w:lineRule="exact"/>
              <w:jc w:val="center"/>
              <w:rPr>
                <w:color w:val="auto"/>
                <w:szCs w:val="21"/>
                <w:highlight w:val="none"/>
              </w:rPr>
            </w:pPr>
          </w:p>
        </w:tc>
        <w:tc>
          <w:tcPr>
            <w:tcW w:w="874" w:type="dxa"/>
          </w:tcPr>
          <w:p w14:paraId="7BD30EB6">
            <w:pPr>
              <w:spacing w:line="440" w:lineRule="exact"/>
              <w:jc w:val="center"/>
              <w:rPr>
                <w:color w:val="auto"/>
                <w:szCs w:val="21"/>
                <w:highlight w:val="none"/>
              </w:rPr>
            </w:pPr>
          </w:p>
        </w:tc>
        <w:tc>
          <w:tcPr>
            <w:tcW w:w="1055" w:type="dxa"/>
          </w:tcPr>
          <w:p w14:paraId="0DA2C5FB">
            <w:pPr>
              <w:spacing w:line="440" w:lineRule="exact"/>
              <w:jc w:val="center"/>
              <w:rPr>
                <w:color w:val="auto"/>
                <w:szCs w:val="21"/>
                <w:highlight w:val="none"/>
              </w:rPr>
            </w:pPr>
          </w:p>
        </w:tc>
        <w:tc>
          <w:tcPr>
            <w:tcW w:w="691" w:type="dxa"/>
          </w:tcPr>
          <w:p w14:paraId="04191C5E">
            <w:pPr>
              <w:spacing w:line="440" w:lineRule="exact"/>
              <w:jc w:val="center"/>
              <w:rPr>
                <w:color w:val="auto"/>
                <w:szCs w:val="21"/>
                <w:highlight w:val="none"/>
              </w:rPr>
            </w:pPr>
          </w:p>
        </w:tc>
      </w:tr>
      <w:tr w14:paraId="2444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67FF45F">
            <w:pPr>
              <w:spacing w:line="440" w:lineRule="exact"/>
              <w:jc w:val="center"/>
              <w:rPr>
                <w:color w:val="auto"/>
                <w:szCs w:val="21"/>
                <w:highlight w:val="none"/>
              </w:rPr>
            </w:pPr>
          </w:p>
        </w:tc>
        <w:tc>
          <w:tcPr>
            <w:tcW w:w="1086" w:type="dxa"/>
          </w:tcPr>
          <w:p w14:paraId="63699305">
            <w:pPr>
              <w:spacing w:line="440" w:lineRule="exact"/>
              <w:jc w:val="center"/>
              <w:rPr>
                <w:color w:val="auto"/>
                <w:szCs w:val="21"/>
                <w:highlight w:val="none"/>
              </w:rPr>
            </w:pPr>
          </w:p>
        </w:tc>
        <w:tc>
          <w:tcPr>
            <w:tcW w:w="761" w:type="dxa"/>
          </w:tcPr>
          <w:p w14:paraId="5C18C31B">
            <w:pPr>
              <w:spacing w:line="440" w:lineRule="exact"/>
              <w:jc w:val="center"/>
              <w:rPr>
                <w:color w:val="auto"/>
                <w:szCs w:val="21"/>
                <w:highlight w:val="none"/>
              </w:rPr>
            </w:pPr>
          </w:p>
        </w:tc>
        <w:tc>
          <w:tcPr>
            <w:tcW w:w="990" w:type="dxa"/>
          </w:tcPr>
          <w:p w14:paraId="0BAB1ADA">
            <w:pPr>
              <w:spacing w:line="440" w:lineRule="exact"/>
              <w:jc w:val="center"/>
              <w:rPr>
                <w:color w:val="auto"/>
                <w:szCs w:val="21"/>
                <w:highlight w:val="none"/>
              </w:rPr>
            </w:pPr>
          </w:p>
        </w:tc>
        <w:tc>
          <w:tcPr>
            <w:tcW w:w="672" w:type="dxa"/>
          </w:tcPr>
          <w:p w14:paraId="2C017214">
            <w:pPr>
              <w:spacing w:line="440" w:lineRule="exact"/>
              <w:jc w:val="center"/>
              <w:rPr>
                <w:color w:val="auto"/>
                <w:szCs w:val="21"/>
                <w:highlight w:val="none"/>
              </w:rPr>
            </w:pPr>
          </w:p>
        </w:tc>
        <w:tc>
          <w:tcPr>
            <w:tcW w:w="738" w:type="dxa"/>
          </w:tcPr>
          <w:p w14:paraId="27189D54">
            <w:pPr>
              <w:spacing w:line="440" w:lineRule="exact"/>
              <w:jc w:val="center"/>
              <w:rPr>
                <w:color w:val="auto"/>
                <w:szCs w:val="21"/>
                <w:highlight w:val="none"/>
              </w:rPr>
            </w:pPr>
          </w:p>
        </w:tc>
        <w:tc>
          <w:tcPr>
            <w:tcW w:w="1212" w:type="dxa"/>
          </w:tcPr>
          <w:p w14:paraId="0BBF0512">
            <w:pPr>
              <w:spacing w:line="440" w:lineRule="exact"/>
              <w:jc w:val="center"/>
              <w:rPr>
                <w:color w:val="auto"/>
                <w:szCs w:val="21"/>
                <w:highlight w:val="none"/>
              </w:rPr>
            </w:pPr>
          </w:p>
        </w:tc>
        <w:tc>
          <w:tcPr>
            <w:tcW w:w="874" w:type="dxa"/>
          </w:tcPr>
          <w:p w14:paraId="218713F0">
            <w:pPr>
              <w:spacing w:line="440" w:lineRule="exact"/>
              <w:jc w:val="center"/>
              <w:rPr>
                <w:color w:val="auto"/>
                <w:szCs w:val="21"/>
                <w:highlight w:val="none"/>
              </w:rPr>
            </w:pPr>
          </w:p>
        </w:tc>
        <w:tc>
          <w:tcPr>
            <w:tcW w:w="1055" w:type="dxa"/>
          </w:tcPr>
          <w:p w14:paraId="78BF5257">
            <w:pPr>
              <w:spacing w:line="440" w:lineRule="exact"/>
              <w:jc w:val="center"/>
              <w:rPr>
                <w:color w:val="auto"/>
                <w:szCs w:val="21"/>
                <w:highlight w:val="none"/>
              </w:rPr>
            </w:pPr>
          </w:p>
        </w:tc>
        <w:tc>
          <w:tcPr>
            <w:tcW w:w="691" w:type="dxa"/>
          </w:tcPr>
          <w:p w14:paraId="6C30C163">
            <w:pPr>
              <w:spacing w:line="440" w:lineRule="exact"/>
              <w:jc w:val="center"/>
              <w:rPr>
                <w:color w:val="auto"/>
                <w:szCs w:val="21"/>
                <w:highlight w:val="none"/>
              </w:rPr>
            </w:pPr>
          </w:p>
        </w:tc>
      </w:tr>
      <w:tr w14:paraId="7174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C48CBB9">
            <w:pPr>
              <w:spacing w:line="440" w:lineRule="exact"/>
              <w:jc w:val="center"/>
              <w:rPr>
                <w:color w:val="auto"/>
                <w:szCs w:val="21"/>
                <w:highlight w:val="none"/>
              </w:rPr>
            </w:pPr>
          </w:p>
        </w:tc>
        <w:tc>
          <w:tcPr>
            <w:tcW w:w="1086" w:type="dxa"/>
          </w:tcPr>
          <w:p w14:paraId="6DCBCBA1">
            <w:pPr>
              <w:spacing w:line="440" w:lineRule="exact"/>
              <w:jc w:val="center"/>
              <w:rPr>
                <w:color w:val="auto"/>
                <w:szCs w:val="21"/>
                <w:highlight w:val="none"/>
              </w:rPr>
            </w:pPr>
          </w:p>
        </w:tc>
        <w:tc>
          <w:tcPr>
            <w:tcW w:w="761" w:type="dxa"/>
          </w:tcPr>
          <w:p w14:paraId="3C91CEF7">
            <w:pPr>
              <w:spacing w:line="440" w:lineRule="exact"/>
              <w:jc w:val="center"/>
              <w:rPr>
                <w:color w:val="auto"/>
                <w:szCs w:val="21"/>
                <w:highlight w:val="none"/>
              </w:rPr>
            </w:pPr>
          </w:p>
        </w:tc>
        <w:tc>
          <w:tcPr>
            <w:tcW w:w="990" w:type="dxa"/>
          </w:tcPr>
          <w:p w14:paraId="01AD569D">
            <w:pPr>
              <w:spacing w:line="440" w:lineRule="exact"/>
              <w:jc w:val="center"/>
              <w:rPr>
                <w:color w:val="auto"/>
                <w:szCs w:val="21"/>
                <w:highlight w:val="none"/>
              </w:rPr>
            </w:pPr>
          </w:p>
        </w:tc>
        <w:tc>
          <w:tcPr>
            <w:tcW w:w="672" w:type="dxa"/>
          </w:tcPr>
          <w:p w14:paraId="494482B8">
            <w:pPr>
              <w:spacing w:line="440" w:lineRule="exact"/>
              <w:jc w:val="center"/>
              <w:rPr>
                <w:color w:val="auto"/>
                <w:szCs w:val="21"/>
                <w:highlight w:val="none"/>
              </w:rPr>
            </w:pPr>
          </w:p>
        </w:tc>
        <w:tc>
          <w:tcPr>
            <w:tcW w:w="738" w:type="dxa"/>
          </w:tcPr>
          <w:p w14:paraId="41BF28CD">
            <w:pPr>
              <w:spacing w:line="440" w:lineRule="exact"/>
              <w:jc w:val="center"/>
              <w:rPr>
                <w:color w:val="auto"/>
                <w:szCs w:val="21"/>
                <w:highlight w:val="none"/>
              </w:rPr>
            </w:pPr>
          </w:p>
        </w:tc>
        <w:tc>
          <w:tcPr>
            <w:tcW w:w="1212" w:type="dxa"/>
          </w:tcPr>
          <w:p w14:paraId="02FBC9DC">
            <w:pPr>
              <w:spacing w:line="440" w:lineRule="exact"/>
              <w:jc w:val="center"/>
              <w:rPr>
                <w:color w:val="auto"/>
                <w:szCs w:val="21"/>
                <w:highlight w:val="none"/>
              </w:rPr>
            </w:pPr>
          </w:p>
        </w:tc>
        <w:tc>
          <w:tcPr>
            <w:tcW w:w="874" w:type="dxa"/>
          </w:tcPr>
          <w:p w14:paraId="7FE895F5">
            <w:pPr>
              <w:spacing w:line="440" w:lineRule="exact"/>
              <w:jc w:val="center"/>
              <w:rPr>
                <w:color w:val="auto"/>
                <w:szCs w:val="21"/>
                <w:highlight w:val="none"/>
              </w:rPr>
            </w:pPr>
          </w:p>
        </w:tc>
        <w:tc>
          <w:tcPr>
            <w:tcW w:w="1055" w:type="dxa"/>
          </w:tcPr>
          <w:p w14:paraId="58A4E3EC">
            <w:pPr>
              <w:spacing w:line="440" w:lineRule="exact"/>
              <w:jc w:val="center"/>
              <w:rPr>
                <w:color w:val="auto"/>
                <w:szCs w:val="21"/>
                <w:highlight w:val="none"/>
              </w:rPr>
            </w:pPr>
          </w:p>
        </w:tc>
        <w:tc>
          <w:tcPr>
            <w:tcW w:w="691" w:type="dxa"/>
          </w:tcPr>
          <w:p w14:paraId="67098A77">
            <w:pPr>
              <w:spacing w:line="440" w:lineRule="exact"/>
              <w:jc w:val="center"/>
              <w:rPr>
                <w:color w:val="auto"/>
                <w:szCs w:val="21"/>
                <w:highlight w:val="none"/>
              </w:rPr>
            </w:pPr>
          </w:p>
        </w:tc>
      </w:tr>
      <w:tr w14:paraId="1002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14:paraId="05190619">
            <w:pPr>
              <w:spacing w:line="440" w:lineRule="exact"/>
              <w:jc w:val="center"/>
              <w:rPr>
                <w:color w:val="auto"/>
                <w:szCs w:val="21"/>
                <w:highlight w:val="none"/>
              </w:rPr>
            </w:pPr>
          </w:p>
        </w:tc>
        <w:tc>
          <w:tcPr>
            <w:tcW w:w="1086" w:type="dxa"/>
          </w:tcPr>
          <w:p w14:paraId="79D3262C">
            <w:pPr>
              <w:spacing w:line="440" w:lineRule="exact"/>
              <w:jc w:val="center"/>
              <w:rPr>
                <w:color w:val="auto"/>
                <w:szCs w:val="21"/>
                <w:highlight w:val="none"/>
              </w:rPr>
            </w:pPr>
          </w:p>
        </w:tc>
        <w:tc>
          <w:tcPr>
            <w:tcW w:w="761" w:type="dxa"/>
          </w:tcPr>
          <w:p w14:paraId="2CA14C57">
            <w:pPr>
              <w:spacing w:line="440" w:lineRule="exact"/>
              <w:jc w:val="center"/>
              <w:rPr>
                <w:color w:val="auto"/>
                <w:szCs w:val="21"/>
                <w:highlight w:val="none"/>
              </w:rPr>
            </w:pPr>
          </w:p>
        </w:tc>
        <w:tc>
          <w:tcPr>
            <w:tcW w:w="990" w:type="dxa"/>
          </w:tcPr>
          <w:p w14:paraId="294F7790">
            <w:pPr>
              <w:spacing w:line="440" w:lineRule="exact"/>
              <w:jc w:val="center"/>
              <w:rPr>
                <w:color w:val="auto"/>
                <w:szCs w:val="21"/>
                <w:highlight w:val="none"/>
              </w:rPr>
            </w:pPr>
          </w:p>
        </w:tc>
        <w:tc>
          <w:tcPr>
            <w:tcW w:w="672" w:type="dxa"/>
          </w:tcPr>
          <w:p w14:paraId="2B6FA3F9">
            <w:pPr>
              <w:spacing w:line="440" w:lineRule="exact"/>
              <w:jc w:val="center"/>
              <w:rPr>
                <w:color w:val="auto"/>
                <w:szCs w:val="21"/>
                <w:highlight w:val="none"/>
              </w:rPr>
            </w:pPr>
          </w:p>
        </w:tc>
        <w:tc>
          <w:tcPr>
            <w:tcW w:w="738" w:type="dxa"/>
          </w:tcPr>
          <w:p w14:paraId="1E1EEDB1">
            <w:pPr>
              <w:spacing w:line="440" w:lineRule="exact"/>
              <w:jc w:val="center"/>
              <w:rPr>
                <w:color w:val="auto"/>
                <w:szCs w:val="21"/>
                <w:highlight w:val="none"/>
              </w:rPr>
            </w:pPr>
          </w:p>
        </w:tc>
        <w:tc>
          <w:tcPr>
            <w:tcW w:w="1212" w:type="dxa"/>
          </w:tcPr>
          <w:p w14:paraId="19013B4B">
            <w:pPr>
              <w:spacing w:line="440" w:lineRule="exact"/>
              <w:jc w:val="center"/>
              <w:rPr>
                <w:color w:val="auto"/>
                <w:szCs w:val="21"/>
                <w:highlight w:val="none"/>
              </w:rPr>
            </w:pPr>
          </w:p>
        </w:tc>
        <w:tc>
          <w:tcPr>
            <w:tcW w:w="874" w:type="dxa"/>
          </w:tcPr>
          <w:p w14:paraId="7F2224A5">
            <w:pPr>
              <w:spacing w:line="440" w:lineRule="exact"/>
              <w:jc w:val="center"/>
              <w:rPr>
                <w:color w:val="auto"/>
                <w:szCs w:val="21"/>
                <w:highlight w:val="none"/>
              </w:rPr>
            </w:pPr>
          </w:p>
        </w:tc>
        <w:tc>
          <w:tcPr>
            <w:tcW w:w="1055" w:type="dxa"/>
          </w:tcPr>
          <w:p w14:paraId="20CE9237">
            <w:pPr>
              <w:spacing w:line="440" w:lineRule="exact"/>
              <w:jc w:val="center"/>
              <w:rPr>
                <w:color w:val="auto"/>
                <w:szCs w:val="21"/>
                <w:highlight w:val="none"/>
              </w:rPr>
            </w:pPr>
          </w:p>
        </w:tc>
        <w:tc>
          <w:tcPr>
            <w:tcW w:w="691" w:type="dxa"/>
          </w:tcPr>
          <w:p w14:paraId="01BA18C7">
            <w:pPr>
              <w:spacing w:line="440" w:lineRule="exact"/>
              <w:jc w:val="center"/>
              <w:rPr>
                <w:color w:val="auto"/>
                <w:szCs w:val="21"/>
                <w:highlight w:val="none"/>
              </w:rPr>
            </w:pPr>
          </w:p>
        </w:tc>
      </w:tr>
      <w:tr w14:paraId="5B65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31F61B3">
            <w:pPr>
              <w:spacing w:line="440" w:lineRule="exact"/>
              <w:jc w:val="center"/>
              <w:rPr>
                <w:color w:val="auto"/>
                <w:szCs w:val="21"/>
                <w:highlight w:val="none"/>
              </w:rPr>
            </w:pPr>
          </w:p>
        </w:tc>
        <w:tc>
          <w:tcPr>
            <w:tcW w:w="1086" w:type="dxa"/>
          </w:tcPr>
          <w:p w14:paraId="06189E58">
            <w:pPr>
              <w:spacing w:line="440" w:lineRule="exact"/>
              <w:jc w:val="center"/>
              <w:rPr>
                <w:color w:val="auto"/>
                <w:szCs w:val="21"/>
                <w:highlight w:val="none"/>
              </w:rPr>
            </w:pPr>
          </w:p>
        </w:tc>
        <w:tc>
          <w:tcPr>
            <w:tcW w:w="761" w:type="dxa"/>
          </w:tcPr>
          <w:p w14:paraId="5DEBEA06">
            <w:pPr>
              <w:spacing w:line="440" w:lineRule="exact"/>
              <w:jc w:val="center"/>
              <w:rPr>
                <w:color w:val="auto"/>
                <w:szCs w:val="21"/>
                <w:highlight w:val="none"/>
              </w:rPr>
            </w:pPr>
          </w:p>
        </w:tc>
        <w:tc>
          <w:tcPr>
            <w:tcW w:w="990" w:type="dxa"/>
          </w:tcPr>
          <w:p w14:paraId="24A06D4F">
            <w:pPr>
              <w:spacing w:line="440" w:lineRule="exact"/>
              <w:jc w:val="center"/>
              <w:rPr>
                <w:color w:val="auto"/>
                <w:szCs w:val="21"/>
                <w:highlight w:val="none"/>
              </w:rPr>
            </w:pPr>
          </w:p>
        </w:tc>
        <w:tc>
          <w:tcPr>
            <w:tcW w:w="672" w:type="dxa"/>
          </w:tcPr>
          <w:p w14:paraId="0632F5FE">
            <w:pPr>
              <w:spacing w:line="440" w:lineRule="exact"/>
              <w:jc w:val="center"/>
              <w:rPr>
                <w:color w:val="auto"/>
                <w:szCs w:val="21"/>
                <w:highlight w:val="none"/>
              </w:rPr>
            </w:pPr>
          </w:p>
        </w:tc>
        <w:tc>
          <w:tcPr>
            <w:tcW w:w="738" w:type="dxa"/>
          </w:tcPr>
          <w:p w14:paraId="6A14C943">
            <w:pPr>
              <w:spacing w:line="440" w:lineRule="exact"/>
              <w:jc w:val="center"/>
              <w:rPr>
                <w:color w:val="auto"/>
                <w:szCs w:val="21"/>
                <w:highlight w:val="none"/>
              </w:rPr>
            </w:pPr>
          </w:p>
        </w:tc>
        <w:tc>
          <w:tcPr>
            <w:tcW w:w="1212" w:type="dxa"/>
          </w:tcPr>
          <w:p w14:paraId="1F910BD8">
            <w:pPr>
              <w:spacing w:line="440" w:lineRule="exact"/>
              <w:jc w:val="center"/>
              <w:rPr>
                <w:color w:val="auto"/>
                <w:szCs w:val="21"/>
                <w:highlight w:val="none"/>
              </w:rPr>
            </w:pPr>
          </w:p>
        </w:tc>
        <w:tc>
          <w:tcPr>
            <w:tcW w:w="874" w:type="dxa"/>
          </w:tcPr>
          <w:p w14:paraId="2396F5E2">
            <w:pPr>
              <w:spacing w:line="440" w:lineRule="exact"/>
              <w:jc w:val="center"/>
              <w:rPr>
                <w:color w:val="auto"/>
                <w:szCs w:val="21"/>
                <w:highlight w:val="none"/>
              </w:rPr>
            </w:pPr>
          </w:p>
        </w:tc>
        <w:tc>
          <w:tcPr>
            <w:tcW w:w="1055" w:type="dxa"/>
          </w:tcPr>
          <w:p w14:paraId="15714170">
            <w:pPr>
              <w:spacing w:line="440" w:lineRule="exact"/>
              <w:jc w:val="center"/>
              <w:rPr>
                <w:color w:val="auto"/>
                <w:szCs w:val="21"/>
                <w:highlight w:val="none"/>
              </w:rPr>
            </w:pPr>
          </w:p>
        </w:tc>
        <w:tc>
          <w:tcPr>
            <w:tcW w:w="691" w:type="dxa"/>
          </w:tcPr>
          <w:p w14:paraId="24B18500">
            <w:pPr>
              <w:spacing w:line="440" w:lineRule="exact"/>
              <w:jc w:val="center"/>
              <w:rPr>
                <w:color w:val="auto"/>
                <w:szCs w:val="21"/>
                <w:highlight w:val="none"/>
              </w:rPr>
            </w:pPr>
          </w:p>
        </w:tc>
      </w:tr>
      <w:tr w14:paraId="45E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B4AFA7D">
            <w:pPr>
              <w:spacing w:line="440" w:lineRule="exact"/>
              <w:jc w:val="center"/>
              <w:rPr>
                <w:color w:val="auto"/>
                <w:szCs w:val="21"/>
                <w:highlight w:val="none"/>
              </w:rPr>
            </w:pPr>
          </w:p>
        </w:tc>
        <w:tc>
          <w:tcPr>
            <w:tcW w:w="1086" w:type="dxa"/>
          </w:tcPr>
          <w:p w14:paraId="38D35DF2">
            <w:pPr>
              <w:spacing w:line="440" w:lineRule="exact"/>
              <w:jc w:val="center"/>
              <w:rPr>
                <w:color w:val="auto"/>
                <w:szCs w:val="21"/>
                <w:highlight w:val="none"/>
              </w:rPr>
            </w:pPr>
          </w:p>
        </w:tc>
        <w:tc>
          <w:tcPr>
            <w:tcW w:w="761" w:type="dxa"/>
          </w:tcPr>
          <w:p w14:paraId="567C8A91">
            <w:pPr>
              <w:spacing w:line="440" w:lineRule="exact"/>
              <w:jc w:val="center"/>
              <w:rPr>
                <w:color w:val="auto"/>
                <w:szCs w:val="21"/>
                <w:highlight w:val="none"/>
              </w:rPr>
            </w:pPr>
          </w:p>
        </w:tc>
        <w:tc>
          <w:tcPr>
            <w:tcW w:w="990" w:type="dxa"/>
          </w:tcPr>
          <w:p w14:paraId="45F3FE35">
            <w:pPr>
              <w:spacing w:line="440" w:lineRule="exact"/>
              <w:jc w:val="center"/>
              <w:rPr>
                <w:color w:val="auto"/>
                <w:szCs w:val="21"/>
                <w:highlight w:val="none"/>
              </w:rPr>
            </w:pPr>
          </w:p>
        </w:tc>
        <w:tc>
          <w:tcPr>
            <w:tcW w:w="672" w:type="dxa"/>
          </w:tcPr>
          <w:p w14:paraId="648E0B19">
            <w:pPr>
              <w:spacing w:line="440" w:lineRule="exact"/>
              <w:jc w:val="center"/>
              <w:rPr>
                <w:color w:val="auto"/>
                <w:szCs w:val="21"/>
                <w:highlight w:val="none"/>
              </w:rPr>
            </w:pPr>
          </w:p>
        </w:tc>
        <w:tc>
          <w:tcPr>
            <w:tcW w:w="738" w:type="dxa"/>
          </w:tcPr>
          <w:p w14:paraId="13C41D1C">
            <w:pPr>
              <w:spacing w:line="440" w:lineRule="exact"/>
              <w:jc w:val="center"/>
              <w:rPr>
                <w:color w:val="auto"/>
                <w:szCs w:val="21"/>
                <w:highlight w:val="none"/>
              </w:rPr>
            </w:pPr>
          </w:p>
        </w:tc>
        <w:tc>
          <w:tcPr>
            <w:tcW w:w="1212" w:type="dxa"/>
          </w:tcPr>
          <w:p w14:paraId="22B797B6">
            <w:pPr>
              <w:spacing w:line="440" w:lineRule="exact"/>
              <w:jc w:val="center"/>
              <w:rPr>
                <w:color w:val="auto"/>
                <w:szCs w:val="21"/>
                <w:highlight w:val="none"/>
              </w:rPr>
            </w:pPr>
          </w:p>
        </w:tc>
        <w:tc>
          <w:tcPr>
            <w:tcW w:w="874" w:type="dxa"/>
          </w:tcPr>
          <w:p w14:paraId="7A399F7E">
            <w:pPr>
              <w:spacing w:line="440" w:lineRule="exact"/>
              <w:jc w:val="center"/>
              <w:rPr>
                <w:color w:val="auto"/>
                <w:szCs w:val="21"/>
                <w:highlight w:val="none"/>
              </w:rPr>
            </w:pPr>
          </w:p>
        </w:tc>
        <w:tc>
          <w:tcPr>
            <w:tcW w:w="1055" w:type="dxa"/>
          </w:tcPr>
          <w:p w14:paraId="6F450BF4">
            <w:pPr>
              <w:spacing w:line="440" w:lineRule="exact"/>
              <w:jc w:val="center"/>
              <w:rPr>
                <w:color w:val="auto"/>
                <w:szCs w:val="21"/>
                <w:highlight w:val="none"/>
              </w:rPr>
            </w:pPr>
          </w:p>
        </w:tc>
        <w:tc>
          <w:tcPr>
            <w:tcW w:w="691" w:type="dxa"/>
          </w:tcPr>
          <w:p w14:paraId="18E7CF4E">
            <w:pPr>
              <w:spacing w:line="440" w:lineRule="exact"/>
              <w:jc w:val="center"/>
              <w:rPr>
                <w:color w:val="auto"/>
                <w:szCs w:val="21"/>
                <w:highlight w:val="none"/>
              </w:rPr>
            </w:pPr>
          </w:p>
        </w:tc>
      </w:tr>
      <w:tr w14:paraId="669A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B3ABE30">
            <w:pPr>
              <w:spacing w:line="440" w:lineRule="exact"/>
              <w:jc w:val="center"/>
              <w:rPr>
                <w:color w:val="auto"/>
                <w:szCs w:val="21"/>
                <w:highlight w:val="none"/>
              </w:rPr>
            </w:pPr>
          </w:p>
        </w:tc>
        <w:tc>
          <w:tcPr>
            <w:tcW w:w="1086" w:type="dxa"/>
          </w:tcPr>
          <w:p w14:paraId="6F4DA20C">
            <w:pPr>
              <w:spacing w:line="440" w:lineRule="exact"/>
              <w:jc w:val="center"/>
              <w:rPr>
                <w:color w:val="auto"/>
                <w:szCs w:val="21"/>
                <w:highlight w:val="none"/>
              </w:rPr>
            </w:pPr>
          </w:p>
        </w:tc>
        <w:tc>
          <w:tcPr>
            <w:tcW w:w="761" w:type="dxa"/>
          </w:tcPr>
          <w:p w14:paraId="0CA09B2A">
            <w:pPr>
              <w:spacing w:line="440" w:lineRule="exact"/>
              <w:jc w:val="center"/>
              <w:rPr>
                <w:color w:val="auto"/>
                <w:szCs w:val="21"/>
                <w:highlight w:val="none"/>
              </w:rPr>
            </w:pPr>
          </w:p>
        </w:tc>
        <w:tc>
          <w:tcPr>
            <w:tcW w:w="990" w:type="dxa"/>
          </w:tcPr>
          <w:p w14:paraId="31B350D7">
            <w:pPr>
              <w:spacing w:line="440" w:lineRule="exact"/>
              <w:jc w:val="center"/>
              <w:rPr>
                <w:color w:val="auto"/>
                <w:szCs w:val="21"/>
                <w:highlight w:val="none"/>
              </w:rPr>
            </w:pPr>
          </w:p>
        </w:tc>
        <w:tc>
          <w:tcPr>
            <w:tcW w:w="672" w:type="dxa"/>
          </w:tcPr>
          <w:p w14:paraId="003CDEDF">
            <w:pPr>
              <w:spacing w:line="440" w:lineRule="exact"/>
              <w:jc w:val="center"/>
              <w:rPr>
                <w:color w:val="auto"/>
                <w:szCs w:val="21"/>
                <w:highlight w:val="none"/>
              </w:rPr>
            </w:pPr>
          </w:p>
        </w:tc>
        <w:tc>
          <w:tcPr>
            <w:tcW w:w="738" w:type="dxa"/>
          </w:tcPr>
          <w:p w14:paraId="6425E35C">
            <w:pPr>
              <w:spacing w:line="440" w:lineRule="exact"/>
              <w:jc w:val="center"/>
              <w:rPr>
                <w:color w:val="auto"/>
                <w:szCs w:val="21"/>
                <w:highlight w:val="none"/>
              </w:rPr>
            </w:pPr>
          </w:p>
        </w:tc>
        <w:tc>
          <w:tcPr>
            <w:tcW w:w="1212" w:type="dxa"/>
          </w:tcPr>
          <w:p w14:paraId="672AFEE7">
            <w:pPr>
              <w:spacing w:line="440" w:lineRule="exact"/>
              <w:jc w:val="center"/>
              <w:rPr>
                <w:color w:val="auto"/>
                <w:szCs w:val="21"/>
                <w:highlight w:val="none"/>
              </w:rPr>
            </w:pPr>
          </w:p>
        </w:tc>
        <w:tc>
          <w:tcPr>
            <w:tcW w:w="874" w:type="dxa"/>
          </w:tcPr>
          <w:p w14:paraId="72107690">
            <w:pPr>
              <w:spacing w:line="440" w:lineRule="exact"/>
              <w:jc w:val="center"/>
              <w:rPr>
                <w:color w:val="auto"/>
                <w:szCs w:val="21"/>
                <w:highlight w:val="none"/>
              </w:rPr>
            </w:pPr>
          </w:p>
        </w:tc>
        <w:tc>
          <w:tcPr>
            <w:tcW w:w="1055" w:type="dxa"/>
          </w:tcPr>
          <w:p w14:paraId="2D11EC97">
            <w:pPr>
              <w:spacing w:line="440" w:lineRule="exact"/>
              <w:jc w:val="center"/>
              <w:rPr>
                <w:color w:val="auto"/>
                <w:szCs w:val="21"/>
                <w:highlight w:val="none"/>
              </w:rPr>
            </w:pPr>
          </w:p>
        </w:tc>
        <w:tc>
          <w:tcPr>
            <w:tcW w:w="691" w:type="dxa"/>
          </w:tcPr>
          <w:p w14:paraId="66C53539">
            <w:pPr>
              <w:spacing w:line="440" w:lineRule="exact"/>
              <w:jc w:val="center"/>
              <w:rPr>
                <w:color w:val="auto"/>
                <w:szCs w:val="21"/>
                <w:highlight w:val="none"/>
              </w:rPr>
            </w:pPr>
          </w:p>
        </w:tc>
      </w:tr>
      <w:tr w14:paraId="1705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9E2392F">
            <w:pPr>
              <w:spacing w:line="440" w:lineRule="exact"/>
              <w:jc w:val="center"/>
              <w:rPr>
                <w:color w:val="auto"/>
                <w:szCs w:val="21"/>
                <w:highlight w:val="none"/>
              </w:rPr>
            </w:pPr>
          </w:p>
        </w:tc>
        <w:tc>
          <w:tcPr>
            <w:tcW w:w="1086" w:type="dxa"/>
          </w:tcPr>
          <w:p w14:paraId="62CE3C38">
            <w:pPr>
              <w:spacing w:line="440" w:lineRule="exact"/>
              <w:jc w:val="center"/>
              <w:rPr>
                <w:color w:val="auto"/>
                <w:szCs w:val="21"/>
                <w:highlight w:val="none"/>
              </w:rPr>
            </w:pPr>
          </w:p>
        </w:tc>
        <w:tc>
          <w:tcPr>
            <w:tcW w:w="761" w:type="dxa"/>
          </w:tcPr>
          <w:p w14:paraId="59665D9B">
            <w:pPr>
              <w:spacing w:line="440" w:lineRule="exact"/>
              <w:jc w:val="center"/>
              <w:rPr>
                <w:color w:val="auto"/>
                <w:szCs w:val="21"/>
                <w:highlight w:val="none"/>
              </w:rPr>
            </w:pPr>
          </w:p>
        </w:tc>
        <w:tc>
          <w:tcPr>
            <w:tcW w:w="990" w:type="dxa"/>
          </w:tcPr>
          <w:p w14:paraId="5F3E115E">
            <w:pPr>
              <w:spacing w:line="440" w:lineRule="exact"/>
              <w:jc w:val="center"/>
              <w:rPr>
                <w:color w:val="auto"/>
                <w:szCs w:val="21"/>
                <w:highlight w:val="none"/>
              </w:rPr>
            </w:pPr>
          </w:p>
        </w:tc>
        <w:tc>
          <w:tcPr>
            <w:tcW w:w="672" w:type="dxa"/>
          </w:tcPr>
          <w:p w14:paraId="779364AD">
            <w:pPr>
              <w:spacing w:line="440" w:lineRule="exact"/>
              <w:jc w:val="center"/>
              <w:rPr>
                <w:color w:val="auto"/>
                <w:szCs w:val="21"/>
                <w:highlight w:val="none"/>
              </w:rPr>
            </w:pPr>
          </w:p>
        </w:tc>
        <w:tc>
          <w:tcPr>
            <w:tcW w:w="738" w:type="dxa"/>
          </w:tcPr>
          <w:p w14:paraId="0C4CEFF3">
            <w:pPr>
              <w:spacing w:line="440" w:lineRule="exact"/>
              <w:jc w:val="center"/>
              <w:rPr>
                <w:color w:val="auto"/>
                <w:szCs w:val="21"/>
                <w:highlight w:val="none"/>
              </w:rPr>
            </w:pPr>
          </w:p>
        </w:tc>
        <w:tc>
          <w:tcPr>
            <w:tcW w:w="1212" w:type="dxa"/>
          </w:tcPr>
          <w:p w14:paraId="136998D1">
            <w:pPr>
              <w:spacing w:line="440" w:lineRule="exact"/>
              <w:jc w:val="center"/>
              <w:rPr>
                <w:color w:val="auto"/>
                <w:szCs w:val="21"/>
                <w:highlight w:val="none"/>
              </w:rPr>
            </w:pPr>
          </w:p>
        </w:tc>
        <w:tc>
          <w:tcPr>
            <w:tcW w:w="874" w:type="dxa"/>
          </w:tcPr>
          <w:p w14:paraId="498D58D9">
            <w:pPr>
              <w:spacing w:line="440" w:lineRule="exact"/>
              <w:jc w:val="center"/>
              <w:rPr>
                <w:color w:val="auto"/>
                <w:szCs w:val="21"/>
                <w:highlight w:val="none"/>
              </w:rPr>
            </w:pPr>
          </w:p>
        </w:tc>
        <w:tc>
          <w:tcPr>
            <w:tcW w:w="1055" w:type="dxa"/>
          </w:tcPr>
          <w:p w14:paraId="6C93A7DE">
            <w:pPr>
              <w:spacing w:line="440" w:lineRule="exact"/>
              <w:jc w:val="center"/>
              <w:rPr>
                <w:color w:val="auto"/>
                <w:szCs w:val="21"/>
                <w:highlight w:val="none"/>
              </w:rPr>
            </w:pPr>
          </w:p>
        </w:tc>
        <w:tc>
          <w:tcPr>
            <w:tcW w:w="691" w:type="dxa"/>
          </w:tcPr>
          <w:p w14:paraId="787D3CDB">
            <w:pPr>
              <w:spacing w:line="440" w:lineRule="exact"/>
              <w:jc w:val="center"/>
              <w:rPr>
                <w:color w:val="auto"/>
                <w:szCs w:val="21"/>
                <w:highlight w:val="none"/>
              </w:rPr>
            </w:pPr>
          </w:p>
        </w:tc>
      </w:tr>
      <w:tr w14:paraId="3D1F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F483D89">
            <w:pPr>
              <w:spacing w:line="440" w:lineRule="exact"/>
              <w:jc w:val="center"/>
              <w:rPr>
                <w:color w:val="auto"/>
                <w:szCs w:val="21"/>
                <w:highlight w:val="none"/>
              </w:rPr>
            </w:pPr>
          </w:p>
        </w:tc>
        <w:tc>
          <w:tcPr>
            <w:tcW w:w="1086" w:type="dxa"/>
          </w:tcPr>
          <w:p w14:paraId="6A6CC36D">
            <w:pPr>
              <w:spacing w:line="440" w:lineRule="exact"/>
              <w:jc w:val="center"/>
              <w:rPr>
                <w:color w:val="auto"/>
                <w:szCs w:val="21"/>
                <w:highlight w:val="none"/>
              </w:rPr>
            </w:pPr>
          </w:p>
        </w:tc>
        <w:tc>
          <w:tcPr>
            <w:tcW w:w="761" w:type="dxa"/>
          </w:tcPr>
          <w:p w14:paraId="6A61558E">
            <w:pPr>
              <w:spacing w:line="440" w:lineRule="exact"/>
              <w:jc w:val="center"/>
              <w:rPr>
                <w:color w:val="auto"/>
                <w:szCs w:val="21"/>
                <w:highlight w:val="none"/>
              </w:rPr>
            </w:pPr>
          </w:p>
        </w:tc>
        <w:tc>
          <w:tcPr>
            <w:tcW w:w="990" w:type="dxa"/>
          </w:tcPr>
          <w:p w14:paraId="1B8EC774">
            <w:pPr>
              <w:spacing w:line="440" w:lineRule="exact"/>
              <w:jc w:val="center"/>
              <w:rPr>
                <w:color w:val="auto"/>
                <w:szCs w:val="21"/>
                <w:highlight w:val="none"/>
              </w:rPr>
            </w:pPr>
          </w:p>
        </w:tc>
        <w:tc>
          <w:tcPr>
            <w:tcW w:w="672" w:type="dxa"/>
          </w:tcPr>
          <w:p w14:paraId="32F9CC0F">
            <w:pPr>
              <w:spacing w:line="440" w:lineRule="exact"/>
              <w:jc w:val="center"/>
              <w:rPr>
                <w:color w:val="auto"/>
                <w:szCs w:val="21"/>
                <w:highlight w:val="none"/>
              </w:rPr>
            </w:pPr>
          </w:p>
        </w:tc>
        <w:tc>
          <w:tcPr>
            <w:tcW w:w="738" w:type="dxa"/>
          </w:tcPr>
          <w:p w14:paraId="048EEEF8">
            <w:pPr>
              <w:spacing w:line="440" w:lineRule="exact"/>
              <w:jc w:val="center"/>
              <w:rPr>
                <w:color w:val="auto"/>
                <w:szCs w:val="21"/>
                <w:highlight w:val="none"/>
              </w:rPr>
            </w:pPr>
          </w:p>
        </w:tc>
        <w:tc>
          <w:tcPr>
            <w:tcW w:w="1212" w:type="dxa"/>
          </w:tcPr>
          <w:p w14:paraId="00E68B5B">
            <w:pPr>
              <w:spacing w:line="440" w:lineRule="exact"/>
              <w:jc w:val="center"/>
              <w:rPr>
                <w:color w:val="auto"/>
                <w:szCs w:val="21"/>
                <w:highlight w:val="none"/>
              </w:rPr>
            </w:pPr>
          </w:p>
        </w:tc>
        <w:tc>
          <w:tcPr>
            <w:tcW w:w="874" w:type="dxa"/>
          </w:tcPr>
          <w:p w14:paraId="5CFD63CF">
            <w:pPr>
              <w:spacing w:line="440" w:lineRule="exact"/>
              <w:jc w:val="center"/>
              <w:rPr>
                <w:color w:val="auto"/>
                <w:szCs w:val="21"/>
                <w:highlight w:val="none"/>
              </w:rPr>
            </w:pPr>
          </w:p>
        </w:tc>
        <w:tc>
          <w:tcPr>
            <w:tcW w:w="1055" w:type="dxa"/>
          </w:tcPr>
          <w:p w14:paraId="5ACC774F">
            <w:pPr>
              <w:spacing w:line="440" w:lineRule="exact"/>
              <w:jc w:val="center"/>
              <w:rPr>
                <w:color w:val="auto"/>
                <w:szCs w:val="21"/>
                <w:highlight w:val="none"/>
              </w:rPr>
            </w:pPr>
          </w:p>
        </w:tc>
        <w:tc>
          <w:tcPr>
            <w:tcW w:w="691" w:type="dxa"/>
          </w:tcPr>
          <w:p w14:paraId="16AC79F1">
            <w:pPr>
              <w:spacing w:line="440" w:lineRule="exact"/>
              <w:jc w:val="center"/>
              <w:rPr>
                <w:color w:val="auto"/>
                <w:szCs w:val="21"/>
                <w:highlight w:val="none"/>
              </w:rPr>
            </w:pPr>
          </w:p>
        </w:tc>
      </w:tr>
      <w:tr w14:paraId="2DB4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3D8656A">
            <w:pPr>
              <w:spacing w:line="440" w:lineRule="exact"/>
              <w:jc w:val="center"/>
              <w:rPr>
                <w:color w:val="auto"/>
                <w:szCs w:val="21"/>
                <w:highlight w:val="none"/>
              </w:rPr>
            </w:pPr>
          </w:p>
        </w:tc>
        <w:tc>
          <w:tcPr>
            <w:tcW w:w="1086" w:type="dxa"/>
          </w:tcPr>
          <w:p w14:paraId="505CEA36">
            <w:pPr>
              <w:spacing w:line="440" w:lineRule="exact"/>
              <w:jc w:val="center"/>
              <w:rPr>
                <w:color w:val="auto"/>
                <w:szCs w:val="21"/>
                <w:highlight w:val="none"/>
              </w:rPr>
            </w:pPr>
          </w:p>
        </w:tc>
        <w:tc>
          <w:tcPr>
            <w:tcW w:w="761" w:type="dxa"/>
          </w:tcPr>
          <w:p w14:paraId="7D5BBA80">
            <w:pPr>
              <w:spacing w:line="440" w:lineRule="exact"/>
              <w:jc w:val="center"/>
              <w:rPr>
                <w:color w:val="auto"/>
                <w:szCs w:val="21"/>
                <w:highlight w:val="none"/>
              </w:rPr>
            </w:pPr>
          </w:p>
        </w:tc>
        <w:tc>
          <w:tcPr>
            <w:tcW w:w="990" w:type="dxa"/>
          </w:tcPr>
          <w:p w14:paraId="2FEAF528">
            <w:pPr>
              <w:spacing w:line="440" w:lineRule="exact"/>
              <w:jc w:val="center"/>
              <w:rPr>
                <w:color w:val="auto"/>
                <w:szCs w:val="21"/>
                <w:highlight w:val="none"/>
              </w:rPr>
            </w:pPr>
          </w:p>
        </w:tc>
        <w:tc>
          <w:tcPr>
            <w:tcW w:w="672" w:type="dxa"/>
          </w:tcPr>
          <w:p w14:paraId="1AAE0C86">
            <w:pPr>
              <w:spacing w:line="440" w:lineRule="exact"/>
              <w:jc w:val="center"/>
              <w:rPr>
                <w:color w:val="auto"/>
                <w:szCs w:val="21"/>
                <w:highlight w:val="none"/>
              </w:rPr>
            </w:pPr>
          </w:p>
        </w:tc>
        <w:tc>
          <w:tcPr>
            <w:tcW w:w="738" w:type="dxa"/>
          </w:tcPr>
          <w:p w14:paraId="00C2B244">
            <w:pPr>
              <w:spacing w:line="440" w:lineRule="exact"/>
              <w:jc w:val="center"/>
              <w:rPr>
                <w:color w:val="auto"/>
                <w:szCs w:val="21"/>
                <w:highlight w:val="none"/>
              </w:rPr>
            </w:pPr>
          </w:p>
        </w:tc>
        <w:tc>
          <w:tcPr>
            <w:tcW w:w="1212" w:type="dxa"/>
          </w:tcPr>
          <w:p w14:paraId="7C05E250">
            <w:pPr>
              <w:spacing w:line="440" w:lineRule="exact"/>
              <w:jc w:val="center"/>
              <w:rPr>
                <w:color w:val="auto"/>
                <w:szCs w:val="21"/>
                <w:highlight w:val="none"/>
              </w:rPr>
            </w:pPr>
          </w:p>
        </w:tc>
        <w:tc>
          <w:tcPr>
            <w:tcW w:w="874" w:type="dxa"/>
          </w:tcPr>
          <w:p w14:paraId="472F983D">
            <w:pPr>
              <w:spacing w:line="440" w:lineRule="exact"/>
              <w:jc w:val="center"/>
              <w:rPr>
                <w:color w:val="auto"/>
                <w:szCs w:val="21"/>
                <w:highlight w:val="none"/>
              </w:rPr>
            </w:pPr>
          </w:p>
        </w:tc>
        <w:tc>
          <w:tcPr>
            <w:tcW w:w="1055" w:type="dxa"/>
          </w:tcPr>
          <w:p w14:paraId="5002F9BE">
            <w:pPr>
              <w:spacing w:line="440" w:lineRule="exact"/>
              <w:jc w:val="center"/>
              <w:rPr>
                <w:color w:val="auto"/>
                <w:szCs w:val="21"/>
                <w:highlight w:val="none"/>
              </w:rPr>
            </w:pPr>
          </w:p>
        </w:tc>
        <w:tc>
          <w:tcPr>
            <w:tcW w:w="691" w:type="dxa"/>
          </w:tcPr>
          <w:p w14:paraId="647FC124">
            <w:pPr>
              <w:spacing w:line="440" w:lineRule="exact"/>
              <w:jc w:val="center"/>
              <w:rPr>
                <w:color w:val="auto"/>
                <w:szCs w:val="21"/>
                <w:highlight w:val="none"/>
              </w:rPr>
            </w:pPr>
          </w:p>
        </w:tc>
      </w:tr>
      <w:tr w14:paraId="1D1E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D79B878">
            <w:pPr>
              <w:spacing w:line="440" w:lineRule="exact"/>
              <w:jc w:val="center"/>
              <w:rPr>
                <w:color w:val="auto"/>
                <w:szCs w:val="21"/>
                <w:highlight w:val="none"/>
              </w:rPr>
            </w:pPr>
          </w:p>
        </w:tc>
        <w:tc>
          <w:tcPr>
            <w:tcW w:w="1086" w:type="dxa"/>
          </w:tcPr>
          <w:p w14:paraId="6C3F3754">
            <w:pPr>
              <w:spacing w:line="440" w:lineRule="exact"/>
              <w:jc w:val="center"/>
              <w:rPr>
                <w:color w:val="auto"/>
                <w:szCs w:val="21"/>
                <w:highlight w:val="none"/>
              </w:rPr>
            </w:pPr>
          </w:p>
        </w:tc>
        <w:tc>
          <w:tcPr>
            <w:tcW w:w="761" w:type="dxa"/>
          </w:tcPr>
          <w:p w14:paraId="69DA0D54">
            <w:pPr>
              <w:spacing w:line="440" w:lineRule="exact"/>
              <w:jc w:val="center"/>
              <w:rPr>
                <w:color w:val="auto"/>
                <w:szCs w:val="21"/>
                <w:highlight w:val="none"/>
              </w:rPr>
            </w:pPr>
          </w:p>
        </w:tc>
        <w:tc>
          <w:tcPr>
            <w:tcW w:w="990" w:type="dxa"/>
          </w:tcPr>
          <w:p w14:paraId="13D6A665">
            <w:pPr>
              <w:spacing w:line="440" w:lineRule="exact"/>
              <w:jc w:val="center"/>
              <w:rPr>
                <w:color w:val="auto"/>
                <w:szCs w:val="21"/>
                <w:highlight w:val="none"/>
              </w:rPr>
            </w:pPr>
          </w:p>
        </w:tc>
        <w:tc>
          <w:tcPr>
            <w:tcW w:w="672" w:type="dxa"/>
          </w:tcPr>
          <w:p w14:paraId="134981DF">
            <w:pPr>
              <w:spacing w:line="440" w:lineRule="exact"/>
              <w:jc w:val="center"/>
              <w:rPr>
                <w:color w:val="auto"/>
                <w:szCs w:val="21"/>
                <w:highlight w:val="none"/>
              </w:rPr>
            </w:pPr>
          </w:p>
        </w:tc>
        <w:tc>
          <w:tcPr>
            <w:tcW w:w="738" w:type="dxa"/>
          </w:tcPr>
          <w:p w14:paraId="7713272C">
            <w:pPr>
              <w:spacing w:line="440" w:lineRule="exact"/>
              <w:jc w:val="center"/>
              <w:rPr>
                <w:color w:val="auto"/>
                <w:szCs w:val="21"/>
                <w:highlight w:val="none"/>
              </w:rPr>
            </w:pPr>
          </w:p>
        </w:tc>
        <w:tc>
          <w:tcPr>
            <w:tcW w:w="1212" w:type="dxa"/>
          </w:tcPr>
          <w:p w14:paraId="0CA5A60F">
            <w:pPr>
              <w:spacing w:line="440" w:lineRule="exact"/>
              <w:jc w:val="center"/>
              <w:rPr>
                <w:color w:val="auto"/>
                <w:szCs w:val="21"/>
                <w:highlight w:val="none"/>
              </w:rPr>
            </w:pPr>
          </w:p>
        </w:tc>
        <w:tc>
          <w:tcPr>
            <w:tcW w:w="874" w:type="dxa"/>
          </w:tcPr>
          <w:p w14:paraId="5F733C32">
            <w:pPr>
              <w:spacing w:line="440" w:lineRule="exact"/>
              <w:jc w:val="center"/>
              <w:rPr>
                <w:color w:val="auto"/>
                <w:szCs w:val="21"/>
                <w:highlight w:val="none"/>
              </w:rPr>
            </w:pPr>
          </w:p>
        </w:tc>
        <w:tc>
          <w:tcPr>
            <w:tcW w:w="1055" w:type="dxa"/>
          </w:tcPr>
          <w:p w14:paraId="732DD684">
            <w:pPr>
              <w:spacing w:line="440" w:lineRule="exact"/>
              <w:jc w:val="center"/>
              <w:rPr>
                <w:color w:val="auto"/>
                <w:szCs w:val="21"/>
                <w:highlight w:val="none"/>
              </w:rPr>
            </w:pPr>
          </w:p>
        </w:tc>
        <w:tc>
          <w:tcPr>
            <w:tcW w:w="691" w:type="dxa"/>
          </w:tcPr>
          <w:p w14:paraId="699E0A2D">
            <w:pPr>
              <w:spacing w:line="440" w:lineRule="exact"/>
              <w:jc w:val="center"/>
              <w:rPr>
                <w:color w:val="auto"/>
                <w:szCs w:val="21"/>
                <w:highlight w:val="none"/>
              </w:rPr>
            </w:pPr>
          </w:p>
        </w:tc>
      </w:tr>
    </w:tbl>
    <w:p w14:paraId="1BC44657">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131D542A">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黑体" w:hAnsi="宋体"/>
          <w:color w:val="auto"/>
          <w:highlight w:val="none"/>
        </w:rPr>
      </w:pPr>
      <w:bookmarkStart w:id="2279" w:name="_Toc256000224"/>
      <w:r>
        <w:rPr>
          <w:rFonts w:hint="default" w:cs="宋体"/>
          <w:color w:val="auto"/>
          <w:szCs w:val="24"/>
          <w:highlight w:val="none"/>
        </w:rPr>
        <w:t>1-8</w:t>
      </w:r>
      <w:r>
        <w:rPr>
          <w:rFonts w:hint="eastAsia" w:cs="宋体"/>
          <w:color w:val="auto"/>
          <w:szCs w:val="24"/>
          <w:highlight w:val="none"/>
          <w:lang w:val="en-US" w:eastAsia="zh-CN"/>
        </w:rPr>
        <w:t xml:space="preserve"> </w:t>
      </w:r>
      <w:r>
        <w:rPr>
          <w:rFonts w:hint="eastAsia" w:cs="宋体"/>
          <w:color w:val="auto"/>
          <w:szCs w:val="24"/>
          <w:highlight w:val="none"/>
        </w:rPr>
        <w:t>拟配备本项目的试验和检测仪器设备表</w:t>
      </w:r>
      <w:bookmarkEnd w:id="2279"/>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019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438BFB9">
            <w:pPr>
              <w:spacing w:line="440" w:lineRule="exact"/>
              <w:rPr>
                <w:color w:val="auto"/>
                <w:szCs w:val="21"/>
                <w:highlight w:val="none"/>
              </w:rPr>
            </w:pPr>
            <w:r>
              <w:rPr>
                <w:color w:val="auto"/>
                <w:szCs w:val="21"/>
                <w:highlight w:val="none"/>
              </w:rPr>
              <w:t>序号</w:t>
            </w:r>
          </w:p>
        </w:tc>
        <w:tc>
          <w:tcPr>
            <w:tcW w:w="1087" w:type="dxa"/>
            <w:vAlign w:val="center"/>
          </w:tcPr>
          <w:p w14:paraId="6FB42B98">
            <w:pPr>
              <w:spacing w:line="440" w:lineRule="exact"/>
              <w:jc w:val="center"/>
              <w:rPr>
                <w:color w:val="auto"/>
                <w:szCs w:val="21"/>
                <w:highlight w:val="none"/>
              </w:rPr>
            </w:pPr>
            <w:r>
              <w:rPr>
                <w:color w:val="auto"/>
                <w:szCs w:val="21"/>
                <w:highlight w:val="none"/>
              </w:rPr>
              <w:t>仪器设备名称</w:t>
            </w:r>
          </w:p>
        </w:tc>
        <w:tc>
          <w:tcPr>
            <w:tcW w:w="760" w:type="dxa"/>
            <w:vAlign w:val="center"/>
          </w:tcPr>
          <w:p w14:paraId="2C172828">
            <w:pPr>
              <w:spacing w:line="440" w:lineRule="exact"/>
              <w:jc w:val="center"/>
              <w:rPr>
                <w:color w:val="auto"/>
                <w:szCs w:val="21"/>
                <w:highlight w:val="none"/>
              </w:rPr>
            </w:pPr>
            <w:r>
              <w:rPr>
                <w:color w:val="auto"/>
                <w:szCs w:val="21"/>
                <w:highlight w:val="none"/>
              </w:rPr>
              <w:t>型号</w:t>
            </w:r>
          </w:p>
          <w:p w14:paraId="6DE86444">
            <w:pPr>
              <w:spacing w:line="440" w:lineRule="exact"/>
              <w:jc w:val="center"/>
              <w:rPr>
                <w:color w:val="auto"/>
                <w:szCs w:val="21"/>
                <w:highlight w:val="none"/>
              </w:rPr>
            </w:pPr>
            <w:r>
              <w:rPr>
                <w:color w:val="auto"/>
                <w:szCs w:val="21"/>
                <w:highlight w:val="none"/>
              </w:rPr>
              <w:t>规格</w:t>
            </w:r>
          </w:p>
        </w:tc>
        <w:tc>
          <w:tcPr>
            <w:tcW w:w="991" w:type="dxa"/>
            <w:vAlign w:val="center"/>
          </w:tcPr>
          <w:p w14:paraId="1214288F">
            <w:pPr>
              <w:spacing w:line="440" w:lineRule="exact"/>
              <w:jc w:val="center"/>
              <w:rPr>
                <w:color w:val="auto"/>
                <w:szCs w:val="21"/>
                <w:highlight w:val="none"/>
              </w:rPr>
            </w:pPr>
            <w:r>
              <w:rPr>
                <w:color w:val="auto"/>
                <w:szCs w:val="21"/>
                <w:highlight w:val="none"/>
              </w:rPr>
              <w:t>数量</w:t>
            </w:r>
          </w:p>
        </w:tc>
        <w:tc>
          <w:tcPr>
            <w:tcW w:w="672" w:type="dxa"/>
            <w:vAlign w:val="center"/>
          </w:tcPr>
          <w:p w14:paraId="7F416CDB">
            <w:pPr>
              <w:spacing w:line="440" w:lineRule="exact"/>
              <w:jc w:val="center"/>
              <w:rPr>
                <w:color w:val="auto"/>
                <w:szCs w:val="21"/>
                <w:highlight w:val="none"/>
              </w:rPr>
            </w:pPr>
            <w:r>
              <w:rPr>
                <w:color w:val="auto"/>
                <w:szCs w:val="21"/>
                <w:highlight w:val="none"/>
              </w:rPr>
              <w:t>国别</w:t>
            </w:r>
          </w:p>
          <w:p w14:paraId="1C862B95">
            <w:pPr>
              <w:spacing w:line="440" w:lineRule="exact"/>
              <w:jc w:val="center"/>
              <w:rPr>
                <w:color w:val="auto"/>
                <w:szCs w:val="21"/>
                <w:highlight w:val="none"/>
              </w:rPr>
            </w:pPr>
            <w:r>
              <w:rPr>
                <w:color w:val="auto"/>
                <w:szCs w:val="21"/>
                <w:highlight w:val="none"/>
              </w:rPr>
              <w:t>产地</w:t>
            </w:r>
          </w:p>
        </w:tc>
        <w:tc>
          <w:tcPr>
            <w:tcW w:w="738" w:type="dxa"/>
            <w:vAlign w:val="center"/>
          </w:tcPr>
          <w:p w14:paraId="6D2E39A7">
            <w:pPr>
              <w:spacing w:line="440" w:lineRule="exact"/>
              <w:jc w:val="center"/>
              <w:rPr>
                <w:color w:val="auto"/>
                <w:szCs w:val="21"/>
                <w:highlight w:val="none"/>
              </w:rPr>
            </w:pPr>
            <w:r>
              <w:rPr>
                <w:color w:val="auto"/>
                <w:szCs w:val="21"/>
                <w:highlight w:val="none"/>
              </w:rPr>
              <w:t>制造</w:t>
            </w:r>
          </w:p>
          <w:p w14:paraId="34ABC775">
            <w:pPr>
              <w:spacing w:line="440" w:lineRule="exact"/>
              <w:jc w:val="center"/>
              <w:rPr>
                <w:color w:val="auto"/>
                <w:szCs w:val="21"/>
                <w:highlight w:val="none"/>
              </w:rPr>
            </w:pPr>
            <w:r>
              <w:rPr>
                <w:color w:val="auto"/>
                <w:szCs w:val="21"/>
                <w:highlight w:val="none"/>
              </w:rPr>
              <w:t>年份</w:t>
            </w:r>
          </w:p>
        </w:tc>
        <w:tc>
          <w:tcPr>
            <w:tcW w:w="1212" w:type="dxa"/>
            <w:vAlign w:val="center"/>
          </w:tcPr>
          <w:p w14:paraId="5FDAE292">
            <w:pPr>
              <w:spacing w:line="440" w:lineRule="exact"/>
              <w:jc w:val="center"/>
              <w:rPr>
                <w:color w:val="auto"/>
                <w:szCs w:val="21"/>
                <w:highlight w:val="none"/>
              </w:rPr>
            </w:pPr>
            <w:r>
              <w:rPr>
                <w:color w:val="auto"/>
                <w:szCs w:val="21"/>
                <w:highlight w:val="none"/>
              </w:rPr>
              <w:t>已使用台时数</w:t>
            </w:r>
          </w:p>
        </w:tc>
        <w:tc>
          <w:tcPr>
            <w:tcW w:w="1653" w:type="dxa"/>
            <w:vAlign w:val="center"/>
          </w:tcPr>
          <w:p w14:paraId="63A15B33">
            <w:pPr>
              <w:spacing w:line="440" w:lineRule="exact"/>
              <w:jc w:val="center"/>
              <w:rPr>
                <w:color w:val="auto"/>
                <w:szCs w:val="21"/>
                <w:highlight w:val="none"/>
              </w:rPr>
            </w:pPr>
            <w:r>
              <w:rPr>
                <w:color w:val="auto"/>
                <w:szCs w:val="21"/>
                <w:highlight w:val="none"/>
              </w:rPr>
              <w:t>用途</w:t>
            </w:r>
          </w:p>
        </w:tc>
        <w:tc>
          <w:tcPr>
            <w:tcW w:w="688" w:type="dxa"/>
            <w:vAlign w:val="center"/>
          </w:tcPr>
          <w:p w14:paraId="225D75FA">
            <w:pPr>
              <w:spacing w:line="440" w:lineRule="exact"/>
              <w:jc w:val="center"/>
              <w:rPr>
                <w:color w:val="auto"/>
                <w:szCs w:val="21"/>
                <w:highlight w:val="none"/>
              </w:rPr>
            </w:pPr>
            <w:r>
              <w:rPr>
                <w:color w:val="auto"/>
                <w:szCs w:val="21"/>
                <w:highlight w:val="none"/>
              </w:rPr>
              <w:t>备注</w:t>
            </w:r>
          </w:p>
        </w:tc>
      </w:tr>
      <w:tr w14:paraId="31A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2379354">
            <w:pPr>
              <w:spacing w:line="440" w:lineRule="exact"/>
              <w:jc w:val="center"/>
              <w:rPr>
                <w:color w:val="auto"/>
                <w:szCs w:val="21"/>
                <w:highlight w:val="none"/>
              </w:rPr>
            </w:pPr>
          </w:p>
        </w:tc>
        <w:tc>
          <w:tcPr>
            <w:tcW w:w="1087" w:type="dxa"/>
            <w:vAlign w:val="center"/>
          </w:tcPr>
          <w:p w14:paraId="3D8198AF">
            <w:pPr>
              <w:spacing w:line="440" w:lineRule="exact"/>
              <w:jc w:val="center"/>
              <w:rPr>
                <w:color w:val="auto"/>
                <w:szCs w:val="21"/>
                <w:highlight w:val="none"/>
              </w:rPr>
            </w:pPr>
          </w:p>
        </w:tc>
        <w:tc>
          <w:tcPr>
            <w:tcW w:w="760" w:type="dxa"/>
            <w:vAlign w:val="center"/>
          </w:tcPr>
          <w:p w14:paraId="636C9555">
            <w:pPr>
              <w:spacing w:line="440" w:lineRule="exact"/>
              <w:jc w:val="center"/>
              <w:rPr>
                <w:color w:val="auto"/>
                <w:szCs w:val="21"/>
                <w:highlight w:val="none"/>
              </w:rPr>
            </w:pPr>
          </w:p>
        </w:tc>
        <w:tc>
          <w:tcPr>
            <w:tcW w:w="991" w:type="dxa"/>
            <w:vAlign w:val="center"/>
          </w:tcPr>
          <w:p w14:paraId="3678F77B">
            <w:pPr>
              <w:spacing w:line="440" w:lineRule="exact"/>
              <w:jc w:val="center"/>
              <w:rPr>
                <w:color w:val="auto"/>
                <w:szCs w:val="21"/>
                <w:highlight w:val="none"/>
              </w:rPr>
            </w:pPr>
          </w:p>
        </w:tc>
        <w:tc>
          <w:tcPr>
            <w:tcW w:w="672" w:type="dxa"/>
            <w:vAlign w:val="center"/>
          </w:tcPr>
          <w:p w14:paraId="4180326E">
            <w:pPr>
              <w:spacing w:line="440" w:lineRule="exact"/>
              <w:jc w:val="center"/>
              <w:rPr>
                <w:color w:val="auto"/>
                <w:szCs w:val="21"/>
                <w:highlight w:val="none"/>
              </w:rPr>
            </w:pPr>
          </w:p>
        </w:tc>
        <w:tc>
          <w:tcPr>
            <w:tcW w:w="738" w:type="dxa"/>
            <w:vAlign w:val="center"/>
          </w:tcPr>
          <w:p w14:paraId="1263EC49">
            <w:pPr>
              <w:spacing w:line="440" w:lineRule="exact"/>
              <w:jc w:val="center"/>
              <w:rPr>
                <w:color w:val="auto"/>
                <w:szCs w:val="21"/>
                <w:highlight w:val="none"/>
              </w:rPr>
            </w:pPr>
          </w:p>
        </w:tc>
        <w:tc>
          <w:tcPr>
            <w:tcW w:w="1212" w:type="dxa"/>
            <w:vAlign w:val="center"/>
          </w:tcPr>
          <w:p w14:paraId="34131BC6">
            <w:pPr>
              <w:spacing w:line="440" w:lineRule="exact"/>
              <w:jc w:val="center"/>
              <w:rPr>
                <w:color w:val="auto"/>
                <w:szCs w:val="21"/>
                <w:highlight w:val="none"/>
              </w:rPr>
            </w:pPr>
          </w:p>
        </w:tc>
        <w:tc>
          <w:tcPr>
            <w:tcW w:w="1653" w:type="dxa"/>
            <w:vAlign w:val="center"/>
          </w:tcPr>
          <w:p w14:paraId="2006D87C">
            <w:pPr>
              <w:spacing w:line="440" w:lineRule="exact"/>
              <w:jc w:val="center"/>
              <w:rPr>
                <w:color w:val="auto"/>
                <w:szCs w:val="21"/>
                <w:highlight w:val="none"/>
              </w:rPr>
            </w:pPr>
          </w:p>
        </w:tc>
        <w:tc>
          <w:tcPr>
            <w:tcW w:w="688" w:type="dxa"/>
            <w:vAlign w:val="center"/>
          </w:tcPr>
          <w:p w14:paraId="62160B4D">
            <w:pPr>
              <w:spacing w:line="440" w:lineRule="exact"/>
              <w:jc w:val="center"/>
              <w:rPr>
                <w:color w:val="auto"/>
                <w:szCs w:val="21"/>
                <w:highlight w:val="none"/>
              </w:rPr>
            </w:pPr>
          </w:p>
        </w:tc>
      </w:tr>
      <w:tr w14:paraId="64D0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7CB8FEDB">
            <w:pPr>
              <w:spacing w:line="440" w:lineRule="exact"/>
              <w:jc w:val="center"/>
              <w:rPr>
                <w:color w:val="auto"/>
                <w:szCs w:val="21"/>
                <w:highlight w:val="none"/>
              </w:rPr>
            </w:pPr>
          </w:p>
        </w:tc>
        <w:tc>
          <w:tcPr>
            <w:tcW w:w="1087" w:type="dxa"/>
            <w:vAlign w:val="center"/>
          </w:tcPr>
          <w:p w14:paraId="1C75FDAA">
            <w:pPr>
              <w:spacing w:line="440" w:lineRule="exact"/>
              <w:jc w:val="center"/>
              <w:rPr>
                <w:color w:val="auto"/>
                <w:szCs w:val="21"/>
                <w:highlight w:val="none"/>
              </w:rPr>
            </w:pPr>
          </w:p>
        </w:tc>
        <w:tc>
          <w:tcPr>
            <w:tcW w:w="760" w:type="dxa"/>
            <w:vAlign w:val="center"/>
          </w:tcPr>
          <w:p w14:paraId="0FC4286B">
            <w:pPr>
              <w:spacing w:line="440" w:lineRule="exact"/>
              <w:jc w:val="center"/>
              <w:rPr>
                <w:color w:val="auto"/>
                <w:szCs w:val="21"/>
                <w:highlight w:val="none"/>
              </w:rPr>
            </w:pPr>
          </w:p>
        </w:tc>
        <w:tc>
          <w:tcPr>
            <w:tcW w:w="991" w:type="dxa"/>
            <w:vAlign w:val="center"/>
          </w:tcPr>
          <w:p w14:paraId="6725D992">
            <w:pPr>
              <w:spacing w:line="440" w:lineRule="exact"/>
              <w:jc w:val="center"/>
              <w:rPr>
                <w:color w:val="auto"/>
                <w:szCs w:val="21"/>
                <w:highlight w:val="none"/>
              </w:rPr>
            </w:pPr>
          </w:p>
        </w:tc>
        <w:tc>
          <w:tcPr>
            <w:tcW w:w="672" w:type="dxa"/>
            <w:vAlign w:val="center"/>
          </w:tcPr>
          <w:p w14:paraId="428D611B">
            <w:pPr>
              <w:spacing w:line="440" w:lineRule="exact"/>
              <w:jc w:val="center"/>
              <w:rPr>
                <w:color w:val="auto"/>
                <w:szCs w:val="21"/>
                <w:highlight w:val="none"/>
              </w:rPr>
            </w:pPr>
          </w:p>
        </w:tc>
        <w:tc>
          <w:tcPr>
            <w:tcW w:w="738" w:type="dxa"/>
            <w:vAlign w:val="center"/>
          </w:tcPr>
          <w:p w14:paraId="3FBF9AC6">
            <w:pPr>
              <w:spacing w:line="440" w:lineRule="exact"/>
              <w:jc w:val="center"/>
              <w:rPr>
                <w:color w:val="auto"/>
                <w:szCs w:val="21"/>
                <w:highlight w:val="none"/>
              </w:rPr>
            </w:pPr>
          </w:p>
        </w:tc>
        <w:tc>
          <w:tcPr>
            <w:tcW w:w="1212" w:type="dxa"/>
            <w:vAlign w:val="center"/>
          </w:tcPr>
          <w:p w14:paraId="5189D568">
            <w:pPr>
              <w:spacing w:line="440" w:lineRule="exact"/>
              <w:jc w:val="center"/>
              <w:rPr>
                <w:color w:val="auto"/>
                <w:szCs w:val="21"/>
                <w:highlight w:val="none"/>
              </w:rPr>
            </w:pPr>
          </w:p>
        </w:tc>
        <w:tc>
          <w:tcPr>
            <w:tcW w:w="1653" w:type="dxa"/>
            <w:vAlign w:val="center"/>
          </w:tcPr>
          <w:p w14:paraId="2A9F8103">
            <w:pPr>
              <w:spacing w:line="440" w:lineRule="exact"/>
              <w:jc w:val="center"/>
              <w:rPr>
                <w:color w:val="auto"/>
                <w:szCs w:val="21"/>
                <w:highlight w:val="none"/>
              </w:rPr>
            </w:pPr>
          </w:p>
        </w:tc>
        <w:tc>
          <w:tcPr>
            <w:tcW w:w="688" w:type="dxa"/>
            <w:vAlign w:val="center"/>
          </w:tcPr>
          <w:p w14:paraId="1A90B0E9">
            <w:pPr>
              <w:spacing w:line="440" w:lineRule="exact"/>
              <w:jc w:val="center"/>
              <w:rPr>
                <w:color w:val="auto"/>
                <w:szCs w:val="21"/>
                <w:highlight w:val="none"/>
              </w:rPr>
            </w:pPr>
          </w:p>
        </w:tc>
      </w:tr>
      <w:tr w14:paraId="6092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A883C18">
            <w:pPr>
              <w:spacing w:line="440" w:lineRule="exact"/>
              <w:jc w:val="center"/>
              <w:rPr>
                <w:color w:val="auto"/>
                <w:szCs w:val="21"/>
                <w:highlight w:val="none"/>
              </w:rPr>
            </w:pPr>
          </w:p>
        </w:tc>
        <w:tc>
          <w:tcPr>
            <w:tcW w:w="1087" w:type="dxa"/>
          </w:tcPr>
          <w:p w14:paraId="32738F78">
            <w:pPr>
              <w:spacing w:line="440" w:lineRule="exact"/>
              <w:jc w:val="center"/>
              <w:rPr>
                <w:color w:val="auto"/>
                <w:szCs w:val="21"/>
                <w:highlight w:val="none"/>
              </w:rPr>
            </w:pPr>
          </w:p>
        </w:tc>
        <w:tc>
          <w:tcPr>
            <w:tcW w:w="760" w:type="dxa"/>
          </w:tcPr>
          <w:p w14:paraId="00884765">
            <w:pPr>
              <w:spacing w:line="440" w:lineRule="exact"/>
              <w:jc w:val="center"/>
              <w:rPr>
                <w:color w:val="auto"/>
                <w:szCs w:val="21"/>
                <w:highlight w:val="none"/>
              </w:rPr>
            </w:pPr>
          </w:p>
        </w:tc>
        <w:tc>
          <w:tcPr>
            <w:tcW w:w="991" w:type="dxa"/>
          </w:tcPr>
          <w:p w14:paraId="3923BE0C">
            <w:pPr>
              <w:spacing w:line="440" w:lineRule="exact"/>
              <w:jc w:val="center"/>
              <w:rPr>
                <w:color w:val="auto"/>
                <w:szCs w:val="21"/>
                <w:highlight w:val="none"/>
              </w:rPr>
            </w:pPr>
          </w:p>
        </w:tc>
        <w:tc>
          <w:tcPr>
            <w:tcW w:w="672" w:type="dxa"/>
          </w:tcPr>
          <w:p w14:paraId="0A0D022E">
            <w:pPr>
              <w:spacing w:line="440" w:lineRule="exact"/>
              <w:jc w:val="center"/>
              <w:rPr>
                <w:color w:val="auto"/>
                <w:szCs w:val="21"/>
                <w:highlight w:val="none"/>
              </w:rPr>
            </w:pPr>
          </w:p>
        </w:tc>
        <w:tc>
          <w:tcPr>
            <w:tcW w:w="738" w:type="dxa"/>
          </w:tcPr>
          <w:p w14:paraId="673C2C38">
            <w:pPr>
              <w:spacing w:line="440" w:lineRule="exact"/>
              <w:jc w:val="center"/>
              <w:rPr>
                <w:color w:val="auto"/>
                <w:szCs w:val="21"/>
                <w:highlight w:val="none"/>
              </w:rPr>
            </w:pPr>
          </w:p>
        </w:tc>
        <w:tc>
          <w:tcPr>
            <w:tcW w:w="1212" w:type="dxa"/>
          </w:tcPr>
          <w:p w14:paraId="33BD1775">
            <w:pPr>
              <w:spacing w:line="440" w:lineRule="exact"/>
              <w:jc w:val="center"/>
              <w:rPr>
                <w:color w:val="auto"/>
                <w:szCs w:val="21"/>
                <w:highlight w:val="none"/>
              </w:rPr>
            </w:pPr>
          </w:p>
        </w:tc>
        <w:tc>
          <w:tcPr>
            <w:tcW w:w="1653" w:type="dxa"/>
          </w:tcPr>
          <w:p w14:paraId="027654ED">
            <w:pPr>
              <w:spacing w:line="440" w:lineRule="exact"/>
              <w:jc w:val="center"/>
              <w:rPr>
                <w:color w:val="auto"/>
                <w:szCs w:val="21"/>
                <w:highlight w:val="none"/>
              </w:rPr>
            </w:pPr>
          </w:p>
        </w:tc>
        <w:tc>
          <w:tcPr>
            <w:tcW w:w="688" w:type="dxa"/>
          </w:tcPr>
          <w:p w14:paraId="3C6D305C">
            <w:pPr>
              <w:spacing w:line="440" w:lineRule="exact"/>
              <w:jc w:val="center"/>
              <w:rPr>
                <w:color w:val="auto"/>
                <w:szCs w:val="21"/>
                <w:highlight w:val="none"/>
              </w:rPr>
            </w:pPr>
          </w:p>
        </w:tc>
      </w:tr>
      <w:tr w14:paraId="6FAF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193277D">
            <w:pPr>
              <w:spacing w:line="440" w:lineRule="exact"/>
              <w:jc w:val="center"/>
              <w:rPr>
                <w:color w:val="auto"/>
                <w:szCs w:val="21"/>
                <w:highlight w:val="none"/>
              </w:rPr>
            </w:pPr>
          </w:p>
        </w:tc>
        <w:tc>
          <w:tcPr>
            <w:tcW w:w="1087" w:type="dxa"/>
          </w:tcPr>
          <w:p w14:paraId="414ACBF4">
            <w:pPr>
              <w:spacing w:line="440" w:lineRule="exact"/>
              <w:jc w:val="center"/>
              <w:rPr>
                <w:color w:val="auto"/>
                <w:szCs w:val="21"/>
                <w:highlight w:val="none"/>
              </w:rPr>
            </w:pPr>
          </w:p>
        </w:tc>
        <w:tc>
          <w:tcPr>
            <w:tcW w:w="760" w:type="dxa"/>
          </w:tcPr>
          <w:p w14:paraId="41E7960A">
            <w:pPr>
              <w:spacing w:line="440" w:lineRule="exact"/>
              <w:jc w:val="center"/>
              <w:rPr>
                <w:color w:val="auto"/>
                <w:szCs w:val="21"/>
                <w:highlight w:val="none"/>
              </w:rPr>
            </w:pPr>
          </w:p>
        </w:tc>
        <w:tc>
          <w:tcPr>
            <w:tcW w:w="991" w:type="dxa"/>
          </w:tcPr>
          <w:p w14:paraId="4D68D57F">
            <w:pPr>
              <w:spacing w:line="440" w:lineRule="exact"/>
              <w:jc w:val="center"/>
              <w:rPr>
                <w:color w:val="auto"/>
                <w:szCs w:val="21"/>
                <w:highlight w:val="none"/>
              </w:rPr>
            </w:pPr>
          </w:p>
        </w:tc>
        <w:tc>
          <w:tcPr>
            <w:tcW w:w="672" w:type="dxa"/>
          </w:tcPr>
          <w:p w14:paraId="16B5DAD6">
            <w:pPr>
              <w:spacing w:line="440" w:lineRule="exact"/>
              <w:jc w:val="center"/>
              <w:rPr>
                <w:color w:val="auto"/>
                <w:szCs w:val="21"/>
                <w:highlight w:val="none"/>
              </w:rPr>
            </w:pPr>
          </w:p>
        </w:tc>
        <w:tc>
          <w:tcPr>
            <w:tcW w:w="738" w:type="dxa"/>
          </w:tcPr>
          <w:p w14:paraId="098A1FEF">
            <w:pPr>
              <w:spacing w:line="440" w:lineRule="exact"/>
              <w:jc w:val="center"/>
              <w:rPr>
                <w:color w:val="auto"/>
                <w:szCs w:val="21"/>
                <w:highlight w:val="none"/>
              </w:rPr>
            </w:pPr>
          </w:p>
        </w:tc>
        <w:tc>
          <w:tcPr>
            <w:tcW w:w="1212" w:type="dxa"/>
          </w:tcPr>
          <w:p w14:paraId="025CA8EA">
            <w:pPr>
              <w:spacing w:line="440" w:lineRule="exact"/>
              <w:jc w:val="center"/>
              <w:rPr>
                <w:color w:val="auto"/>
                <w:szCs w:val="21"/>
                <w:highlight w:val="none"/>
              </w:rPr>
            </w:pPr>
          </w:p>
        </w:tc>
        <w:tc>
          <w:tcPr>
            <w:tcW w:w="1653" w:type="dxa"/>
          </w:tcPr>
          <w:p w14:paraId="7793FB90">
            <w:pPr>
              <w:spacing w:line="440" w:lineRule="exact"/>
              <w:jc w:val="center"/>
              <w:rPr>
                <w:color w:val="auto"/>
                <w:szCs w:val="21"/>
                <w:highlight w:val="none"/>
              </w:rPr>
            </w:pPr>
          </w:p>
        </w:tc>
        <w:tc>
          <w:tcPr>
            <w:tcW w:w="688" w:type="dxa"/>
          </w:tcPr>
          <w:p w14:paraId="396839BD">
            <w:pPr>
              <w:spacing w:line="440" w:lineRule="exact"/>
              <w:jc w:val="center"/>
              <w:rPr>
                <w:color w:val="auto"/>
                <w:szCs w:val="21"/>
                <w:highlight w:val="none"/>
              </w:rPr>
            </w:pPr>
          </w:p>
        </w:tc>
      </w:tr>
      <w:tr w14:paraId="463D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30ABA64">
            <w:pPr>
              <w:spacing w:line="440" w:lineRule="exact"/>
              <w:jc w:val="center"/>
              <w:rPr>
                <w:color w:val="auto"/>
                <w:szCs w:val="21"/>
                <w:highlight w:val="none"/>
              </w:rPr>
            </w:pPr>
          </w:p>
        </w:tc>
        <w:tc>
          <w:tcPr>
            <w:tcW w:w="1087" w:type="dxa"/>
          </w:tcPr>
          <w:p w14:paraId="7DC2DEB3">
            <w:pPr>
              <w:spacing w:line="440" w:lineRule="exact"/>
              <w:jc w:val="center"/>
              <w:rPr>
                <w:color w:val="auto"/>
                <w:szCs w:val="21"/>
                <w:highlight w:val="none"/>
              </w:rPr>
            </w:pPr>
          </w:p>
        </w:tc>
        <w:tc>
          <w:tcPr>
            <w:tcW w:w="760" w:type="dxa"/>
          </w:tcPr>
          <w:p w14:paraId="40F8018E">
            <w:pPr>
              <w:spacing w:line="440" w:lineRule="exact"/>
              <w:jc w:val="center"/>
              <w:rPr>
                <w:color w:val="auto"/>
                <w:szCs w:val="21"/>
                <w:highlight w:val="none"/>
              </w:rPr>
            </w:pPr>
          </w:p>
        </w:tc>
        <w:tc>
          <w:tcPr>
            <w:tcW w:w="991" w:type="dxa"/>
          </w:tcPr>
          <w:p w14:paraId="613FF6B8">
            <w:pPr>
              <w:spacing w:line="440" w:lineRule="exact"/>
              <w:jc w:val="center"/>
              <w:rPr>
                <w:color w:val="auto"/>
                <w:szCs w:val="21"/>
                <w:highlight w:val="none"/>
              </w:rPr>
            </w:pPr>
          </w:p>
        </w:tc>
        <w:tc>
          <w:tcPr>
            <w:tcW w:w="672" w:type="dxa"/>
          </w:tcPr>
          <w:p w14:paraId="075D872F">
            <w:pPr>
              <w:spacing w:line="440" w:lineRule="exact"/>
              <w:jc w:val="center"/>
              <w:rPr>
                <w:color w:val="auto"/>
                <w:szCs w:val="21"/>
                <w:highlight w:val="none"/>
              </w:rPr>
            </w:pPr>
          </w:p>
        </w:tc>
        <w:tc>
          <w:tcPr>
            <w:tcW w:w="738" w:type="dxa"/>
          </w:tcPr>
          <w:p w14:paraId="2D9305B3">
            <w:pPr>
              <w:spacing w:line="440" w:lineRule="exact"/>
              <w:jc w:val="center"/>
              <w:rPr>
                <w:color w:val="auto"/>
                <w:szCs w:val="21"/>
                <w:highlight w:val="none"/>
              </w:rPr>
            </w:pPr>
          </w:p>
        </w:tc>
        <w:tc>
          <w:tcPr>
            <w:tcW w:w="1212" w:type="dxa"/>
          </w:tcPr>
          <w:p w14:paraId="238DFB9A">
            <w:pPr>
              <w:spacing w:line="440" w:lineRule="exact"/>
              <w:jc w:val="center"/>
              <w:rPr>
                <w:color w:val="auto"/>
                <w:szCs w:val="21"/>
                <w:highlight w:val="none"/>
              </w:rPr>
            </w:pPr>
          </w:p>
        </w:tc>
        <w:tc>
          <w:tcPr>
            <w:tcW w:w="1653" w:type="dxa"/>
          </w:tcPr>
          <w:p w14:paraId="79AD63F9">
            <w:pPr>
              <w:spacing w:line="440" w:lineRule="exact"/>
              <w:jc w:val="center"/>
              <w:rPr>
                <w:color w:val="auto"/>
                <w:szCs w:val="21"/>
                <w:highlight w:val="none"/>
              </w:rPr>
            </w:pPr>
          </w:p>
        </w:tc>
        <w:tc>
          <w:tcPr>
            <w:tcW w:w="688" w:type="dxa"/>
          </w:tcPr>
          <w:p w14:paraId="5FCB7ADB">
            <w:pPr>
              <w:spacing w:line="440" w:lineRule="exact"/>
              <w:jc w:val="center"/>
              <w:rPr>
                <w:color w:val="auto"/>
                <w:szCs w:val="21"/>
                <w:highlight w:val="none"/>
              </w:rPr>
            </w:pPr>
          </w:p>
        </w:tc>
      </w:tr>
      <w:tr w14:paraId="0A72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3330785">
            <w:pPr>
              <w:spacing w:line="440" w:lineRule="exact"/>
              <w:jc w:val="center"/>
              <w:rPr>
                <w:color w:val="auto"/>
                <w:szCs w:val="21"/>
                <w:highlight w:val="none"/>
              </w:rPr>
            </w:pPr>
          </w:p>
        </w:tc>
        <w:tc>
          <w:tcPr>
            <w:tcW w:w="1087" w:type="dxa"/>
          </w:tcPr>
          <w:p w14:paraId="7001C459">
            <w:pPr>
              <w:spacing w:line="440" w:lineRule="exact"/>
              <w:jc w:val="center"/>
              <w:rPr>
                <w:color w:val="auto"/>
                <w:szCs w:val="21"/>
                <w:highlight w:val="none"/>
              </w:rPr>
            </w:pPr>
          </w:p>
        </w:tc>
        <w:tc>
          <w:tcPr>
            <w:tcW w:w="760" w:type="dxa"/>
          </w:tcPr>
          <w:p w14:paraId="6595211C">
            <w:pPr>
              <w:spacing w:line="440" w:lineRule="exact"/>
              <w:jc w:val="center"/>
              <w:rPr>
                <w:color w:val="auto"/>
                <w:szCs w:val="21"/>
                <w:highlight w:val="none"/>
              </w:rPr>
            </w:pPr>
          </w:p>
        </w:tc>
        <w:tc>
          <w:tcPr>
            <w:tcW w:w="991" w:type="dxa"/>
          </w:tcPr>
          <w:p w14:paraId="71307801">
            <w:pPr>
              <w:spacing w:line="440" w:lineRule="exact"/>
              <w:jc w:val="center"/>
              <w:rPr>
                <w:color w:val="auto"/>
                <w:szCs w:val="21"/>
                <w:highlight w:val="none"/>
              </w:rPr>
            </w:pPr>
          </w:p>
        </w:tc>
        <w:tc>
          <w:tcPr>
            <w:tcW w:w="672" w:type="dxa"/>
          </w:tcPr>
          <w:p w14:paraId="2D9655C6">
            <w:pPr>
              <w:spacing w:line="440" w:lineRule="exact"/>
              <w:jc w:val="center"/>
              <w:rPr>
                <w:color w:val="auto"/>
                <w:szCs w:val="21"/>
                <w:highlight w:val="none"/>
              </w:rPr>
            </w:pPr>
          </w:p>
        </w:tc>
        <w:tc>
          <w:tcPr>
            <w:tcW w:w="738" w:type="dxa"/>
          </w:tcPr>
          <w:p w14:paraId="34F78309">
            <w:pPr>
              <w:spacing w:line="440" w:lineRule="exact"/>
              <w:jc w:val="center"/>
              <w:rPr>
                <w:color w:val="auto"/>
                <w:szCs w:val="21"/>
                <w:highlight w:val="none"/>
              </w:rPr>
            </w:pPr>
          </w:p>
        </w:tc>
        <w:tc>
          <w:tcPr>
            <w:tcW w:w="1212" w:type="dxa"/>
          </w:tcPr>
          <w:p w14:paraId="2772CACB">
            <w:pPr>
              <w:spacing w:line="440" w:lineRule="exact"/>
              <w:jc w:val="center"/>
              <w:rPr>
                <w:color w:val="auto"/>
                <w:szCs w:val="21"/>
                <w:highlight w:val="none"/>
              </w:rPr>
            </w:pPr>
          </w:p>
        </w:tc>
        <w:tc>
          <w:tcPr>
            <w:tcW w:w="1653" w:type="dxa"/>
          </w:tcPr>
          <w:p w14:paraId="279290C2">
            <w:pPr>
              <w:spacing w:line="440" w:lineRule="exact"/>
              <w:jc w:val="center"/>
              <w:rPr>
                <w:color w:val="auto"/>
                <w:szCs w:val="21"/>
                <w:highlight w:val="none"/>
              </w:rPr>
            </w:pPr>
          </w:p>
        </w:tc>
        <w:tc>
          <w:tcPr>
            <w:tcW w:w="688" w:type="dxa"/>
          </w:tcPr>
          <w:p w14:paraId="6D33F58A">
            <w:pPr>
              <w:spacing w:line="440" w:lineRule="exact"/>
              <w:jc w:val="center"/>
              <w:rPr>
                <w:color w:val="auto"/>
                <w:szCs w:val="21"/>
                <w:highlight w:val="none"/>
              </w:rPr>
            </w:pPr>
          </w:p>
        </w:tc>
      </w:tr>
      <w:tr w14:paraId="403A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CAB8C18">
            <w:pPr>
              <w:spacing w:line="440" w:lineRule="exact"/>
              <w:jc w:val="center"/>
              <w:rPr>
                <w:color w:val="auto"/>
                <w:szCs w:val="21"/>
                <w:highlight w:val="none"/>
              </w:rPr>
            </w:pPr>
          </w:p>
        </w:tc>
        <w:tc>
          <w:tcPr>
            <w:tcW w:w="1087" w:type="dxa"/>
          </w:tcPr>
          <w:p w14:paraId="7F34377B">
            <w:pPr>
              <w:spacing w:line="440" w:lineRule="exact"/>
              <w:jc w:val="center"/>
              <w:rPr>
                <w:color w:val="auto"/>
                <w:szCs w:val="21"/>
                <w:highlight w:val="none"/>
              </w:rPr>
            </w:pPr>
          </w:p>
        </w:tc>
        <w:tc>
          <w:tcPr>
            <w:tcW w:w="760" w:type="dxa"/>
          </w:tcPr>
          <w:p w14:paraId="01CF578E">
            <w:pPr>
              <w:spacing w:line="440" w:lineRule="exact"/>
              <w:jc w:val="center"/>
              <w:rPr>
                <w:color w:val="auto"/>
                <w:szCs w:val="21"/>
                <w:highlight w:val="none"/>
              </w:rPr>
            </w:pPr>
          </w:p>
        </w:tc>
        <w:tc>
          <w:tcPr>
            <w:tcW w:w="991" w:type="dxa"/>
          </w:tcPr>
          <w:p w14:paraId="50CD296F">
            <w:pPr>
              <w:spacing w:line="440" w:lineRule="exact"/>
              <w:jc w:val="center"/>
              <w:rPr>
                <w:color w:val="auto"/>
                <w:szCs w:val="21"/>
                <w:highlight w:val="none"/>
              </w:rPr>
            </w:pPr>
          </w:p>
        </w:tc>
        <w:tc>
          <w:tcPr>
            <w:tcW w:w="672" w:type="dxa"/>
          </w:tcPr>
          <w:p w14:paraId="3877400A">
            <w:pPr>
              <w:spacing w:line="440" w:lineRule="exact"/>
              <w:jc w:val="center"/>
              <w:rPr>
                <w:color w:val="auto"/>
                <w:szCs w:val="21"/>
                <w:highlight w:val="none"/>
              </w:rPr>
            </w:pPr>
          </w:p>
        </w:tc>
        <w:tc>
          <w:tcPr>
            <w:tcW w:w="738" w:type="dxa"/>
          </w:tcPr>
          <w:p w14:paraId="4E3B32D6">
            <w:pPr>
              <w:spacing w:line="440" w:lineRule="exact"/>
              <w:jc w:val="center"/>
              <w:rPr>
                <w:color w:val="auto"/>
                <w:szCs w:val="21"/>
                <w:highlight w:val="none"/>
              </w:rPr>
            </w:pPr>
          </w:p>
        </w:tc>
        <w:tc>
          <w:tcPr>
            <w:tcW w:w="1212" w:type="dxa"/>
          </w:tcPr>
          <w:p w14:paraId="31C62D1F">
            <w:pPr>
              <w:spacing w:line="440" w:lineRule="exact"/>
              <w:jc w:val="center"/>
              <w:rPr>
                <w:color w:val="auto"/>
                <w:szCs w:val="21"/>
                <w:highlight w:val="none"/>
              </w:rPr>
            </w:pPr>
          </w:p>
        </w:tc>
        <w:tc>
          <w:tcPr>
            <w:tcW w:w="1653" w:type="dxa"/>
          </w:tcPr>
          <w:p w14:paraId="4F6986CE">
            <w:pPr>
              <w:spacing w:line="440" w:lineRule="exact"/>
              <w:jc w:val="center"/>
              <w:rPr>
                <w:color w:val="auto"/>
                <w:szCs w:val="21"/>
                <w:highlight w:val="none"/>
              </w:rPr>
            </w:pPr>
          </w:p>
        </w:tc>
        <w:tc>
          <w:tcPr>
            <w:tcW w:w="688" w:type="dxa"/>
          </w:tcPr>
          <w:p w14:paraId="1A912CFD">
            <w:pPr>
              <w:spacing w:line="440" w:lineRule="exact"/>
              <w:jc w:val="center"/>
              <w:rPr>
                <w:color w:val="auto"/>
                <w:szCs w:val="21"/>
                <w:highlight w:val="none"/>
              </w:rPr>
            </w:pPr>
          </w:p>
        </w:tc>
      </w:tr>
      <w:tr w14:paraId="06FF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66EE241">
            <w:pPr>
              <w:spacing w:line="440" w:lineRule="exact"/>
              <w:jc w:val="center"/>
              <w:rPr>
                <w:color w:val="auto"/>
                <w:szCs w:val="21"/>
                <w:highlight w:val="none"/>
              </w:rPr>
            </w:pPr>
          </w:p>
        </w:tc>
        <w:tc>
          <w:tcPr>
            <w:tcW w:w="1087" w:type="dxa"/>
          </w:tcPr>
          <w:p w14:paraId="3DAA7644">
            <w:pPr>
              <w:spacing w:line="440" w:lineRule="exact"/>
              <w:jc w:val="center"/>
              <w:rPr>
                <w:color w:val="auto"/>
                <w:szCs w:val="21"/>
                <w:highlight w:val="none"/>
              </w:rPr>
            </w:pPr>
          </w:p>
        </w:tc>
        <w:tc>
          <w:tcPr>
            <w:tcW w:w="760" w:type="dxa"/>
          </w:tcPr>
          <w:p w14:paraId="18DBBEA5">
            <w:pPr>
              <w:spacing w:line="440" w:lineRule="exact"/>
              <w:jc w:val="center"/>
              <w:rPr>
                <w:color w:val="auto"/>
                <w:szCs w:val="21"/>
                <w:highlight w:val="none"/>
              </w:rPr>
            </w:pPr>
          </w:p>
        </w:tc>
        <w:tc>
          <w:tcPr>
            <w:tcW w:w="991" w:type="dxa"/>
          </w:tcPr>
          <w:p w14:paraId="3167D9E6">
            <w:pPr>
              <w:spacing w:line="440" w:lineRule="exact"/>
              <w:jc w:val="center"/>
              <w:rPr>
                <w:color w:val="auto"/>
                <w:szCs w:val="21"/>
                <w:highlight w:val="none"/>
              </w:rPr>
            </w:pPr>
          </w:p>
        </w:tc>
        <w:tc>
          <w:tcPr>
            <w:tcW w:w="672" w:type="dxa"/>
          </w:tcPr>
          <w:p w14:paraId="3DB49CE5">
            <w:pPr>
              <w:spacing w:line="440" w:lineRule="exact"/>
              <w:jc w:val="center"/>
              <w:rPr>
                <w:color w:val="auto"/>
                <w:szCs w:val="21"/>
                <w:highlight w:val="none"/>
              </w:rPr>
            </w:pPr>
          </w:p>
        </w:tc>
        <w:tc>
          <w:tcPr>
            <w:tcW w:w="738" w:type="dxa"/>
          </w:tcPr>
          <w:p w14:paraId="61318D05">
            <w:pPr>
              <w:spacing w:line="440" w:lineRule="exact"/>
              <w:jc w:val="center"/>
              <w:rPr>
                <w:color w:val="auto"/>
                <w:szCs w:val="21"/>
                <w:highlight w:val="none"/>
              </w:rPr>
            </w:pPr>
          </w:p>
        </w:tc>
        <w:tc>
          <w:tcPr>
            <w:tcW w:w="1212" w:type="dxa"/>
          </w:tcPr>
          <w:p w14:paraId="60016B59">
            <w:pPr>
              <w:spacing w:line="440" w:lineRule="exact"/>
              <w:jc w:val="center"/>
              <w:rPr>
                <w:color w:val="auto"/>
                <w:szCs w:val="21"/>
                <w:highlight w:val="none"/>
              </w:rPr>
            </w:pPr>
          </w:p>
        </w:tc>
        <w:tc>
          <w:tcPr>
            <w:tcW w:w="1653" w:type="dxa"/>
          </w:tcPr>
          <w:p w14:paraId="5E5F25FD">
            <w:pPr>
              <w:spacing w:line="440" w:lineRule="exact"/>
              <w:jc w:val="center"/>
              <w:rPr>
                <w:color w:val="auto"/>
                <w:szCs w:val="21"/>
                <w:highlight w:val="none"/>
              </w:rPr>
            </w:pPr>
          </w:p>
        </w:tc>
        <w:tc>
          <w:tcPr>
            <w:tcW w:w="688" w:type="dxa"/>
          </w:tcPr>
          <w:p w14:paraId="69C589DF">
            <w:pPr>
              <w:spacing w:line="440" w:lineRule="exact"/>
              <w:jc w:val="center"/>
              <w:rPr>
                <w:color w:val="auto"/>
                <w:szCs w:val="21"/>
                <w:highlight w:val="none"/>
              </w:rPr>
            </w:pPr>
          </w:p>
        </w:tc>
      </w:tr>
      <w:tr w14:paraId="4F97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4C9FB0C">
            <w:pPr>
              <w:spacing w:line="440" w:lineRule="exact"/>
              <w:jc w:val="center"/>
              <w:rPr>
                <w:color w:val="auto"/>
                <w:szCs w:val="21"/>
                <w:highlight w:val="none"/>
              </w:rPr>
            </w:pPr>
          </w:p>
        </w:tc>
        <w:tc>
          <w:tcPr>
            <w:tcW w:w="1087" w:type="dxa"/>
          </w:tcPr>
          <w:p w14:paraId="4BD1AF44">
            <w:pPr>
              <w:spacing w:line="440" w:lineRule="exact"/>
              <w:jc w:val="center"/>
              <w:rPr>
                <w:color w:val="auto"/>
                <w:szCs w:val="21"/>
                <w:highlight w:val="none"/>
              </w:rPr>
            </w:pPr>
          </w:p>
        </w:tc>
        <w:tc>
          <w:tcPr>
            <w:tcW w:w="760" w:type="dxa"/>
          </w:tcPr>
          <w:p w14:paraId="589F6A2B">
            <w:pPr>
              <w:spacing w:line="440" w:lineRule="exact"/>
              <w:jc w:val="center"/>
              <w:rPr>
                <w:color w:val="auto"/>
                <w:szCs w:val="21"/>
                <w:highlight w:val="none"/>
              </w:rPr>
            </w:pPr>
          </w:p>
        </w:tc>
        <w:tc>
          <w:tcPr>
            <w:tcW w:w="991" w:type="dxa"/>
          </w:tcPr>
          <w:p w14:paraId="3667B9AB">
            <w:pPr>
              <w:spacing w:line="440" w:lineRule="exact"/>
              <w:jc w:val="center"/>
              <w:rPr>
                <w:color w:val="auto"/>
                <w:szCs w:val="21"/>
                <w:highlight w:val="none"/>
              </w:rPr>
            </w:pPr>
          </w:p>
        </w:tc>
        <w:tc>
          <w:tcPr>
            <w:tcW w:w="672" w:type="dxa"/>
          </w:tcPr>
          <w:p w14:paraId="3D8259BE">
            <w:pPr>
              <w:spacing w:line="440" w:lineRule="exact"/>
              <w:jc w:val="center"/>
              <w:rPr>
                <w:color w:val="auto"/>
                <w:szCs w:val="21"/>
                <w:highlight w:val="none"/>
              </w:rPr>
            </w:pPr>
          </w:p>
        </w:tc>
        <w:tc>
          <w:tcPr>
            <w:tcW w:w="738" w:type="dxa"/>
          </w:tcPr>
          <w:p w14:paraId="3F78CCD5">
            <w:pPr>
              <w:spacing w:line="440" w:lineRule="exact"/>
              <w:jc w:val="center"/>
              <w:rPr>
                <w:color w:val="auto"/>
                <w:szCs w:val="21"/>
                <w:highlight w:val="none"/>
              </w:rPr>
            </w:pPr>
          </w:p>
        </w:tc>
        <w:tc>
          <w:tcPr>
            <w:tcW w:w="1212" w:type="dxa"/>
          </w:tcPr>
          <w:p w14:paraId="48829453">
            <w:pPr>
              <w:spacing w:line="440" w:lineRule="exact"/>
              <w:jc w:val="center"/>
              <w:rPr>
                <w:color w:val="auto"/>
                <w:szCs w:val="21"/>
                <w:highlight w:val="none"/>
              </w:rPr>
            </w:pPr>
          </w:p>
        </w:tc>
        <w:tc>
          <w:tcPr>
            <w:tcW w:w="1653" w:type="dxa"/>
          </w:tcPr>
          <w:p w14:paraId="1E33D5E4">
            <w:pPr>
              <w:spacing w:line="440" w:lineRule="exact"/>
              <w:jc w:val="center"/>
              <w:rPr>
                <w:color w:val="auto"/>
                <w:szCs w:val="21"/>
                <w:highlight w:val="none"/>
              </w:rPr>
            </w:pPr>
          </w:p>
        </w:tc>
        <w:tc>
          <w:tcPr>
            <w:tcW w:w="688" w:type="dxa"/>
          </w:tcPr>
          <w:p w14:paraId="32DCD0E6">
            <w:pPr>
              <w:spacing w:line="440" w:lineRule="exact"/>
              <w:jc w:val="center"/>
              <w:rPr>
                <w:color w:val="auto"/>
                <w:szCs w:val="21"/>
                <w:highlight w:val="none"/>
              </w:rPr>
            </w:pPr>
          </w:p>
        </w:tc>
      </w:tr>
      <w:tr w14:paraId="0A1D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A677101">
            <w:pPr>
              <w:spacing w:line="440" w:lineRule="exact"/>
              <w:jc w:val="center"/>
              <w:rPr>
                <w:color w:val="auto"/>
                <w:szCs w:val="21"/>
                <w:highlight w:val="none"/>
              </w:rPr>
            </w:pPr>
          </w:p>
        </w:tc>
        <w:tc>
          <w:tcPr>
            <w:tcW w:w="1087" w:type="dxa"/>
          </w:tcPr>
          <w:p w14:paraId="0AE86281">
            <w:pPr>
              <w:spacing w:line="440" w:lineRule="exact"/>
              <w:jc w:val="center"/>
              <w:rPr>
                <w:color w:val="auto"/>
                <w:szCs w:val="21"/>
                <w:highlight w:val="none"/>
              </w:rPr>
            </w:pPr>
          </w:p>
        </w:tc>
        <w:tc>
          <w:tcPr>
            <w:tcW w:w="760" w:type="dxa"/>
          </w:tcPr>
          <w:p w14:paraId="4399A754">
            <w:pPr>
              <w:spacing w:line="440" w:lineRule="exact"/>
              <w:jc w:val="center"/>
              <w:rPr>
                <w:color w:val="auto"/>
                <w:szCs w:val="21"/>
                <w:highlight w:val="none"/>
              </w:rPr>
            </w:pPr>
          </w:p>
        </w:tc>
        <w:tc>
          <w:tcPr>
            <w:tcW w:w="991" w:type="dxa"/>
          </w:tcPr>
          <w:p w14:paraId="7CCCBFA1">
            <w:pPr>
              <w:spacing w:line="440" w:lineRule="exact"/>
              <w:jc w:val="center"/>
              <w:rPr>
                <w:color w:val="auto"/>
                <w:szCs w:val="21"/>
                <w:highlight w:val="none"/>
              </w:rPr>
            </w:pPr>
          </w:p>
        </w:tc>
        <w:tc>
          <w:tcPr>
            <w:tcW w:w="672" w:type="dxa"/>
          </w:tcPr>
          <w:p w14:paraId="1ED31CBD">
            <w:pPr>
              <w:spacing w:line="440" w:lineRule="exact"/>
              <w:jc w:val="center"/>
              <w:rPr>
                <w:color w:val="auto"/>
                <w:szCs w:val="21"/>
                <w:highlight w:val="none"/>
              </w:rPr>
            </w:pPr>
          </w:p>
        </w:tc>
        <w:tc>
          <w:tcPr>
            <w:tcW w:w="738" w:type="dxa"/>
          </w:tcPr>
          <w:p w14:paraId="72DBE273">
            <w:pPr>
              <w:spacing w:line="440" w:lineRule="exact"/>
              <w:jc w:val="center"/>
              <w:rPr>
                <w:color w:val="auto"/>
                <w:szCs w:val="21"/>
                <w:highlight w:val="none"/>
              </w:rPr>
            </w:pPr>
          </w:p>
        </w:tc>
        <w:tc>
          <w:tcPr>
            <w:tcW w:w="1212" w:type="dxa"/>
          </w:tcPr>
          <w:p w14:paraId="24692164">
            <w:pPr>
              <w:spacing w:line="440" w:lineRule="exact"/>
              <w:jc w:val="center"/>
              <w:rPr>
                <w:color w:val="auto"/>
                <w:szCs w:val="21"/>
                <w:highlight w:val="none"/>
              </w:rPr>
            </w:pPr>
          </w:p>
        </w:tc>
        <w:tc>
          <w:tcPr>
            <w:tcW w:w="1653" w:type="dxa"/>
          </w:tcPr>
          <w:p w14:paraId="311DC72E">
            <w:pPr>
              <w:spacing w:line="440" w:lineRule="exact"/>
              <w:jc w:val="center"/>
              <w:rPr>
                <w:color w:val="auto"/>
                <w:szCs w:val="21"/>
                <w:highlight w:val="none"/>
              </w:rPr>
            </w:pPr>
          </w:p>
        </w:tc>
        <w:tc>
          <w:tcPr>
            <w:tcW w:w="688" w:type="dxa"/>
          </w:tcPr>
          <w:p w14:paraId="047AA2A2">
            <w:pPr>
              <w:spacing w:line="440" w:lineRule="exact"/>
              <w:jc w:val="center"/>
              <w:rPr>
                <w:color w:val="auto"/>
                <w:szCs w:val="21"/>
                <w:highlight w:val="none"/>
              </w:rPr>
            </w:pPr>
          </w:p>
        </w:tc>
      </w:tr>
      <w:tr w14:paraId="6B57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DDAB168">
            <w:pPr>
              <w:spacing w:line="440" w:lineRule="exact"/>
              <w:jc w:val="center"/>
              <w:rPr>
                <w:color w:val="auto"/>
                <w:szCs w:val="21"/>
                <w:highlight w:val="none"/>
              </w:rPr>
            </w:pPr>
          </w:p>
        </w:tc>
        <w:tc>
          <w:tcPr>
            <w:tcW w:w="1087" w:type="dxa"/>
          </w:tcPr>
          <w:p w14:paraId="68022DD4">
            <w:pPr>
              <w:spacing w:line="440" w:lineRule="exact"/>
              <w:jc w:val="center"/>
              <w:rPr>
                <w:color w:val="auto"/>
                <w:szCs w:val="21"/>
                <w:highlight w:val="none"/>
              </w:rPr>
            </w:pPr>
          </w:p>
        </w:tc>
        <w:tc>
          <w:tcPr>
            <w:tcW w:w="760" w:type="dxa"/>
          </w:tcPr>
          <w:p w14:paraId="092DC3E1">
            <w:pPr>
              <w:spacing w:line="440" w:lineRule="exact"/>
              <w:jc w:val="center"/>
              <w:rPr>
                <w:color w:val="auto"/>
                <w:szCs w:val="21"/>
                <w:highlight w:val="none"/>
              </w:rPr>
            </w:pPr>
          </w:p>
        </w:tc>
        <w:tc>
          <w:tcPr>
            <w:tcW w:w="991" w:type="dxa"/>
          </w:tcPr>
          <w:p w14:paraId="1AA071AC">
            <w:pPr>
              <w:spacing w:line="440" w:lineRule="exact"/>
              <w:jc w:val="center"/>
              <w:rPr>
                <w:color w:val="auto"/>
                <w:szCs w:val="21"/>
                <w:highlight w:val="none"/>
              </w:rPr>
            </w:pPr>
          </w:p>
        </w:tc>
        <w:tc>
          <w:tcPr>
            <w:tcW w:w="672" w:type="dxa"/>
          </w:tcPr>
          <w:p w14:paraId="20493D37">
            <w:pPr>
              <w:spacing w:line="440" w:lineRule="exact"/>
              <w:jc w:val="center"/>
              <w:rPr>
                <w:color w:val="auto"/>
                <w:szCs w:val="21"/>
                <w:highlight w:val="none"/>
              </w:rPr>
            </w:pPr>
          </w:p>
        </w:tc>
        <w:tc>
          <w:tcPr>
            <w:tcW w:w="738" w:type="dxa"/>
          </w:tcPr>
          <w:p w14:paraId="26B34B6C">
            <w:pPr>
              <w:spacing w:line="440" w:lineRule="exact"/>
              <w:jc w:val="center"/>
              <w:rPr>
                <w:color w:val="auto"/>
                <w:szCs w:val="21"/>
                <w:highlight w:val="none"/>
              </w:rPr>
            </w:pPr>
          </w:p>
        </w:tc>
        <w:tc>
          <w:tcPr>
            <w:tcW w:w="1212" w:type="dxa"/>
          </w:tcPr>
          <w:p w14:paraId="2371F8DB">
            <w:pPr>
              <w:spacing w:line="440" w:lineRule="exact"/>
              <w:jc w:val="center"/>
              <w:rPr>
                <w:color w:val="auto"/>
                <w:szCs w:val="21"/>
                <w:highlight w:val="none"/>
              </w:rPr>
            </w:pPr>
          </w:p>
        </w:tc>
        <w:tc>
          <w:tcPr>
            <w:tcW w:w="1653" w:type="dxa"/>
          </w:tcPr>
          <w:p w14:paraId="6B4DBB9E">
            <w:pPr>
              <w:spacing w:line="440" w:lineRule="exact"/>
              <w:jc w:val="center"/>
              <w:rPr>
                <w:color w:val="auto"/>
                <w:szCs w:val="21"/>
                <w:highlight w:val="none"/>
              </w:rPr>
            </w:pPr>
          </w:p>
        </w:tc>
        <w:tc>
          <w:tcPr>
            <w:tcW w:w="688" w:type="dxa"/>
          </w:tcPr>
          <w:p w14:paraId="7989FD56">
            <w:pPr>
              <w:spacing w:line="440" w:lineRule="exact"/>
              <w:jc w:val="center"/>
              <w:rPr>
                <w:color w:val="auto"/>
                <w:szCs w:val="21"/>
                <w:highlight w:val="none"/>
              </w:rPr>
            </w:pPr>
          </w:p>
        </w:tc>
      </w:tr>
      <w:tr w14:paraId="1B6A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BD4F488">
            <w:pPr>
              <w:spacing w:line="440" w:lineRule="exact"/>
              <w:jc w:val="center"/>
              <w:rPr>
                <w:color w:val="auto"/>
                <w:szCs w:val="21"/>
                <w:highlight w:val="none"/>
              </w:rPr>
            </w:pPr>
          </w:p>
        </w:tc>
        <w:tc>
          <w:tcPr>
            <w:tcW w:w="1087" w:type="dxa"/>
          </w:tcPr>
          <w:p w14:paraId="22DDD6A2">
            <w:pPr>
              <w:spacing w:line="440" w:lineRule="exact"/>
              <w:jc w:val="center"/>
              <w:rPr>
                <w:color w:val="auto"/>
                <w:szCs w:val="21"/>
                <w:highlight w:val="none"/>
              </w:rPr>
            </w:pPr>
          </w:p>
        </w:tc>
        <w:tc>
          <w:tcPr>
            <w:tcW w:w="760" w:type="dxa"/>
          </w:tcPr>
          <w:p w14:paraId="65C81CF6">
            <w:pPr>
              <w:spacing w:line="440" w:lineRule="exact"/>
              <w:jc w:val="center"/>
              <w:rPr>
                <w:color w:val="auto"/>
                <w:szCs w:val="21"/>
                <w:highlight w:val="none"/>
              </w:rPr>
            </w:pPr>
          </w:p>
        </w:tc>
        <w:tc>
          <w:tcPr>
            <w:tcW w:w="991" w:type="dxa"/>
          </w:tcPr>
          <w:p w14:paraId="6C11C0E9">
            <w:pPr>
              <w:spacing w:line="440" w:lineRule="exact"/>
              <w:jc w:val="center"/>
              <w:rPr>
                <w:color w:val="auto"/>
                <w:szCs w:val="21"/>
                <w:highlight w:val="none"/>
              </w:rPr>
            </w:pPr>
          </w:p>
        </w:tc>
        <w:tc>
          <w:tcPr>
            <w:tcW w:w="672" w:type="dxa"/>
          </w:tcPr>
          <w:p w14:paraId="25E9BC8A">
            <w:pPr>
              <w:spacing w:line="440" w:lineRule="exact"/>
              <w:jc w:val="center"/>
              <w:rPr>
                <w:color w:val="auto"/>
                <w:szCs w:val="21"/>
                <w:highlight w:val="none"/>
              </w:rPr>
            </w:pPr>
          </w:p>
        </w:tc>
        <w:tc>
          <w:tcPr>
            <w:tcW w:w="738" w:type="dxa"/>
          </w:tcPr>
          <w:p w14:paraId="4F4823F1">
            <w:pPr>
              <w:spacing w:line="440" w:lineRule="exact"/>
              <w:jc w:val="center"/>
              <w:rPr>
                <w:color w:val="auto"/>
                <w:szCs w:val="21"/>
                <w:highlight w:val="none"/>
              </w:rPr>
            </w:pPr>
          </w:p>
        </w:tc>
        <w:tc>
          <w:tcPr>
            <w:tcW w:w="1212" w:type="dxa"/>
          </w:tcPr>
          <w:p w14:paraId="753897F6">
            <w:pPr>
              <w:spacing w:line="440" w:lineRule="exact"/>
              <w:jc w:val="center"/>
              <w:rPr>
                <w:color w:val="auto"/>
                <w:szCs w:val="21"/>
                <w:highlight w:val="none"/>
              </w:rPr>
            </w:pPr>
          </w:p>
        </w:tc>
        <w:tc>
          <w:tcPr>
            <w:tcW w:w="1653" w:type="dxa"/>
          </w:tcPr>
          <w:p w14:paraId="2BAA6C9E">
            <w:pPr>
              <w:spacing w:line="440" w:lineRule="exact"/>
              <w:jc w:val="center"/>
              <w:rPr>
                <w:color w:val="auto"/>
                <w:szCs w:val="21"/>
                <w:highlight w:val="none"/>
              </w:rPr>
            </w:pPr>
          </w:p>
        </w:tc>
        <w:tc>
          <w:tcPr>
            <w:tcW w:w="688" w:type="dxa"/>
          </w:tcPr>
          <w:p w14:paraId="6F95562F">
            <w:pPr>
              <w:spacing w:line="440" w:lineRule="exact"/>
              <w:jc w:val="center"/>
              <w:rPr>
                <w:color w:val="auto"/>
                <w:szCs w:val="21"/>
                <w:highlight w:val="none"/>
              </w:rPr>
            </w:pPr>
          </w:p>
        </w:tc>
      </w:tr>
      <w:tr w14:paraId="38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FC0F471">
            <w:pPr>
              <w:spacing w:line="440" w:lineRule="exact"/>
              <w:jc w:val="center"/>
              <w:rPr>
                <w:color w:val="auto"/>
                <w:szCs w:val="21"/>
                <w:highlight w:val="none"/>
              </w:rPr>
            </w:pPr>
          </w:p>
        </w:tc>
        <w:tc>
          <w:tcPr>
            <w:tcW w:w="1087" w:type="dxa"/>
          </w:tcPr>
          <w:p w14:paraId="5EC6576E">
            <w:pPr>
              <w:spacing w:line="440" w:lineRule="exact"/>
              <w:jc w:val="center"/>
              <w:rPr>
                <w:color w:val="auto"/>
                <w:szCs w:val="21"/>
                <w:highlight w:val="none"/>
              </w:rPr>
            </w:pPr>
          </w:p>
        </w:tc>
        <w:tc>
          <w:tcPr>
            <w:tcW w:w="760" w:type="dxa"/>
          </w:tcPr>
          <w:p w14:paraId="5DF5F42B">
            <w:pPr>
              <w:spacing w:line="440" w:lineRule="exact"/>
              <w:jc w:val="center"/>
              <w:rPr>
                <w:color w:val="auto"/>
                <w:szCs w:val="21"/>
                <w:highlight w:val="none"/>
              </w:rPr>
            </w:pPr>
          </w:p>
        </w:tc>
        <w:tc>
          <w:tcPr>
            <w:tcW w:w="991" w:type="dxa"/>
          </w:tcPr>
          <w:p w14:paraId="7308F528">
            <w:pPr>
              <w:spacing w:line="440" w:lineRule="exact"/>
              <w:jc w:val="center"/>
              <w:rPr>
                <w:color w:val="auto"/>
                <w:szCs w:val="21"/>
                <w:highlight w:val="none"/>
              </w:rPr>
            </w:pPr>
          </w:p>
        </w:tc>
        <w:tc>
          <w:tcPr>
            <w:tcW w:w="672" w:type="dxa"/>
          </w:tcPr>
          <w:p w14:paraId="00CCC4D0">
            <w:pPr>
              <w:spacing w:line="440" w:lineRule="exact"/>
              <w:jc w:val="center"/>
              <w:rPr>
                <w:color w:val="auto"/>
                <w:szCs w:val="21"/>
                <w:highlight w:val="none"/>
              </w:rPr>
            </w:pPr>
          </w:p>
        </w:tc>
        <w:tc>
          <w:tcPr>
            <w:tcW w:w="738" w:type="dxa"/>
          </w:tcPr>
          <w:p w14:paraId="52369021">
            <w:pPr>
              <w:spacing w:line="440" w:lineRule="exact"/>
              <w:jc w:val="center"/>
              <w:rPr>
                <w:color w:val="auto"/>
                <w:szCs w:val="21"/>
                <w:highlight w:val="none"/>
              </w:rPr>
            </w:pPr>
          </w:p>
        </w:tc>
        <w:tc>
          <w:tcPr>
            <w:tcW w:w="1212" w:type="dxa"/>
          </w:tcPr>
          <w:p w14:paraId="34BA0648">
            <w:pPr>
              <w:spacing w:line="440" w:lineRule="exact"/>
              <w:jc w:val="center"/>
              <w:rPr>
                <w:color w:val="auto"/>
                <w:szCs w:val="21"/>
                <w:highlight w:val="none"/>
              </w:rPr>
            </w:pPr>
          </w:p>
        </w:tc>
        <w:tc>
          <w:tcPr>
            <w:tcW w:w="1653" w:type="dxa"/>
          </w:tcPr>
          <w:p w14:paraId="22D4D6D3">
            <w:pPr>
              <w:spacing w:line="440" w:lineRule="exact"/>
              <w:jc w:val="center"/>
              <w:rPr>
                <w:color w:val="auto"/>
                <w:szCs w:val="21"/>
                <w:highlight w:val="none"/>
              </w:rPr>
            </w:pPr>
          </w:p>
        </w:tc>
        <w:tc>
          <w:tcPr>
            <w:tcW w:w="688" w:type="dxa"/>
          </w:tcPr>
          <w:p w14:paraId="65E47969">
            <w:pPr>
              <w:spacing w:line="440" w:lineRule="exact"/>
              <w:jc w:val="center"/>
              <w:rPr>
                <w:color w:val="auto"/>
                <w:szCs w:val="21"/>
                <w:highlight w:val="none"/>
              </w:rPr>
            </w:pPr>
          </w:p>
        </w:tc>
      </w:tr>
      <w:tr w14:paraId="739B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3B32598">
            <w:pPr>
              <w:spacing w:line="440" w:lineRule="exact"/>
              <w:jc w:val="center"/>
              <w:rPr>
                <w:color w:val="auto"/>
                <w:szCs w:val="21"/>
                <w:highlight w:val="none"/>
              </w:rPr>
            </w:pPr>
          </w:p>
        </w:tc>
        <w:tc>
          <w:tcPr>
            <w:tcW w:w="1087" w:type="dxa"/>
          </w:tcPr>
          <w:p w14:paraId="548F1CF1">
            <w:pPr>
              <w:spacing w:line="440" w:lineRule="exact"/>
              <w:jc w:val="center"/>
              <w:rPr>
                <w:color w:val="auto"/>
                <w:szCs w:val="21"/>
                <w:highlight w:val="none"/>
              </w:rPr>
            </w:pPr>
          </w:p>
        </w:tc>
        <w:tc>
          <w:tcPr>
            <w:tcW w:w="760" w:type="dxa"/>
          </w:tcPr>
          <w:p w14:paraId="29F2C326">
            <w:pPr>
              <w:spacing w:line="440" w:lineRule="exact"/>
              <w:jc w:val="center"/>
              <w:rPr>
                <w:color w:val="auto"/>
                <w:szCs w:val="21"/>
                <w:highlight w:val="none"/>
              </w:rPr>
            </w:pPr>
          </w:p>
        </w:tc>
        <w:tc>
          <w:tcPr>
            <w:tcW w:w="991" w:type="dxa"/>
          </w:tcPr>
          <w:p w14:paraId="210BC784">
            <w:pPr>
              <w:spacing w:line="440" w:lineRule="exact"/>
              <w:jc w:val="center"/>
              <w:rPr>
                <w:color w:val="auto"/>
                <w:szCs w:val="21"/>
                <w:highlight w:val="none"/>
              </w:rPr>
            </w:pPr>
          </w:p>
        </w:tc>
        <w:tc>
          <w:tcPr>
            <w:tcW w:w="672" w:type="dxa"/>
          </w:tcPr>
          <w:p w14:paraId="3571E367">
            <w:pPr>
              <w:spacing w:line="440" w:lineRule="exact"/>
              <w:jc w:val="center"/>
              <w:rPr>
                <w:color w:val="auto"/>
                <w:szCs w:val="21"/>
                <w:highlight w:val="none"/>
              </w:rPr>
            </w:pPr>
          </w:p>
        </w:tc>
        <w:tc>
          <w:tcPr>
            <w:tcW w:w="738" w:type="dxa"/>
          </w:tcPr>
          <w:p w14:paraId="1405B436">
            <w:pPr>
              <w:spacing w:line="440" w:lineRule="exact"/>
              <w:jc w:val="center"/>
              <w:rPr>
                <w:color w:val="auto"/>
                <w:szCs w:val="21"/>
                <w:highlight w:val="none"/>
              </w:rPr>
            </w:pPr>
          </w:p>
        </w:tc>
        <w:tc>
          <w:tcPr>
            <w:tcW w:w="1212" w:type="dxa"/>
          </w:tcPr>
          <w:p w14:paraId="327E23DA">
            <w:pPr>
              <w:spacing w:line="440" w:lineRule="exact"/>
              <w:jc w:val="center"/>
              <w:rPr>
                <w:color w:val="auto"/>
                <w:szCs w:val="21"/>
                <w:highlight w:val="none"/>
              </w:rPr>
            </w:pPr>
          </w:p>
        </w:tc>
        <w:tc>
          <w:tcPr>
            <w:tcW w:w="1653" w:type="dxa"/>
          </w:tcPr>
          <w:p w14:paraId="6D353BB4">
            <w:pPr>
              <w:spacing w:line="440" w:lineRule="exact"/>
              <w:jc w:val="center"/>
              <w:rPr>
                <w:color w:val="auto"/>
                <w:szCs w:val="21"/>
                <w:highlight w:val="none"/>
              </w:rPr>
            </w:pPr>
          </w:p>
        </w:tc>
        <w:tc>
          <w:tcPr>
            <w:tcW w:w="688" w:type="dxa"/>
          </w:tcPr>
          <w:p w14:paraId="644246C0">
            <w:pPr>
              <w:spacing w:line="440" w:lineRule="exact"/>
              <w:jc w:val="center"/>
              <w:rPr>
                <w:color w:val="auto"/>
                <w:szCs w:val="21"/>
                <w:highlight w:val="none"/>
              </w:rPr>
            </w:pPr>
          </w:p>
        </w:tc>
      </w:tr>
      <w:tr w14:paraId="6160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F18C588">
            <w:pPr>
              <w:spacing w:line="440" w:lineRule="exact"/>
              <w:jc w:val="center"/>
              <w:rPr>
                <w:color w:val="auto"/>
                <w:szCs w:val="21"/>
                <w:highlight w:val="none"/>
              </w:rPr>
            </w:pPr>
          </w:p>
        </w:tc>
        <w:tc>
          <w:tcPr>
            <w:tcW w:w="1087" w:type="dxa"/>
          </w:tcPr>
          <w:p w14:paraId="2286D949">
            <w:pPr>
              <w:spacing w:line="440" w:lineRule="exact"/>
              <w:jc w:val="center"/>
              <w:rPr>
                <w:color w:val="auto"/>
                <w:szCs w:val="21"/>
                <w:highlight w:val="none"/>
              </w:rPr>
            </w:pPr>
          </w:p>
        </w:tc>
        <w:tc>
          <w:tcPr>
            <w:tcW w:w="760" w:type="dxa"/>
          </w:tcPr>
          <w:p w14:paraId="77648B87">
            <w:pPr>
              <w:spacing w:line="440" w:lineRule="exact"/>
              <w:jc w:val="center"/>
              <w:rPr>
                <w:color w:val="auto"/>
                <w:szCs w:val="21"/>
                <w:highlight w:val="none"/>
              </w:rPr>
            </w:pPr>
          </w:p>
        </w:tc>
        <w:tc>
          <w:tcPr>
            <w:tcW w:w="991" w:type="dxa"/>
          </w:tcPr>
          <w:p w14:paraId="411CDF02">
            <w:pPr>
              <w:spacing w:line="440" w:lineRule="exact"/>
              <w:jc w:val="center"/>
              <w:rPr>
                <w:color w:val="auto"/>
                <w:szCs w:val="21"/>
                <w:highlight w:val="none"/>
              </w:rPr>
            </w:pPr>
          </w:p>
        </w:tc>
        <w:tc>
          <w:tcPr>
            <w:tcW w:w="672" w:type="dxa"/>
          </w:tcPr>
          <w:p w14:paraId="370B99B9">
            <w:pPr>
              <w:spacing w:line="440" w:lineRule="exact"/>
              <w:jc w:val="center"/>
              <w:rPr>
                <w:color w:val="auto"/>
                <w:szCs w:val="21"/>
                <w:highlight w:val="none"/>
              </w:rPr>
            </w:pPr>
          </w:p>
        </w:tc>
        <w:tc>
          <w:tcPr>
            <w:tcW w:w="738" w:type="dxa"/>
          </w:tcPr>
          <w:p w14:paraId="3E682490">
            <w:pPr>
              <w:spacing w:line="440" w:lineRule="exact"/>
              <w:jc w:val="center"/>
              <w:rPr>
                <w:color w:val="auto"/>
                <w:szCs w:val="21"/>
                <w:highlight w:val="none"/>
              </w:rPr>
            </w:pPr>
          </w:p>
        </w:tc>
        <w:tc>
          <w:tcPr>
            <w:tcW w:w="1212" w:type="dxa"/>
          </w:tcPr>
          <w:p w14:paraId="298E3516">
            <w:pPr>
              <w:spacing w:line="440" w:lineRule="exact"/>
              <w:jc w:val="center"/>
              <w:rPr>
                <w:color w:val="auto"/>
                <w:szCs w:val="21"/>
                <w:highlight w:val="none"/>
              </w:rPr>
            </w:pPr>
          </w:p>
        </w:tc>
        <w:tc>
          <w:tcPr>
            <w:tcW w:w="1653" w:type="dxa"/>
          </w:tcPr>
          <w:p w14:paraId="1D4EA104">
            <w:pPr>
              <w:spacing w:line="440" w:lineRule="exact"/>
              <w:jc w:val="center"/>
              <w:rPr>
                <w:color w:val="auto"/>
                <w:szCs w:val="21"/>
                <w:highlight w:val="none"/>
              </w:rPr>
            </w:pPr>
          </w:p>
        </w:tc>
        <w:tc>
          <w:tcPr>
            <w:tcW w:w="688" w:type="dxa"/>
          </w:tcPr>
          <w:p w14:paraId="091CC2D4">
            <w:pPr>
              <w:spacing w:line="440" w:lineRule="exact"/>
              <w:jc w:val="center"/>
              <w:rPr>
                <w:color w:val="auto"/>
                <w:szCs w:val="21"/>
                <w:highlight w:val="none"/>
              </w:rPr>
            </w:pPr>
          </w:p>
        </w:tc>
      </w:tr>
      <w:tr w14:paraId="7FB3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0F73AF1">
            <w:pPr>
              <w:spacing w:line="440" w:lineRule="exact"/>
              <w:jc w:val="center"/>
              <w:rPr>
                <w:color w:val="auto"/>
                <w:szCs w:val="21"/>
                <w:highlight w:val="none"/>
              </w:rPr>
            </w:pPr>
          </w:p>
        </w:tc>
        <w:tc>
          <w:tcPr>
            <w:tcW w:w="1087" w:type="dxa"/>
          </w:tcPr>
          <w:p w14:paraId="3150C023">
            <w:pPr>
              <w:spacing w:line="440" w:lineRule="exact"/>
              <w:jc w:val="center"/>
              <w:rPr>
                <w:color w:val="auto"/>
                <w:szCs w:val="21"/>
                <w:highlight w:val="none"/>
              </w:rPr>
            </w:pPr>
          </w:p>
        </w:tc>
        <w:tc>
          <w:tcPr>
            <w:tcW w:w="760" w:type="dxa"/>
          </w:tcPr>
          <w:p w14:paraId="23C75DDD">
            <w:pPr>
              <w:spacing w:line="440" w:lineRule="exact"/>
              <w:jc w:val="center"/>
              <w:rPr>
                <w:color w:val="auto"/>
                <w:szCs w:val="21"/>
                <w:highlight w:val="none"/>
              </w:rPr>
            </w:pPr>
          </w:p>
        </w:tc>
        <w:tc>
          <w:tcPr>
            <w:tcW w:w="991" w:type="dxa"/>
          </w:tcPr>
          <w:p w14:paraId="2FFBEC65">
            <w:pPr>
              <w:spacing w:line="440" w:lineRule="exact"/>
              <w:jc w:val="center"/>
              <w:rPr>
                <w:color w:val="auto"/>
                <w:szCs w:val="21"/>
                <w:highlight w:val="none"/>
              </w:rPr>
            </w:pPr>
          </w:p>
        </w:tc>
        <w:tc>
          <w:tcPr>
            <w:tcW w:w="672" w:type="dxa"/>
          </w:tcPr>
          <w:p w14:paraId="5254ED9C">
            <w:pPr>
              <w:spacing w:line="440" w:lineRule="exact"/>
              <w:jc w:val="center"/>
              <w:rPr>
                <w:color w:val="auto"/>
                <w:szCs w:val="21"/>
                <w:highlight w:val="none"/>
              </w:rPr>
            </w:pPr>
          </w:p>
        </w:tc>
        <w:tc>
          <w:tcPr>
            <w:tcW w:w="738" w:type="dxa"/>
          </w:tcPr>
          <w:p w14:paraId="527D4BA7">
            <w:pPr>
              <w:spacing w:line="440" w:lineRule="exact"/>
              <w:jc w:val="center"/>
              <w:rPr>
                <w:color w:val="auto"/>
                <w:szCs w:val="21"/>
                <w:highlight w:val="none"/>
              </w:rPr>
            </w:pPr>
          </w:p>
        </w:tc>
        <w:tc>
          <w:tcPr>
            <w:tcW w:w="1212" w:type="dxa"/>
          </w:tcPr>
          <w:p w14:paraId="4BB55947">
            <w:pPr>
              <w:spacing w:line="440" w:lineRule="exact"/>
              <w:jc w:val="center"/>
              <w:rPr>
                <w:color w:val="auto"/>
                <w:szCs w:val="21"/>
                <w:highlight w:val="none"/>
              </w:rPr>
            </w:pPr>
          </w:p>
        </w:tc>
        <w:tc>
          <w:tcPr>
            <w:tcW w:w="1653" w:type="dxa"/>
          </w:tcPr>
          <w:p w14:paraId="790E20D9">
            <w:pPr>
              <w:spacing w:line="440" w:lineRule="exact"/>
              <w:jc w:val="center"/>
              <w:rPr>
                <w:color w:val="auto"/>
                <w:szCs w:val="21"/>
                <w:highlight w:val="none"/>
              </w:rPr>
            </w:pPr>
          </w:p>
        </w:tc>
        <w:tc>
          <w:tcPr>
            <w:tcW w:w="688" w:type="dxa"/>
          </w:tcPr>
          <w:p w14:paraId="38222637">
            <w:pPr>
              <w:spacing w:line="440" w:lineRule="exact"/>
              <w:jc w:val="center"/>
              <w:rPr>
                <w:color w:val="auto"/>
                <w:szCs w:val="21"/>
                <w:highlight w:val="none"/>
              </w:rPr>
            </w:pPr>
          </w:p>
        </w:tc>
      </w:tr>
      <w:tr w14:paraId="25CE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1EA81E7">
            <w:pPr>
              <w:spacing w:line="440" w:lineRule="exact"/>
              <w:jc w:val="center"/>
              <w:rPr>
                <w:color w:val="auto"/>
                <w:szCs w:val="21"/>
                <w:highlight w:val="none"/>
              </w:rPr>
            </w:pPr>
          </w:p>
        </w:tc>
        <w:tc>
          <w:tcPr>
            <w:tcW w:w="1087" w:type="dxa"/>
          </w:tcPr>
          <w:p w14:paraId="6DDEA7D2">
            <w:pPr>
              <w:spacing w:line="440" w:lineRule="exact"/>
              <w:jc w:val="center"/>
              <w:rPr>
                <w:color w:val="auto"/>
                <w:szCs w:val="21"/>
                <w:highlight w:val="none"/>
              </w:rPr>
            </w:pPr>
          </w:p>
        </w:tc>
        <w:tc>
          <w:tcPr>
            <w:tcW w:w="760" w:type="dxa"/>
          </w:tcPr>
          <w:p w14:paraId="526FCB85">
            <w:pPr>
              <w:spacing w:line="440" w:lineRule="exact"/>
              <w:jc w:val="center"/>
              <w:rPr>
                <w:color w:val="auto"/>
                <w:szCs w:val="21"/>
                <w:highlight w:val="none"/>
              </w:rPr>
            </w:pPr>
          </w:p>
        </w:tc>
        <w:tc>
          <w:tcPr>
            <w:tcW w:w="991" w:type="dxa"/>
          </w:tcPr>
          <w:p w14:paraId="62D2A309">
            <w:pPr>
              <w:spacing w:line="440" w:lineRule="exact"/>
              <w:jc w:val="center"/>
              <w:rPr>
                <w:color w:val="auto"/>
                <w:szCs w:val="21"/>
                <w:highlight w:val="none"/>
              </w:rPr>
            </w:pPr>
          </w:p>
        </w:tc>
        <w:tc>
          <w:tcPr>
            <w:tcW w:w="672" w:type="dxa"/>
          </w:tcPr>
          <w:p w14:paraId="21FE2CB5">
            <w:pPr>
              <w:spacing w:line="440" w:lineRule="exact"/>
              <w:jc w:val="center"/>
              <w:rPr>
                <w:color w:val="auto"/>
                <w:szCs w:val="21"/>
                <w:highlight w:val="none"/>
              </w:rPr>
            </w:pPr>
          </w:p>
        </w:tc>
        <w:tc>
          <w:tcPr>
            <w:tcW w:w="738" w:type="dxa"/>
          </w:tcPr>
          <w:p w14:paraId="586DF0D9">
            <w:pPr>
              <w:spacing w:line="440" w:lineRule="exact"/>
              <w:jc w:val="center"/>
              <w:rPr>
                <w:color w:val="auto"/>
                <w:szCs w:val="21"/>
                <w:highlight w:val="none"/>
              </w:rPr>
            </w:pPr>
          </w:p>
        </w:tc>
        <w:tc>
          <w:tcPr>
            <w:tcW w:w="1212" w:type="dxa"/>
          </w:tcPr>
          <w:p w14:paraId="3638EC4E">
            <w:pPr>
              <w:spacing w:line="440" w:lineRule="exact"/>
              <w:jc w:val="center"/>
              <w:rPr>
                <w:color w:val="auto"/>
                <w:szCs w:val="21"/>
                <w:highlight w:val="none"/>
              </w:rPr>
            </w:pPr>
          </w:p>
        </w:tc>
        <w:tc>
          <w:tcPr>
            <w:tcW w:w="1653" w:type="dxa"/>
          </w:tcPr>
          <w:p w14:paraId="5F926D39">
            <w:pPr>
              <w:spacing w:line="440" w:lineRule="exact"/>
              <w:jc w:val="center"/>
              <w:rPr>
                <w:color w:val="auto"/>
                <w:szCs w:val="21"/>
                <w:highlight w:val="none"/>
              </w:rPr>
            </w:pPr>
          </w:p>
        </w:tc>
        <w:tc>
          <w:tcPr>
            <w:tcW w:w="688" w:type="dxa"/>
          </w:tcPr>
          <w:p w14:paraId="30086E33">
            <w:pPr>
              <w:spacing w:line="440" w:lineRule="exact"/>
              <w:jc w:val="center"/>
              <w:rPr>
                <w:color w:val="auto"/>
                <w:szCs w:val="21"/>
                <w:highlight w:val="none"/>
              </w:rPr>
            </w:pPr>
          </w:p>
        </w:tc>
      </w:tr>
      <w:tr w14:paraId="529D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76B9BEE">
            <w:pPr>
              <w:spacing w:line="440" w:lineRule="exact"/>
              <w:jc w:val="center"/>
              <w:rPr>
                <w:color w:val="auto"/>
                <w:szCs w:val="21"/>
                <w:highlight w:val="none"/>
              </w:rPr>
            </w:pPr>
          </w:p>
        </w:tc>
        <w:tc>
          <w:tcPr>
            <w:tcW w:w="1087" w:type="dxa"/>
          </w:tcPr>
          <w:p w14:paraId="587117D8">
            <w:pPr>
              <w:spacing w:line="440" w:lineRule="exact"/>
              <w:jc w:val="center"/>
              <w:rPr>
                <w:color w:val="auto"/>
                <w:szCs w:val="21"/>
                <w:highlight w:val="none"/>
              </w:rPr>
            </w:pPr>
          </w:p>
        </w:tc>
        <w:tc>
          <w:tcPr>
            <w:tcW w:w="760" w:type="dxa"/>
          </w:tcPr>
          <w:p w14:paraId="31BE2A3D">
            <w:pPr>
              <w:spacing w:line="440" w:lineRule="exact"/>
              <w:jc w:val="center"/>
              <w:rPr>
                <w:color w:val="auto"/>
                <w:szCs w:val="21"/>
                <w:highlight w:val="none"/>
              </w:rPr>
            </w:pPr>
          </w:p>
        </w:tc>
        <w:tc>
          <w:tcPr>
            <w:tcW w:w="991" w:type="dxa"/>
          </w:tcPr>
          <w:p w14:paraId="0AEA8CAA">
            <w:pPr>
              <w:spacing w:line="440" w:lineRule="exact"/>
              <w:jc w:val="center"/>
              <w:rPr>
                <w:color w:val="auto"/>
                <w:szCs w:val="21"/>
                <w:highlight w:val="none"/>
              </w:rPr>
            </w:pPr>
          </w:p>
        </w:tc>
        <w:tc>
          <w:tcPr>
            <w:tcW w:w="672" w:type="dxa"/>
          </w:tcPr>
          <w:p w14:paraId="20DA97CF">
            <w:pPr>
              <w:spacing w:line="440" w:lineRule="exact"/>
              <w:jc w:val="center"/>
              <w:rPr>
                <w:color w:val="auto"/>
                <w:szCs w:val="21"/>
                <w:highlight w:val="none"/>
              </w:rPr>
            </w:pPr>
          </w:p>
        </w:tc>
        <w:tc>
          <w:tcPr>
            <w:tcW w:w="738" w:type="dxa"/>
          </w:tcPr>
          <w:p w14:paraId="7F435386">
            <w:pPr>
              <w:spacing w:line="440" w:lineRule="exact"/>
              <w:jc w:val="center"/>
              <w:rPr>
                <w:color w:val="auto"/>
                <w:szCs w:val="21"/>
                <w:highlight w:val="none"/>
              </w:rPr>
            </w:pPr>
          </w:p>
        </w:tc>
        <w:tc>
          <w:tcPr>
            <w:tcW w:w="1212" w:type="dxa"/>
          </w:tcPr>
          <w:p w14:paraId="1D65CCE6">
            <w:pPr>
              <w:spacing w:line="440" w:lineRule="exact"/>
              <w:jc w:val="center"/>
              <w:rPr>
                <w:color w:val="auto"/>
                <w:szCs w:val="21"/>
                <w:highlight w:val="none"/>
              </w:rPr>
            </w:pPr>
          </w:p>
        </w:tc>
        <w:tc>
          <w:tcPr>
            <w:tcW w:w="1653" w:type="dxa"/>
          </w:tcPr>
          <w:p w14:paraId="338758B8">
            <w:pPr>
              <w:spacing w:line="440" w:lineRule="exact"/>
              <w:jc w:val="center"/>
              <w:rPr>
                <w:color w:val="auto"/>
                <w:szCs w:val="21"/>
                <w:highlight w:val="none"/>
              </w:rPr>
            </w:pPr>
          </w:p>
        </w:tc>
        <w:tc>
          <w:tcPr>
            <w:tcW w:w="688" w:type="dxa"/>
          </w:tcPr>
          <w:p w14:paraId="311A1781">
            <w:pPr>
              <w:spacing w:line="440" w:lineRule="exact"/>
              <w:jc w:val="center"/>
              <w:rPr>
                <w:color w:val="auto"/>
                <w:szCs w:val="21"/>
                <w:highlight w:val="none"/>
              </w:rPr>
            </w:pPr>
          </w:p>
        </w:tc>
      </w:tr>
      <w:tr w14:paraId="5FE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D132CD4">
            <w:pPr>
              <w:spacing w:line="440" w:lineRule="exact"/>
              <w:jc w:val="center"/>
              <w:rPr>
                <w:color w:val="auto"/>
                <w:szCs w:val="21"/>
                <w:highlight w:val="none"/>
              </w:rPr>
            </w:pPr>
          </w:p>
        </w:tc>
        <w:tc>
          <w:tcPr>
            <w:tcW w:w="1087" w:type="dxa"/>
          </w:tcPr>
          <w:p w14:paraId="264D1D13">
            <w:pPr>
              <w:spacing w:line="440" w:lineRule="exact"/>
              <w:jc w:val="center"/>
              <w:rPr>
                <w:color w:val="auto"/>
                <w:szCs w:val="21"/>
                <w:highlight w:val="none"/>
              </w:rPr>
            </w:pPr>
          </w:p>
        </w:tc>
        <w:tc>
          <w:tcPr>
            <w:tcW w:w="760" w:type="dxa"/>
          </w:tcPr>
          <w:p w14:paraId="1F9D6680">
            <w:pPr>
              <w:spacing w:line="440" w:lineRule="exact"/>
              <w:jc w:val="center"/>
              <w:rPr>
                <w:color w:val="auto"/>
                <w:szCs w:val="21"/>
                <w:highlight w:val="none"/>
              </w:rPr>
            </w:pPr>
          </w:p>
        </w:tc>
        <w:tc>
          <w:tcPr>
            <w:tcW w:w="991" w:type="dxa"/>
          </w:tcPr>
          <w:p w14:paraId="18E5E042">
            <w:pPr>
              <w:spacing w:line="440" w:lineRule="exact"/>
              <w:jc w:val="center"/>
              <w:rPr>
                <w:color w:val="auto"/>
                <w:szCs w:val="21"/>
                <w:highlight w:val="none"/>
              </w:rPr>
            </w:pPr>
          </w:p>
        </w:tc>
        <w:tc>
          <w:tcPr>
            <w:tcW w:w="672" w:type="dxa"/>
          </w:tcPr>
          <w:p w14:paraId="1C867A26">
            <w:pPr>
              <w:spacing w:line="440" w:lineRule="exact"/>
              <w:jc w:val="center"/>
              <w:rPr>
                <w:color w:val="auto"/>
                <w:szCs w:val="21"/>
                <w:highlight w:val="none"/>
              </w:rPr>
            </w:pPr>
          </w:p>
        </w:tc>
        <w:tc>
          <w:tcPr>
            <w:tcW w:w="738" w:type="dxa"/>
          </w:tcPr>
          <w:p w14:paraId="7E6C8DBC">
            <w:pPr>
              <w:spacing w:line="440" w:lineRule="exact"/>
              <w:jc w:val="center"/>
              <w:rPr>
                <w:color w:val="auto"/>
                <w:szCs w:val="21"/>
                <w:highlight w:val="none"/>
              </w:rPr>
            </w:pPr>
          </w:p>
        </w:tc>
        <w:tc>
          <w:tcPr>
            <w:tcW w:w="1212" w:type="dxa"/>
          </w:tcPr>
          <w:p w14:paraId="047FFAFB">
            <w:pPr>
              <w:spacing w:line="440" w:lineRule="exact"/>
              <w:jc w:val="center"/>
              <w:rPr>
                <w:color w:val="auto"/>
                <w:szCs w:val="21"/>
                <w:highlight w:val="none"/>
              </w:rPr>
            </w:pPr>
          </w:p>
        </w:tc>
        <w:tc>
          <w:tcPr>
            <w:tcW w:w="1653" w:type="dxa"/>
          </w:tcPr>
          <w:p w14:paraId="2ABF8908">
            <w:pPr>
              <w:spacing w:line="440" w:lineRule="exact"/>
              <w:jc w:val="center"/>
              <w:rPr>
                <w:color w:val="auto"/>
                <w:szCs w:val="21"/>
                <w:highlight w:val="none"/>
              </w:rPr>
            </w:pPr>
          </w:p>
        </w:tc>
        <w:tc>
          <w:tcPr>
            <w:tcW w:w="688" w:type="dxa"/>
          </w:tcPr>
          <w:p w14:paraId="07D2A489">
            <w:pPr>
              <w:spacing w:line="440" w:lineRule="exact"/>
              <w:jc w:val="center"/>
              <w:rPr>
                <w:color w:val="auto"/>
                <w:szCs w:val="21"/>
                <w:highlight w:val="none"/>
              </w:rPr>
            </w:pPr>
          </w:p>
        </w:tc>
      </w:tr>
      <w:tr w14:paraId="6F7A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CACBBA2">
            <w:pPr>
              <w:spacing w:line="440" w:lineRule="exact"/>
              <w:jc w:val="center"/>
              <w:rPr>
                <w:color w:val="auto"/>
                <w:szCs w:val="21"/>
                <w:highlight w:val="none"/>
              </w:rPr>
            </w:pPr>
          </w:p>
        </w:tc>
        <w:tc>
          <w:tcPr>
            <w:tcW w:w="1087" w:type="dxa"/>
          </w:tcPr>
          <w:p w14:paraId="20B05358">
            <w:pPr>
              <w:spacing w:line="440" w:lineRule="exact"/>
              <w:jc w:val="center"/>
              <w:rPr>
                <w:color w:val="auto"/>
                <w:szCs w:val="21"/>
                <w:highlight w:val="none"/>
              </w:rPr>
            </w:pPr>
          </w:p>
        </w:tc>
        <w:tc>
          <w:tcPr>
            <w:tcW w:w="760" w:type="dxa"/>
          </w:tcPr>
          <w:p w14:paraId="32445EA6">
            <w:pPr>
              <w:spacing w:line="440" w:lineRule="exact"/>
              <w:jc w:val="center"/>
              <w:rPr>
                <w:color w:val="auto"/>
                <w:szCs w:val="21"/>
                <w:highlight w:val="none"/>
              </w:rPr>
            </w:pPr>
          </w:p>
        </w:tc>
        <w:tc>
          <w:tcPr>
            <w:tcW w:w="991" w:type="dxa"/>
          </w:tcPr>
          <w:p w14:paraId="6CC83FCC">
            <w:pPr>
              <w:spacing w:line="440" w:lineRule="exact"/>
              <w:jc w:val="center"/>
              <w:rPr>
                <w:color w:val="auto"/>
                <w:szCs w:val="21"/>
                <w:highlight w:val="none"/>
              </w:rPr>
            </w:pPr>
          </w:p>
        </w:tc>
        <w:tc>
          <w:tcPr>
            <w:tcW w:w="672" w:type="dxa"/>
          </w:tcPr>
          <w:p w14:paraId="6E51EE16">
            <w:pPr>
              <w:spacing w:line="440" w:lineRule="exact"/>
              <w:jc w:val="center"/>
              <w:rPr>
                <w:color w:val="auto"/>
                <w:szCs w:val="21"/>
                <w:highlight w:val="none"/>
              </w:rPr>
            </w:pPr>
          </w:p>
        </w:tc>
        <w:tc>
          <w:tcPr>
            <w:tcW w:w="738" w:type="dxa"/>
          </w:tcPr>
          <w:p w14:paraId="224DB5DA">
            <w:pPr>
              <w:spacing w:line="440" w:lineRule="exact"/>
              <w:jc w:val="center"/>
              <w:rPr>
                <w:color w:val="auto"/>
                <w:szCs w:val="21"/>
                <w:highlight w:val="none"/>
              </w:rPr>
            </w:pPr>
          </w:p>
        </w:tc>
        <w:tc>
          <w:tcPr>
            <w:tcW w:w="1212" w:type="dxa"/>
          </w:tcPr>
          <w:p w14:paraId="62A3B7C7">
            <w:pPr>
              <w:spacing w:line="440" w:lineRule="exact"/>
              <w:jc w:val="center"/>
              <w:rPr>
                <w:color w:val="auto"/>
                <w:szCs w:val="21"/>
                <w:highlight w:val="none"/>
              </w:rPr>
            </w:pPr>
          </w:p>
        </w:tc>
        <w:tc>
          <w:tcPr>
            <w:tcW w:w="1653" w:type="dxa"/>
          </w:tcPr>
          <w:p w14:paraId="3C25AAB1">
            <w:pPr>
              <w:spacing w:line="440" w:lineRule="exact"/>
              <w:jc w:val="center"/>
              <w:rPr>
                <w:color w:val="auto"/>
                <w:szCs w:val="21"/>
                <w:highlight w:val="none"/>
              </w:rPr>
            </w:pPr>
          </w:p>
        </w:tc>
        <w:tc>
          <w:tcPr>
            <w:tcW w:w="688" w:type="dxa"/>
          </w:tcPr>
          <w:p w14:paraId="39C84EC7">
            <w:pPr>
              <w:spacing w:line="440" w:lineRule="exact"/>
              <w:jc w:val="center"/>
              <w:rPr>
                <w:color w:val="auto"/>
                <w:szCs w:val="21"/>
                <w:highlight w:val="none"/>
              </w:rPr>
            </w:pPr>
          </w:p>
        </w:tc>
      </w:tr>
      <w:tr w14:paraId="58BB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85B64F7">
            <w:pPr>
              <w:spacing w:line="440" w:lineRule="exact"/>
              <w:jc w:val="center"/>
              <w:rPr>
                <w:color w:val="auto"/>
                <w:szCs w:val="21"/>
                <w:highlight w:val="none"/>
              </w:rPr>
            </w:pPr>
          </w:p>
        </w:tc>
        <w:tc>
          <w:tcPr>
            <w:tcW w:w="1087" w:type="dxa"/>
          </w:tcPr>
          <w:p w14:paraId="3A787741">
            <w:pPr>
              <w:spacing w:line="440" w:lineRule="exact"/>
              <w:jc w:val="center"/>
              <w:rPr>
                <w:color w:val="auto"/>
                <w:szCs w:val="21"/>
                <w:highlight w:val="none"/>
              </w:rPr>
            </w:pPr>
          </w:p>
        </w:tc>
        <w:tc>
          <w:tcPr>
            <w:tcW w:w="760" w:type="dxa"/>
          </w:tcPr>
          <w:p w14:paraId="751BF307">
            <w:pPr>
              <w:spacing w:line="440" w:lineRule="exact"/>
              <w:jc w:val="center"/>
              <w:rPr>
                <w:color w:val="auto"/>
                <w:szCs w:val="21"/>
                <w:highlight w:val="none"/>
              </w:rPr>
            </w:pPr>
          </w:p>
        </w:tc>
        <w:tc>
          <w:tcPr>
            <w:tcW w:w="991" w:type="dxa"/>
          </w:tcPr>
          <w:p w14:paraId="42A4DD2D">
            <w:pPr>
              <w:spacing w:line="440" w:lineRule="exact"/>
              <w:jc w:val="center"/>
              <w:rPr>
                <w:color w:val="auto"/>
                <w:szCs w:val="21"/>
                <w:highlight w:val="none"/>
              </w:rPr>
            </w:pPr>
          </w:p>
        </w:tc>
        <w:tc>
          <w:tcPr>
            <w:tcW w:w="672" w:type="dxa"/>
          </w:tcPr>
          <w:p w14:paraId="5EFCCDED">
            <w:pPr>
              <w:spacing w:line="440" w:lineRule="exact"/>
              <w:jc w:val="center"/>
              <w:rPr>
                <w:color w:val="auto"/>
                <w:szCs w:val="21"/>
                <w:highlight w:val="none"/>
              </w:rPr>
            </w:pPr>
          </w:p>
        </w:tc>
        <w:tc>
          <w:tcPr>
            <w:tcW w:w="738" w:type="dxa"/>
          </w:tcPr>
          <w:p w14:paraId="7147D382">
            <w:pPr>
              <w:spacing w:line="440" w:lineRule="exact"/>
              <w:jc w:val="center"/>
              <w:rPr>
                <w:color w:val="auto"/>
                <w:szCs w:val="21"/>
                <w:highlight w:val="none"/>
              </w:rPr>
            </w:pPr>
          </w:p>
        </w:tc>
        <w:tc>
          <w:tcPr>
            <w:tcW w:w="1212" w:type="dxa"/>
          </w:tcPr>
          <w:p w14:paraId="5798F3BA">
            <w:pPr>
              <w:spacing w:line="440" w:lineRule="exact"/>
              <w:jc w:val="center"/>
              <w:rPr>
                <w:color w:val="auto"/>
                <w:szCs w:val="21"/>
                <w:highlight w:val="none"/>
              </w:rPr>
            </w:pPr>
          </w:p>
        </w:tc>
        <w:tc>
          <w:tcPr>
            <w:tcW w:w="1653" w:type="dxa"/>
          </w:tcPr>
          <w:p w14:paraId="21326AC9">
            <w:pPr>
              <w:spacing w:line="440" w:lineRule="exact"/>
              <w:jc w:val="center"/>
              <w:rPr>
                <w:color w:val="auto"/>
                <w:szCs w:val="21"/>
                <w:highlight w:val="none"/>
              </w:rPr>
            </w:pPr>
          </w:p>
        </w:tc>
        <w:tc>
          <w:tcPr>
            <w:tcW w:w="688" w:type="dxa"/>
          </w:tcPr>
          <w:p w14:paraId="0871328F">
            <w:pPr>
              <w:spacing w:line="440" w:lineRule="exact"/>
              <w:jc w:val="center"/>
              <w:rPr>
                <w:color w:val="auto"/>
                <w:szCs w:val="21"/>
                <w:highlight w:val="none"/>
              </w:rPr>
            </w:pPr>
          </w:p>
        </w:tc>
      </w:tr>
      <w:tr w14:paraId="4AE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EA895BD">
            <w:pPr>
              <w:spacing w:line="440" w:lineRule="exact"/>
              <w:jc w:val="center"/>
              <w:rPr>
                <w:color w:val="auto"/>
                <w:szCs w:val="21"/>
                <w:highlight w:val="none"/>
              </w:rPr>
            </w:pPr>
          </w:p>
        </w:tc>
        <w:tc>
          <w:tcPr>
            <w:tcW w:w="1087" w:type="dxa"/>
          </w:tcPr>
          <w:p w14:paraId="20F1630A">
            <w:pPr>
              <w:spacing w:line="440" w:lineRule="exact"/>
              <w:jc w:val="center"/>
              <w:rPr>
                <w:color w:val="auto"/>
                <w:szCs w:val="21"/>
                <w:highlight w:val="none"/>
              </w:rPr>
            </w:pPr>
          </w:p>
        </w:tc>
        <w:tc>
          <w:tcPr>
            <w:tcW w:w="760" w:type="dxa"/>
          </w:tcPr>
          <w:p w14:paraId="36A5D216">
            <w:pPr>
              <w:spacing w:line="440" w:lineRule="exact"/>
              <w:jc w:val="center"/>
              <w:rPr>
                <w:color w:val="auto"/>
                <w:szCs w:val="21"/>
                <w:highlight w:val="none"/>
              </w:rPr>
            </w:pPr>
          </w:p>
        </w:tc>
        <w:tc>
          <w:tcPr>
            <w:tcW w:w="991" w:type="dxa"/>
          </w:tcPr>
          <w:p w14:paraId="1A6ECBBA">
            <w:pPr>
              <w:spacing w:line="440" w:lineRule="exact"/>
              <w:jc w:val="center"/>
              <w:rPr>
                <w:color w:val="auto"/>
                <w:szCs w:val="21"/>
                <w:highlight w:val="none"/>
              </w:rPr>
            </w:pPr>
          </w:p>
        </w:tc>
        <w:tc>
          <w:tcPr>
            <w:tcW w:w="672" w:type="dxa"/>
          </w:tcPr>
          <w:p w14:paraId="1AC99C03">
            <w:pPr>
              <w:spacing w:line="440" w:lineRule="exact"/>
              <w:jc w:val="center"/>
              <w:rPr>
                <w:color w:val="auto"/>
                <w:szCs w:val="21"/>
                <w:highlight w:val="none"/>
              </w:rPr>
            </w:pPr>
          </w:p>
        </w:tc>
        <w:tc>
          <w:tcPr>
            <w:tcW w:w="738" w:type="dxa"/>
          </w:tcPr>
          <w:p w14:paraId="7A1868EA">
            <w:pPr>
              <w:spacing w:line="440" w:lineRule="exact"/>
              <w:jc w:val="center"/>
              <w:rPr>
                <w:color w:val="auto"/>
                <w:szCs w:val="21"/>
                <w:highlight w:val="none"/>
              </w:rPr>
            </w:pPr>
          </w:p>
        </w:tc>
        <w:tc>
          <w:tcPr>
            <w:tcW w:w="1212" w:type="dxa"/>
          </w:tcPr>
          <w:p w14:paraId="2C7E3762">
            <w:pPr>
              <w:spacing w:line="440" w:lineRule="exact"/>
              <w:jc w:val="center"/>
              <w:rPr>
                <w:color w:val="auto"/>
                <w:szCs w:val="21"/>
                <w:highlight w:val="none"/>
              </w:rPr>
            </w:pPr>
          </w:p>
        </w:tc>
        <w:tc>
          <w:tcPr>
            <w:tcW w:w="1653" w:type="dxa"/>
          </w:tcPr>
          <w:p w14:paraId="6216D225">
            <w:pPr>
              <w:spacing w:line="440" w:lineRule="exact"/>
              <w:jc w:val="center"/>
              <w:rPr>
                <w:color w:val="auto"/>
                <w:szCs w:val="21"/>
                <w:highlight w:val="none"/>
              </w:rPr>
            </w:pPr>
          </w:p>
        </w:tc>
        <w:tc>
          <w:tcPr>
            <w:tcW w:w="688" w:type="dxa"/>
          </w:tcPr>
          <w:p w14:paraId="285CBF72">
            <w:pPr>
              <w:spacing w:line="440" w:lineRule="exact"/>
              <w:jc w:val="center"/>
              <w:rPr>
                <w:color w:val="auto"/>
                <w:szCs w:val="21"/>
                <w:highlight w:val="none"/>
              </w:rPr>
            </w:pPr>
          </w:p>
        </w:tc>
      </w:tr>
      <w:tr w14:paraId="1C80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6F66FBA">
            <w:pPr>
              <w:spacing w:line="440" w:lineRule="exact"/>
              <w:jc w:val="center"/>
              <w:rPr>
                <w:color w:val="auto"/>
                <w:szCs w:val="21"/>
                <w:highlight w:val="none"/>
              </w:rPr>
            </w:pPr>
          </w:p>
        </w:tc>
        <w:tc>
          <w:tcPr>
            <w:tcW w:w="1087" w:type="dxa"/>
          </w:tcPr>
          <w:p w14:paraId="2BD49C94">
            <w:pPr>
              <w:spacing w:line="440" w:lineRule="exact"/>
              <w:jc w:val="center"/>
              <w:rPr>
                <w:color w:val="auto"/>
                <w:szCs w:val="21"/>
                <w:highlight w:val="none"/>
              </w:rPr>
            </w:pPr>
          </w:p>
        </w:tc>
        <w:tc>
          <w:tcPr>
            <w:tcW w:w="760" w:type="dxa"/>
          </w:tcPr>
          <w:p w14:paraId="1D796BA9">
            <w:pPr>
              <w:spacing w:line="440" w:lineRule="exact"/>
              <w:jc w:val="center"/>
              <w:rPr>
                <w:color w:val="auto"/>
                <w:szCs w:val="21"/>
                <w:highlight w:val="none"/>
              </w:rPr>
            </w:pPr>
          </w:p>
        </w:tc>
        <w:tc>
          <w:tcPr>
            <w:tcW w:w="991" w:type="dxa"/>
          </w:tcPr>
          <w:p w14:paraId="5D63E68D">
            <w:pPr>
              <w:spacing w:line="440" w:lineRule="exact"/>
              <w:jc w:val="center"/>
              <w:rPr>
                <w:color w:val="auto"/>
                <w:szCs w:val="21"/>
                <w:highlight w:val="none"/>
              </w:rPr>
            </w:pPr>
          </w:p>
        </w:tc>
        <w:tc>
          <w:tcPr>
            <w:tcW w:w="672" w:type="dxa"/>
          </w:tcPr>
          <w:p w14:paraId="404EEA5D">
            <w:pPr>
              <w:spacing w:line="440" w:lineRule="exact"/>
              <w:jc w:val="center"/>
              <w:rPr>
                <w:color w:val="auto"/>
                <w:szCs w:val="21"/>
                <w:highlight w:val="none"/>
              </w:rPr>
            </w:pPr>
          </w:p>
        </w:tc>
        <w:tc>
          <w:tcPr>
            <w:tcW w:w="738" w:type="dxa"/>
          </w:tcPr>
          <w:p w14:paraId="290C5EC2">
            <w:pPr>
              <w:spacing w:line="440" w:lineRule="exact"/>
              <w:jc w:val="center"/>
              <w:rPr>
                <w:color w:val="auto"/>
                <w:szCs w:val="21"/>
                <w:highlight w:val="none"/>
              </w:rPr>
            </w:pPr>
          </w:p>
        </w:tc>
        <w:tc>
          <w:tcPr>
            <w:tcW w:w="1212" w:type="dxa"/>
          </w:tcPr>
          <w:p w14:paraId="071B3CD5">
            <w:pPr>
              <w:spacing w:line="440" w:lineRule="exact"/>
              <w:jc w:val="center"/>
              <w:rPr>
                <w:color w:val="auto"/>
                <w:szCs w:val="21"/>
                <w:highlight w:val="none"/>
              </w:rPr>
            </w:pPr>
          </w:p>
        </w:tc>
        <w:tc>
          <w:tcPr>
            <w:tcW w:w="1653" w:type="dxa"/>
          </w:tcPr>
          <w:p w14:paraId="36979562">
            <w:pPr>
              <w:spacing w:line="440" w:lineRule="exact"/>
              <w:jc w:val="center"/>
              <w:rPr>
                <w:color w:val="auto"/>
                <w:szCs w:val="21"/>
                <w:highlight w:val="none"/>
              </w:rPr>
            </w:pPr>
          </w:p>
        </w:tc>
        <w:tc>
          <w:tcPr>
            <w:tcW w:w="688" w:type="dxa"/>
          </w:tcPr>
          <w:p w14:paraId="7045D420">
            <w:pPr>
              <w:spacing w:line="440" w:lineRule="exact"/>
              <w:jc w:val="center"/>
              <w:rPr>
                <w:color w:val="auto"/>
                <w:szCs w:val="21"/>
                <w:highlight w:val="none"/>
              </w:rPr>
            </w:pPr>
          </w:p>
        </w:tc>
      </w:tr>
    </w:tbl>
    <w:p w14:paraId="2B656A08">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2948D71B">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highlight w:val="none"/>
          <w:lang w:val="en-US" w:eastAsia="zh-CN"/>
        </w:rPr>
      </w:pPr>
      <w:bookmarkStart w:id="2280" w:name="_Toc122603091"/>
      <w:bookmarkStart w:id="2281" w:name="_Toc256000225"/>
      <w:r>
        <w:rPr>
          <w:rFonts w:hint="eastAsia"/>
          <w:color w:val="auto"/>
          <w:szCs w:val="24"/>
          <w:highlight w:val="none"/>
          <w:lang w:eastAsia="zh-CN"/>
        </w:rPr>
        <w:t>（</w:t>
      </w:r>
      <w:r>
        <w:rPr>
          <w:rFonts w:hint="default"/>
          <w:color w:val="auto"/>
          <w:szCs w:val="24"/>
          <w:highlight w:val="none"/>
        </w:rPr>
        <w:t>二</w:t>
      </w:r>
      <w:r>
        <w:rPr>
          <w:rFonts w:hint="eastAsia"/>
          <w:color w:val="auto"/>
          <w:szCs w:val="24"/>
          <w:highlight w:val="none"/>
          <w:lang w:eastAsia="zh-CN"/>
        </w:rPr>
        <w:t>）</w:t>
      </w:r>
      <w:r>
        <w:rPr>
          <w:rFonts w:hint="eastAsia"/>
          <w:color w:val="auto"/>
          <w:szCs w:val="24"/>
          <w:highlight w:val="none"/>
        </w:rPr>
        <w:t>近年财务状况</w:t>
      </w:r>
      <w:bookmarkEnd w:id="2280"/>
      <w:r>
        <w:rPr>
          <w:rFonts w:hint="eastAsia"/>
          <w:color w:val="auto"/>
          <w:szCs w:val="24"/>
          <w:highlight w:val="none"/>
          <w:lang w:val="en-US" w:eastAsia="zh-CN"/>
        </w:rPr>
        <w:t>表</w:t>
      </w:r>
      <w:bookmarkEnd w:id="2281"/>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3315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F2ACF96">
            <w:pPr>
              <w:jc w:val="center"/>
              <w:rPr>
                <w:rFonts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15BFB14F">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188B4D89">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6F46D21C">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57F15351">
            <w:pPr>
              <w:jc w:val="center"/>
              <w:rPr>
                <w:rFonts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68D87CAF">
            <w:pPr>
              <w:jc w:val="center"/>
              <w:rPr>
                <w:rFonts w:ascii="宋体" w:hAnsi="宋体"/>
                <w:b/>
                <w:bCs/>
                <w:color w:val="auto"/>
                <w:szCs w:val="21"/>
                <w:highlight w:val="none"/>
              </w:rPr>
            </w:pPr>
            <w:r>
              <w:rPr>
                <w:rFonts w:hint="eastAsia" w:ascii="宋体" w:hAnsi="宋体"/>
                <w:b/>
                <w:bCs/>
                <w:color w:val="auto"/>
                <w:szCs w:val="21"/>
                <w:highlight w:val="none"/>
              </w:rPr>
              <w:t>近年平均值　</w:t>
            </w:r>
          </w:p>
        </w:tc>
      </w:tr>
      <w:tr w14:paraId="326B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91A55A8">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74A9133D">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97250DF">
            <w:pPr>
              <w:jc w:val="center"/>
              <w:rPr>
                <w:rFonts w:ascii="宋体" w:hAnsi="宋体"/>
                <w:color w:val="auto"/>
                <w:szCs w:val="21"/>
                <w:highlight w:val="none"/>
              </w:rPr>
            </w:pPr>
          </w:p>
        </w:tc>
        <w:tc>
          <w:tcPr>
            <w:tcW w:w="1539" w:type="dxa"/>
            <w:vAlign w:val="center"/>
          </w:tcPr>
          <w:p w14:paraId="0445E075">
            <w:pPr>
              <w:jc w:val="center"/>
              <w:rPr>
                <w:rFonts w:ascii="宋体" w:hAnsi="宋体"/>
                <w:color w:val="auto"/>
                <w:szCs w:val="21"/>
                <w:highlight w:val="none"/>
              </w:rPr>
            </w:pPr>
          </w:p>
        </w:tc>
        <w:tc>
          <w:tcPr>
            <w:tcW w:w="1539" w:type="dxa"/>
            <w:vAlign w:val="center"/>
          </w:tcPr>
          <w:p w14:paraId="3B057928">
            <w:pPr>
              <w:jc w:val="center"/>
              <w:rPr>
                <w:rFonts w:ascii="宋体" w:hAnsi="宋体"/>
                <w:color w:val="auto"/>
                <w:szCs w:val="21"/>
                <w:highlight w:val="none"/>
              </w:rPr>
            </w:pPr>
          </w:p>
        </w:tc>
        <w:tc>
          <w:tcPr>
            <w:tcW w:w="1539" w:type="dxa"/>
            <w:vAlign w:val="center"/>
          </w:tcPr>
          <w:p w14:paraId="2F6F1BA9">
            <w:pPr>
              <w:jc w:val="center"/>
              <w:rPr>
                <w:rFonts w:ascii="宋体" w:hAnsi="宋体"/>
                <w:color w:val="auto"/>
                <w:szCs w:val="21"/>
                <w:highlight w:val="none"/>
              </w:rPr>
            </w:pPr>
            <w:r>
              <w:rPr>
                <w:rFonts w:hint="eastAsia" w:ascii="宋体" w:hAnsi="宋体"/>
                <w:color w:val="auto"/>
                <w:szCs w:val="21"/>
                <w:highlight w:val="none"/>
              </w:rPr>
              <w:t>-</w:t>
            </w:r>
          </w:p>
        </w:tc>
      </w:tr>
      <w:tr w14:paraId="39A4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0357164">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3DABF051">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ED2BABC">
            <w:pPr>
              <w:jc w:val="center"/>
              <w:rPr>
                <w:rFonts w:ascii="宋体" w:hAnsi="宋体"/>
                <w:color w:val="auto"/>
                <w:szCs w:val="21"/>
                <w:highlight w:val="none"/>
              </w:rPr>
            </w:pPr>
          </w:p>
        </w:tc>
        <w:tc>
          <w:tcPr>
            <w:tcW w:w="1539" w:type="dxa"/>
            <w:vAlign w:val="center"/>
          </w:tcPr>
          <w:p w14:paraId="762ADCE1">
            <w:pPr>
              <w:jc w:val="center"/>
              <w:rPr>
                <w:rFonts w:ascii="宋体" w:hAnsi="宋体"/>
                <w:color w:val="auto"/>
                <w:szCs w:val="21"/>
                <w:highlight w:val="none"/>
              </w:rPr>
            </w:pPr>
          </w:p>
        </w:tc>
        <w:tc>
          <w:tcPr>
            <w:tcW w:w="1539" w:type="dxa"/>
            <w:vAlign w:val="center"/>
          </w:tcPr>
          <w:p w14:paraId="04C7798D">
            <w:pPr>
              <w:jc w:val="center"/>
              <w:rPr>
                <w:rFonts w:ascii="宋体" w:hAnsi="宋体"/>
                <w:color w:val="auto"/>
                <w:szCs w:val="21"/>
                <w:highlight w:val="none"/>
              </w:rPr>
            </w:pPr>
          </w:p>
        </w:tc>
        <w:tc>
          <w:tcPr>
            <w:tcW w:w="1539" w:type="dxa"/>
            <w:vAlign w:val="center"/>
          </w:tcPr>
          <w:p w14:paraId="71CA495C">
            <w:pPr>
              <w:jc w:val="center"/>
              <w:rPr>
                <w:rFonts w:ascii="宋体" w:hAnsi="宋体"/>
                <w:color w:val="auto"/>
                <w:szCs w:val="21"/>
                <w:highlight w:val="none"/>
              </w:rPr>
            </w:pPr>
            <w:r>
              <w:rPr>
                <w:rFonts w:hint="eastAsia" w:ascii="宋体" w:hAnsi="宋体"/>
                <w:color w:val="auto"/>
                <w:szCs w:val="21"/>
                <w:highlight w:val="none"/>
              </w:rPr>
              <w:t>-</w:t>
            </w:r>
          </w:p>
        </w:tc>
      </w:tr>
      <w:tr w14:paraId="702A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9250352">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41DA5591">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D207C70">
            <w:pPr>
              <w:jc w:val="center"/>
              <w:rPr>
                <w:rFonts w:ascii="宋体" w:hAnsi="宋体"/>
                <w:color w:val="auto"/>
                <w:szCs w:val="21"/>
                <w:highlight w:val="none"/>
              </w:rPr>
            </w:pPr>
          </w:p>
        </w:tc>
        <w:tc>
          <w:tcPr>
            <w:tcW w:w="1539" w:type="dxa"/>
            <w:vAlign w:val="center"/>
          </w:tcPr>
          <w:p w14:paraId="452079B9">
            <w:pPr>
              <w:jc w:val="center"/>
              <w:rPr>
                <w:rFonts w:ascii="宋体" w:hAnsi="宋体"/>
                <w:color w:val="auto"/>
                <w:szCs w:val="21"/>
                <w:highlight w:val="none"/>
              </w:rPr>
            </w:pPr>
          </w:p>
        </w:tc>
        <w:tc>
          <w:tcPr>
            <w:tcW w:w="1539" w:type="dxa"/>
            <w:vAlign w:val="center"/>
          </w:tcPr>
          <w:p w14:paraId="323552BA">
            <w:pPr>
              <w:jc w:val="center"/>
              <w:rPr>
                <w:rFonts w:ascii="宋体" w:hAnsi="宋体"/>
                <w:color w:val="auto"/>
                <w:szCs w:val="21"/>
                <w:highlight w:val="none"/>
              </w:rPr>
            </w:pPr>
          </w:p>
        </w:tc>
        <w:tc>
          <w:tcPr>
            <w:tcW w:w="1539" w:type="dxa"/>
            <w:vAlign w:val="center"/>
          </w:tcPr>
          <w:p w14:paraId="3B2DDDA7">
            <w:pPr>
              <w:jc w:val="center"/>
              <w:rPr>
                <w:rFonts w:ascii="宋体" w:hAnsi="宋体"/>
                <w:color w:val="auto"/>
                <w:szCs w:val="21"/>
                <w:highlight w:val="none"/>
              </w:rPr>
            </w:pPr>
          </w:p>
        </w:tc>
      </w:tr>
      <w:tr w14:paraId="1026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94C0D59">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4CB3D62B">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5F263C4B">
            <w:pPr>
              <w:jc w:val="center"/>
              <w:rPr>
                <w:rFonts w:ascii="宋体" w:hAnsi="宋体"/>
                <w:color w:val="auto"/>
                <w:szCs w:val="21"/>
                <w:highlight w:val="none"/>
              </w:rPr>
            </w:pPr>
          </w:p>
        </w:tc>
        <w:tc>
          <w:tcPr>
            <w:tcW w:w="1539" w:type="dxa"/>
            <w:vAlign w:val="center"/>
          </w:tcPr>
          <w:p w14:paraId="2C965EE8">
            <w:pPr>
              <w:jc w:val="center"/>
              <w:rPr>
                <w:rFonts w:ascii="宋体" w:hAnsi="宋体"/>
                <w:color w:val="auto"/>
                <w:szCs w:val="21"/>
                <w:highlight w:val="none"/>
              </w:rPr>
            </w:pPr>
          </w:p>
        </w:tc>
        <w:tc>
          <w:tcPr>
            <w:tcW w:w="1539" w:type="dxa"/>
            <w:vAlign w:val="center"/>
          </w:tcPr>
          <w:p w14:paraId="190E8A84">
            <w:pPr>
              <w:jc w:val="center"/>
              <w:rPr>
                <w:rFonts w:ascii="宋体" w:hAnsi="宋体"/>
                <w:color w:val="auto"/>
                <w:szCs w:val="21"/>
                <w:highlight w:val="none"/>
              </w:rPr>
            </w:pPr>
          </w:p>
        </w:tc>
        <w:tc>
          <w:tcPr>
            <w:tcW w:w="1539" w:type="dxa"/>
            <w:vAlign w:val="center"/>
          </w:tcPr>
          <w:p w14:paraId="04C4AD69">
            <w:pPr>
              <w:jc w:val="center"/>
              <w:rPr>
                <w:rFonts w:ascii="宋体" w:hAnsi="宋体"/>
                <w:color w:val="auto"/>
                <w:szCs w:val="21"/>
                <w:highlight w:val="none"/>
              </w:rPr>
            </w:pPr>
            <w:r>
              <w:rPr>
                <w:rFonts w:hint="eastAsia" w:ascii="宋体" w:hAnsi="宋体"/>
                <w:color w:val="auto"/>
                <w:szCs w:val="21"/>
                <w:highlight w:val="none"/>
              </w:rPr>
              <w:t>-</w:t>
            </w:r>
          </w:p>
        </w:tc>
      </w:tr>
      <w:tr w14:paraId="67C6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962AD55">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73AFEBF9">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4154E7C">
            <w:pPr>
              <w:jc w:val="center"/>
              <w:rPr>
                <w:rFonts w:ascii="宋体" w:hAnsi="宋体"/>
                <w:color w:val="auto"/>
                <w:szCs w:val="21"/>
                <w:highlight w:val="none"/>
              </w:rPr>
            </w:pPr>
          </w:p>
        </w:tc>
        <w:tc>
          <w:tcPr>
            <w:tcW w:w="1539" w:type="dxa"/>
            <w:vAlign w:val="center"/>
          </w:tcPr>
          <w:p w14:paraId="2FC30FD3">
            <w:pPr>
              <w:jc w:val="center"/>
              <w:rPr>
                <w:rFonts w:ascii="宋体" w:hAnsi="宋体"/>
                <w:color w:val="auto"/>
                <w:szCs w:val="21"/>
                <w:highlight w:val="none"/>
              </w:rPr>
            </w:pPr>
          </w:p>
        </w:tc>
        <w:tc>
          <w:tcPr>
            <w:tcW w:w="1539" w:type="dxa"/>
            <w:vAlign w:val="center"/>
          </w:tcPr>
          <w:p w14:paraId="290A95C4">
            <w:pPr>
              <w:jc w:val="center"/>
              <w:rPr>
                <w:rFonts w:ascii="宋体" w:hAnsi="宋体"/>
                <w:color w:val="auto"/>
                <w:szCs w:val="21"/>
                <w:highlight w:val="none"/>
              </w:rPr>
            </w:pPr>
          </w:p>
        </w:tc>
        <w:tc>
          <w:tcPr>
            <w:tcW w:w="1539" w:type="dxa"/>
            <w:vAlign w:val="center"/>
          </w:tcPr>
          <w:p w14:paraId="301AC630">
            <w:pPr>
              <w:jc w:val="center"/>
              <w:rPr>
                <w:rFonts w:ascii="宋体" w:hAnsi="宋体"/>
                <w:color w:val="auto"/>
                <w:szCs w:val="21"/>
                <w:highlight w:val="none"/>
              </w:rPr>
            </w:pPr>
          </w:p>
        </w:tc>
      </w:tr>
      <w:tr w14:paraId="50F2B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E1C6906">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658206FD">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74B095B">
            <w:pPr>
              <w:jc w:val="center"/>
              <w:rPr>
                <w:rFonts w:ascii="宋体" w:hAnsi="宋体"/>
                <w:color w:val="auto"/>
                <w:szCs w:val="21"/>
                <w:highlight w:val="none"/>
              </w:rPr>
            </w:pPr>
          </w:p>
        </w:tc>
        <w:tc>
          <w:tcPr>
            <w:tcW w:w="1539" w:type="dxa"/>
            <w:vAlign w:val="center"/>
          </w:tcPr>
          <w:p w14:paraId="4A781A7E">
            <w:pPr>
              <w:jc w:val="center"/>
              <w:rPr>
                <w:rFonts w:ascii="宋体" w:hAnsi="宋体"/>
                <w:color w:val="auto"/>
                <w:szCs w:val="21"/>
                <w:highlight w:val="none"/>
              </w:rPr>
            </w:pPr>
          </w:p>
        </w:tc>
        <w:tc>
          <w:tcPr>
            <w:tcW w:w="1539" w:type="dxa"/>
            <w:vAlign w:val="center"/>
          </w:tcPr>
          <w:p w14:paraId="2553009D">
            <w:pPr>
              <w:jc w:val="center"/>
              <w:rPr>
                <w:rFonts w:ascii="宋体" w:hAnsi="宋体"/>
                <w:color w:val="auto"/>
                <w:szCs w:val="21"/>
                <w:highlight w:val="none"/>
              </w:rPr>
            </w:pPr>
          </w:p>
        </w:tc>
        <w:tc>
          <w:tcPr>
            <w:tcW w:w="1539" w:type="dxa"/>
            <w:vAlign w:val="center"/>
          </w:tcPr>
          <w:p w14:paraId="40272DCE">
            <w:pPr>
              <w:jc w:val="center"/>
              <w:rPr>
                <w:rFonts w:ascii="宋体" w:hAnsi="宋体"/>
                <w:color w:val="auto"/>
                <w:szCs w:val="21"/>
                <w:highlight w:val="none"/>
              </w:rPr>
            </w:pPr>
          </w:p>
        </w:tc>
      </w:tr>
      <w:tr w14:paraId="4015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F0416AE">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25D56740">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ACB3DD7">
            <w:pPr>
              <w:jc w:val="center"/>
              <w:rPr>
                <w:rFonts w:ascii="宋体" w:hAnsi="宋体"/>
                <w:color w:val="auto"/>
                <w:szCs w:val="21"/>
                <w:highlight w:val="none"/>
              </w:rPr>
            </w:pPr>
          </w:p>
        </w:tc>
        <w:tc>
          <w:tcPr>
            <w:tcW w:w="1539" w:type="dxa"/>
            <w:vAlign w:val="center"/>
          </w:tcPr>
          <w:p w14:paraId="1AB318E2">
            <w:pPr>
              <w:jc w:val="center"/>
              <w:rPr>
                <w:rFonts w:ascii="宋体" w:hAnsi="宋体"/>
                <w:color w:val="auto"/>
                <w:szCs w:val="21"/>
                <w:highlight w:val="none"/>
              </w:rPr>
            </w:pPr>
          </w:p>
        </w:tc>
        <w:tc>
          <w:tcPr>
            <w:tcW w:w="1539" w:type="dxa"/>
            <w:vAlign w:val="center"/>
          </w:tcPr>
          <w:p w14:paraId="18D17612">
            <w:pPr>
              <w:jc w:val="center"/>
              <w:rPr>
                <w:rFonts w:ascii="宋体" w:hAnsi="宋体"/>
                <w:color w:val="auto"/>
                <w:szCs w:val="21"/>
                <w:highlight w:val="none"/>
              </w:rPr>
            </w:pPr>
          </w:p>
        </w:tc>
        <w:tc>
          <w:tcPr>
            <w:tcW w:w="1539" w:type="dxa"/>
            <w:vAlign w:val="center"/>
          </w:tcPr>
          <w:p w14:paraId="2A122519">
            <w:pPr>
              <w:jc w:val="center"/>
              <w:rPr>
                <w:rFonts w:ascii="宋体" w:hAnsi="宋体"/>
                <w:color w:val="auto"/>
                <w:szCs w:val="21"/>
                <w:highlight w:val="none"/>
              </w:rPr>
            </w:pPr>
          </w:p>
        </w:tc>
      </w:tr>
      <w:tr w14:paraId="00EFA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FB979C3">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2BBB91C8">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A5065B6">
            <w:pPr>
              <w:jc w:val="center"/>
              <w:rPr>
                <w:rFonts w:ascii="宋体" w:hAnsi="宋体"/>
                <w:color w:val="auto"/>
                <w:szCs w:val="21"/>
                <w:highlight w:val="none"/>
              </w:rPr>
            </w:pPr>
          </w:p>
        </w:tc>
        <w:tc>
          <w:tcPr>
            <w:tcW w:w="1539" w:type="dxa"/>
            <w:vAlign w:val="center"/>
          </w:tcPr>
          <w:p w14:paraId="7398A025">
            <w:pPr>
              <w:jc w:val="center"/>
              <w:rPr>
                <w:rFonts w:ascii="宋体" w:hAnsi="宋体"/>
                <w:color w:val="auto"/>
                <w:szCs w:val="21"/>
                <w:highlight w:val="none"/>
              </w:rPr>
            </w:pPr>
          </w:p>
        </w:tc>
        <w:tc>
          <w:tcPr>
            <w:tcW w:w="1539" w:type="dxa"/>
            <w:vAlign w:val="center"/>
          </w:tcPr>
          <w:p w14:paraId="2BF6FF2E">
            <w:pPr>
              <w:jc w:val="center"/>
              <w:rPr>
                <w:rFonts w:ascii="宋体" w:hAnsi="宋体"/>
                <w:color w:val="auto"/>
                <w:szCs w:val="21"/>
                <w:highlight w:val="none"/>
              </w:rPr>
            </w:pPr>
          </w:p>
        </w:tc>
        <w:tc>
          <w:tcPr>
            <w:tcW w:w="1539" w:type="dxa"/>
            <w:vAlign w:val="center"/>
          </w:tcPr>
          <w:p w14:paraId="649BDEC4">
            <w:pPr>
              <w:jc w:val="center"/>
              <w:rPr>
                <w:rFonts w:ascii="宋体" w:hAnsi="宋体"/>
                <w:color w:val="auto"/>
                <w:szCs w:val="21"/>
                <w:highlight w:val="none"/>
              </w:rPr>
            </w:pPr>
          </w:p>
        </w:tc>
      </w:tr>
      <w:tr w14:paraId="3854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BF187E6">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3143AF96">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BE65FE5">
            <w:pPr>
              <w:jc w:val="center"/>
              <w:rPr>
                <w:rFonts w:ascii="宋体" w:hAnsi="宋体"/>
                <w:color w:val="auto"/>
                <w:szCs w:val="21"/>
                <w:highlight w:val="none"/>
              </w:rPr>
            </w:pPr>
          </w:p>
        </w:tc>
        <w:tc>
          <w:tcPr>
            <w:tcW w:w="1539" w:type="dxa"/>
            <w:vAlign w:val="center"/>
          </w:tcPr>
          <w:p w14:paraId="208F70E5">
            <w:pPr>
              <w:jc w:val="center"/>
              <w:rPr>
                <w:rFonts w:ascii="宋体" w:hAnsi="宋体"/>
                <w:color w:val="auto"/>
                <w:szCs w:val="21"/>
                <w:highlight w:val="none"/>
              </w:rPr>
            </w:pPr>
          </w:p>
        </w:tc>
        <w:tc>
          <w:tcPr>
            <w:tcW w:w="1539" w:type="dxa"/>
            <w:vAlign w:val="center"/>
          </w:tcPr>
          <w:p w14:paraId="7FC47605">
            <w:pPr>
              <w:jc w:val="center"/>
              <w:rPr>
                <w:rFonts w:ascii="宋体" w:hAnsi="宋体"/>
                <w:color w:val="auto"/>
                <w:szCs w:val="21"/>
                <w:highlight w:val="none"/>
              </w:rPr>
            </w:pPr>
          </w:p>
        </w:tc>
        <w:tc>
          <w:tcPr>
            <w:tcW w:w="1539" w:type="dxa"/>
            <w:vAlign w:val="center"/>
          </w:tcPr>
          <w:p w14:paraId="35C8A800">
            <w:pPr>
              <w:jc w:val="center"/>
              <w:rPr>
                <w:rFonts w:ascii="宋体" w:hAnsi="宋体"/>
                <w:color w:val="auto"/>
                <w:szCs w:val="21"/>
                <w:highlight w:val="none"/>
              </w:rPr>
            </w:pPr>
            <w:r>
              <w:rPr>
                <w:rFonts w:hint="eastAsia" w:ascii="宋体" w:hAnsi="宋体"/>
                <w:color w:val="auto"/>
                <w:szCs w:val="21"/>
                <w:highlight w:val="none"/>
              </w:rPr>
              <w:t>-</w:t>
            </w:r>
          </w:p>
        </w:tc>
      </w:tr>
      <w:tr w14:paraId="101D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4ED4BCE">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5FBC9FF8">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6060F6A">
            <w:pPr>
              <w:jc w:val="center"/>
              <w:rPr>
                <w:rFonts w:ascii="宋体" w:hAnsi="宋体"/>
                <w:color w:val="auto"/>
                <w:szCs w:val="21"/>
                <w:highlight w:val="none"/>
              </w:rPr>
            </w:pPr>
          </w:p>
        </w:tc>
        <w:tc>
          <w:tcPr>
            <w:tcW w:w="1539" w:type="dxa"/>
            <w:vAlign w:val="center"/>
          </w:tcPr>
          <w:p w14:paraId="0D6616E4">
            <w:pPr>
              <w:jc w:val="center"/>
              <w:rPr>
                <w:rFonts w:ascii="宋体" w:hAnsi="宋体"/>
                <w:color w:val="auto"/>
                <w:szCs w:val="21"/>
                <w:highlight w:val="none"/>
              </w:rPr>
            </w:pPr>
          </w:p>
        </w:tc>
        <w:tc>
          <w:tcPr>
            <w:tcW w:w="1539" w:type="dxa"/>
            <w:vAlign w:val="center"/>
          </w:tcPr>
          <w:p w14:paraId="0A36A90B">
            <w:pPr>
              <w:jc w:val="center"/>
              <w:rPr>
                <w:rFonts w:ascii="宋体" w:hAnsi="宋体"/>
                <w:color w:val="auto"/>
                <w:szCs w:val="21"/>
                <w:highlight w:val="none"/>
              </w:rPr>
            </w:pPr>
          </w:p>
        </w:tc>
        <w:tc>
          <w:tcPr>
            <w:tcW w:w="1539" w:type="dxa"/>
            <w:vAlign w:val="center"/>
          </w:tcPr>
          <w:p w14:paraId="58E6BCF3">
            <w:pPr>
              <w:jc w:val="center"/>
              <w:rPr>
                <w:rFonts w:ascii="宋体" w:hAnsi="宋体"/>
                <w:color w:val="auto"/>
                <w:szCs w:val="21"/>
                <w:highlight w:val="none"/>
              </w:rPr>
            </w:pPr>
            <w:r>
              <w:rPr>
                <w:rFonts w:hint="eastAsia" w:ascii="宋体" w:hAnsi="宋体"/>
                <w:color w:val="auto"/>
                <w:szCs w:val="21"/>
                <w:highlight w:val="none"/>
              </w:rPr>
              <w:t>-</w:t>
            </w:r>
          </w:p>
        </w:tc>
      </w:tr>
      <w:tr w14:paraId="6233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BCB6799">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2433EAB9">
            <w:pPr>
              <w:jc w:val="center"/>
              <w:rPr>
                <w:rFonts w:ascii="宋体" w:hAnsi="宋体"/>
                <w:color w:val="auto"/>
                <w:szCs w:val="21"/>
                <w:highlight w:val="none"/>
              </w:rPr>
            </w:pPr>
          </w:p>
        </w:tc>
        <w:tc>
          <w:tcPr>
            <w:tcW w:w="1539" w:type="dxa"/>
            <w:vAlign w:val="center"/>
          </w:tcPr>
          <w:p w14:paraId="03CBB506">
            <w:pPr>
              <w:jc w:val="center"/>
              <w:rPr>
                <w:rFonts w:ascii="宋体" w:hAnsi="宋体"/>
                <w:color w:val="auto"/>
                <w:szCs w:val="21"/>
                <w:highlight w:val="none"/>
              </w:rPr>
            </w:pPr>
          </w:p>
        </w:tc>
        <w:tc>
          <w:tcPr>
            <w:tcW w:w="1539" w:type="dxa"/>
            <w:vAlign w:val="center"/>
          </w:tcPr>
          <w:p w14:paraId="30BE5E1E">
            <w:pPr>
              <w:jc w:val="center"/>
              <w:rPr>
                <w:rFonts w:ascii="宋体" w:hAnsi="宋体"/>
                <w:color w:val="auto"/>
                <w:szCs w:val="21"/>
                <w:highlight w:val="none"/>
              </w:rPr>
            </w:pPr>
          </w:p>
        </w:tc>
        <w:tc>
          <w:tcPr>
            <w:tcW w:w="1539" w:type="dxa"/>
            <w:vAlign w:val="center"/>
          </w:tcPr>
          <w:p w14:paraId="628C80E5">
            <w:pPr>
              <w:jc w:val="center"/>
              <w:rPr>
                <w:rFonts w:ascii="宋体" w:hAnsi="宋体"/>
                <w:color w:val="auto"/>
                <w:szCs w:val="21"/>
                <w:highlight w:val="none"/>
              </w:rPr>
            </w:pPr>
          </w:p>
        </w:tc>
        <w:tc>
          <w:tcPr>
            <w:tcW w:w="1539" w:type="dxa"/>
            <w:vAlign w:val="center"/>
          </w:tcPr>
          <w:p w14:paraId="2812BF08">
            <w:pPr>
              <w:jc w:val="center"/>
              <w:rPr>
                <w:rFonts w:ascii="宋体" w:hAnsi="宋体"/>
                <w:color w:val="auto"/>
                <w:szCs w:val="21"/>
                <w:highlight w:val="none"/>
              </w:rPr>
            </w:pPr>
            <w:r>
              <w:rPr>
                <w:rFonts w:hint="eastAsia" w:ascii="宋体" w:hAnsi="宋体"/>
                <w:color w:val="auto"/>
                <w:szCs w:val="21"/>
                <w:highlight w:val="none"/>
              </w:rPr>
              <w:t>-</w:t>
            </w:r>
          </w:p>
        </w:tc>
      </w:tr>
      <w:tr w14:paraId="3357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4F665D6">
            <w:pPr>
              <w:rPr>
                <w:rFonts w:ascii="宋体" w:hAnsi="宋体"/>
                <w:color w:val="auto"/>
                <w:szCs w:val="21"/>
                <w:highlight w:val="none"/>
              </w:rPr>
            </w:pPr>
            <w:r>
              <w:rPr>
                <w:rFonts w:hint="eastAsia" w:ascii="宋体" w:hAnsi="宋体"/>
                <w:color w:val="auto"/>
                <w:szCs w:val="21"/>
                <w:highlight w:val="none"/>
              </w:rPr>
              <w:t>1．净资产收益率</w:t>
            </w:r>
          </w:p>
        </w:tc>
        <w:tc>
          <w:tcPr>
            <w:tcW w:w="815" w:type="dxa"/>
          </w:tcPr>
          <w:p w14:paraId="6C4F1C25">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4268249C">
            <w:pPr>
              <w:jc w:val="center"/>
              <w:rPr>
                <w:rFonts w:ascii="宋体" w:hAnsi="宋体"/>
                <w:color w:val="auto"/>
                <w:szCs w:val="21"/>
                <w:highlight w:val="none"/>
              </w:rPr>
            </w:pPr>
          </w:p>
        </w:tc>
        <w:tc>
          <w:tcPr>
            <w:tcW w:w="1539" w:type="dxa"/>
            <w:vAlign w:val="center"/>
          </w:tcPr>
          <w:p w14:paraId="016239D8">
            <w:pPr>
              <w:jc w:val="center"/>
              <w:rPr>
                <w:rFonts w:ascii="宋体" w:hAnsi="宋体"/>
                <w:color w:val="auto"/>
                <w:szCs w:val="21"/>
                <w:highlight w:val="none"/>
              </w:rPr>
            </w:pPr>
          </w:p>
        </w:tc>
        <w:tc>
          <w:tcPr>
            <w:tcW w:w="1539" w:type="dxa"/>
            <w:vAlign w:val="center"/>
          </w:tcPr>
          <w:p w14:paraId="4353A7E2">
            <w:pPr>
              <w:jc w:val="center"/>
              <w:rPr>
                <w:rFonts w:ascii="宋体" w:hAnsi="宋体"/>
                <w:color w:val="auto"/>
                <w:szCs w:val="21"/>
                <w:highlight w:val="none"/>
              </w:rPr>
            </w:pPr>
          </w:p>
        </w:tc>
        <w:tc>
          <w:tcPr>
            <w:tcW w:w="1539" w:type="dxa"/>
            <w:vAlign w:val="center"/>
          </w:tcPr>
          <w:p w14:paraId="76A2B035">
            <w:pPr>
              <w:jc w:val="center"/>
              <w:rPr>
                <w:rFonts w:ascii="宋体" w:hAnsi="宋体"/>
                <w:color w:val="auto"/>
                <w:szCs w:val="21"/>
                <w:highlight w:val="none"/>
              </w:rPr>
            </w:pPr>
          </w:p>
        </w:tc>
      </w:tr>
      <w:tr w14:paraId="682B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5DC6EAF">
            <w:pPr>
              <w:rPr>
                <w:rFonts w:ascii="宋体" w:hAnsi="宋体"/>
                <w:color w:val="auto"/>
                <w:szCs w:val="21"/>
                <w:highlight w:val="none"/>
              </w:rPr>
            </w:pPr>
            <w:r>
              <w:rPr>
                <w:rFonts w:hint="eastAsia" w:ascii="宋体" w:hAnsi="宋体"/>
                <w:color w:val="auto"/>
                <w:szCs w:val="21"/>
                <w:highlight w:val="none"/>
              </w:rPr>
              <w:t>2．总资产报酬率</w:t>
            </w:r>
          </w:p>
        </w:tc>
        <w:tc>
          <w:tcPr>
            <w:tcW w:w="815" w:type="dxa"/>
          </w:tcPr>
          <w:p w14:paraId="0E4545DA">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12E0965">
            <w:pPr>
              <w:jc w:val="center"/>
              <w:rPr>
                <w:rFonts w:ascii="宋体" w:hAnsi="宋体"/>
                <w:color w:val="auto"/>
                <w:szCs w:val="21"/>
                <w:highlight w:val="none"/>
              </w:rPr>
            </w:pPr>
          </w:p>
        </w:tc>
        <w:tc>
          <w:tcPr>
            <w:tcW w:w="1539" w:type="dxa"/>
            <w:vAlign w:val="center"/>
          </w:tcPr>
          <w:p w14:paraId="66F0CE36">
            <w:pPr>
              <w:jc w:val="center"/>
              <w:rPr>
                <w:rFonts w:ascii="宋体" w:hAnsi="宋体"/>
                <w:color w:val="auto"/>
                <w:szCs w:val="21"/>
                <w:highlight w:val="none"/>
              </w:rPr>
            </w:pPr>
          </w:p>
        </w:tc>
        <w:tc>
          <w:tcPr>
            <w:tcW w:w="1539" w:type="dxa"/>
            <w:vAlign w:val="center"/>
          </w:tcPr>
          <w:p w14:paraId="66BFE261">
            <w:pPr>
              <w:jc w:val="center"/>
              <w:rPr>
                <w:rFonts w:ascii="宋体" w:hAnsi="宋体"/>
                <w:color w:val="auto"/>
                <w:szCs w:val="21"/>
                <w:highlight w:val="none"/>
              </w:rPr>
            </w:pPr>
          </w:p>
        </w:tc>
        <w:tc>
          <w:tcPr>
            <w:tcW w:w="1539" w:type="dxa"/>
            <w:vAlign w:val="center"/>
          </w:tcPr>
          <w:p w14:paraId="23531E91">
            <w:pPr>
              <w:jc w:val="center"/>
              <w:rPr>
                <w:rFonts w:ascii="宋体" w:hAnsi="宋体"/>
                <w:color w:val="auto"/>
                <w:szCs w:val="21"/>
                <w:highlight w:val="none"/>
              </w:rPr>
            </w:pPr>
          </w:p>
        </w:tc>
      </w:tr>
      <w:tr w14:paraId="24E7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49B1CBB">
            <w:pPr>
              <w:rPr>
                <w:rFonts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367938A9">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29E0BCF">
            <w:pPr>
              <w:jc w:val="center"/>
              <w:rPr>
                <w:rFonts w:ascii="宋体" w:hAnsi="宋体"/>
                <w:color w:val="auto"/>
                <w:szCs w:val="21"/>
                <w:highlight w:val="none"/>
              </w:rPr>
            </w:pPr>
          </w:p>
        </w:tc>
        <w:tc>
          <w:tcPr>
            <w:tcW w:w="1539" w:type="dxa"/>
            <w:vAlign w:val="center"/>
          </w:tcPr>
          <w:p w14:paraId="0AF27CC9">
            <w:pPr>
              <w:jc w:val="center"/>
              <w:rPr>
                <w:rFonts w:ascii="宋体" w:hAnsi="宋体"/>
                <w:color w:val="auto"/>
                <w:szCs w:val="21"/>
                <w:highlight w:val="none"/>
              </w:rPr>
            </w:pPr>
          </w:p>
        </w:tc>
        <w:tc>
          <w:tcPr>
            <w:tcW w:w="1539" w:type="dxa"/>
            <w:vAlign w:val="center"/>
          </w:tcPr>
          <w:p w14:paraId="6CC571C3">
            <w:pPr>
              <w:jc w:val="center"/>
              <w:rPr>
                <w:rFonts w:ascii="宋体" w:hAnsi="宋体"/>
                <w:color w:val="auto"/>
                <w:szCs w:val="21"/>
                <w:highlight w:val="none"/>
              </w:rPr>
            </w:pPr>
          </w:p>
        </w:tc>
        <w:tc>
          <w:tcPr>
            <w:tcW w:w="1539" w:type="dxa"/>
            <w:vAlign w:val="center"/>
          </w:tcPr>
          <w:p w14:paraId="4BDA2C35">
            <w:pPr>
              <w:jc w:val="center"/>
              <w:rPr>
                <w:rFonts w:ascii="宋体" w:hAnsi="宋体"/>
                <w:color w:val="auto"/>
                <w:szCs w:val="21"/>
                <w:highlight w:val="none"/>
              </w:rPr>
            </w:pPr>
            <w:r>
              <w:rPr>
                <w:rFonts w:hint="eastAsia" w:ascii="宋体" w:hAnsi="宋体"/>
                <w:color w:val="auto"/>
                <w:szCs w:val="21"/>
                <w:highlight w:val="none"/>
              </w:rPr>
              <w:t>-</w:t>
            </w:r>
          </w:p>
        </w:tc>
      </w:tr>
      <w:tr w14:paraId="7312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7F72A7E">
            <w:pPr>
              <w:rPr>
                <w:rFonts w:ascii="宋体" w:hAnsi="宋体"/>
                <w:color w:val="auto"/>
                <w:szCs w:val="21"/>
                <w:highlight w:val="none"/>
              </w:rPr>
            </w:pPr>
            <w:r>
              <w:rPr>
                <w:rFonts w:hint="eastAsia" w:ascii="宋体" w:hAnsi="宋体"/>
                <w:color w:val="auto"/>
                <w:szCs w:val="21"/>
                <w:highlight w:val="none"/>
              </w:rPr>
              <w:t>4．资产负债率</w:t>
            </w:r>
          </w:p>
        </w:tc>
        <w:tc>
          <w:tcPr>
            <w:tcW w:w="815" w:type="dxa"/>
          </w:tcPr>
          <w:p w14:paraId="4B677F7A">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3B197064">
            <w:pPr>
              <w:jc w:val="center"/>
              <w:rPr>
                <w:rFonts w:ascii="宋体" w:hAnsi="宋体"/>
                <w:color w:val="auto"/>
                <w:szCs w:val="21"/>
                <w:highlight w:val="none"/>
              </w:rPr>
            </w:pPr>
          </w:p>
        </w:tc>
        <w:tc>
          <w:tcPr>
            <w:tcW w:w="1539" w:type="dxa"/>
            <w:vAlign w:val="center"/>
          </w:tcPr>
          <w:p w14:paraId="42E516BF">
            <w:pPr>
              <w:jc w:val="center"/>
              <w:rPr>
                <w:rFonts w:ascii="宋体" w:hAnsi="宋体"/>
                <w:color w:val="auto"/>
                <w:szCs w:val="21"/>
                <w:highlight w:val="none"/>
              </w:rPr>
            </w:pPr>
          </w:p>
        </w:tc>
        <w:tc>
          <w:tcPr>
            <w:tcW w:w="1539" w:type="dxa"/>
            <w:vAlign w:val="center"/>
          </w:tcPr>
          <w:p w14:paraId="6121F682">
            <w:pPr>
              <w:jc w:val="center"/>
              <w:rPr>
                <w:rFonts w:ascii="宋体" w:hAnsi="宋体"/>
                <w:color w:val="auto"/>
                <w:szCs w:val="21"/>
                <w:highlight w:val="none"/>
              </w:rPr>
            </w:pPr>
          </w:p>
        </w:tc>
        <w:tc>
          <w:tcPr>
            <w:tcW w:w="1539" w:type="dxa"/>
            <w:vAlign w:val="center"/>
          </w:tcPr>
          <w:p w14:paraId="459FA21D">
            <w:pPr>
              <w:jc w:val="center"/>
              <w:rPr>
                <w:rFonts w:ascii="宋体" w:hAnsi="宋体"/>
                <w:color w:val="auto"/>
                <w:szCs w:val="21"/>
                <w:highlight w:val="none"/>
              </w:rPr>
            </w:pPr>
          </w:p>
        </w:tc>
      </w:tr>
      <w:tr w14:paraId="54E5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F63FFAC">
            <w:pPr>
              <w:rPr>
                <w:rFonts w:ascii="宋体" w:hAnsi="宋体"/>
                <w:color w:val="auto"/>
                <w:szCs w:val="21"/>
                <w:highlight w:val="none"/>
              </w:rPr>
            </w:pPr>
            <w:r>
              <w:rPr>
                <w:rFonts w:hint="eastAsia" w:ascii="宋体" w:hAnsi="宋体"/>
                <w:color w:val="auto"/>
                <w:szCs w:val="21"/>
                <w:highlight w:val="none"/>
              </w:rPr>
              <w:t>5．流动比率</w:t>
            </w:r>
          </w:p>
        </w:tc>
        <w:tc>
          <w:tcPr>
            <w:tcW w:w="815" w:type="dxa"/>
          </w:tcPr>
          <w:p w14:paraId="30CC90D8">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2ABB101D">
            <w:pPr>
              <w:jc w:val="center"/>
              <w:rPr>
                <w:rFonts w:ascii="宋体" w:hAnsi="宋体"/>
                <w:color w:val="auto"/>
                <w:szCs w:val="21"/>
                <w:highlight w:val="none"/>
              </w:rPr>
            </w:pPr>
          </w:p>
        </w:tc>
        <w:tc>
          <w:tcPr>
            <w:tcW w:w="1539" w:type="dxa"/>
            <w:vAlign w:val="center"/>
          </w:tcPr>
          <w:p w14:paraId="21296F7B">
            <w:pPr>
              <w:jc w:val="center"/>
              <w:rPr>
                <w:rFonts w:ascii="宋体" w:hAnsi="宋体"/>
                <w:color w:val="auto"/>
                <w:szCs w:val="21"/>
                <w:highlight w:val="none"/>
              </w:rPr>
            </w:pPr>
          </w:p>
        </w:tc>
        <w:tc>
          <w:tcPr>
            <w:tcW w:w="1539" w:type="dxa"/>
            <w:vAlign w:val="center"/>
          </w:tcPr>
          <w:p w14:paraId="3F1D54BD">
            <w:pPr>
              <w:jc w:val="center"/>
              <w:rPr>
                <w:rFonts w:ascii="宋体" w:hAnsi="宋体"/>
                <w:color w:val="auto"/>
                <w:szCs w:val="21"/>
                <w:highlight w:val="none"/>
              </w:rPr>
            </w:pPr>
          </w:p>
        </w:tc>
        <w:tc>
          <w:tcPr>
            <w:tcW w:w="1539" w:type="dxa"/>
            <w:vAlign w:val="center"/>
          </w:tcPr>
          <w:p w14:paraId="39AF668C">
            <w:pPr>
              <w:jc w:val="center"/>
              <w:rPr>
                <w:rFonts w:ascii="宋体" w:hAnsi="宋体"/>
                <w:color w:val="auto"/>
                <w:szCs w:val="21"/>
                <w:highlight w:val="none"/>
              </w:rPr>
            </w:pPr>
          </w:p>
        </w:tc>
      </w:tr>
      <w:tr w14:paraId="4292F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7C703BE">
            <w:pPr>
              <w:rPr>
                <w:rFonts w:ascii="宋体" w:hAnsi="宋体"/>
                <w:color w:val="auto"/>
                <w:szCs w:val="21"/>
                <w:highlight w:val="none"/>
              </w:rPr>
            </w:pPr>
            <w:r>
              <w:rPr>
                <w:rFonts w:hint="eastAsia" w:ascii="宋体" w:hAnsi="宋体"/>
                <w:color w:val="auto"/>
                <w:szCs w:val="21"/>
                <w:highlight w:val="none"/>
              </w:rPr>
              <w:t>6．速动比率</w:t>
            </w:r>
          </w:p>
        </w:tc>
        <w:tc>
          <w:tcPr>
            <w:tcW w:w="815" w:type="dxa"/>
          </w:tcPr>
          <w:p w14:paraId="2B08110C">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BB00D3F">
            <w:pPr>
              <w:jc w:val="center"/>
              <w:rPr>
                <w:rFonts w:ascii="宋体" w:hAnsi="宋体"/>
                <w:color w:val="auto"/>
                <w:szCs w:val="21"/>
                <w:highlight w:val="none"/>
              </w:rPr>
            </w:pPr>
          </w:p>
        </w:tc>
        <w:tc>
          <w:tcPr>
            <w:tcW w:w="1539" w:type="dxa"/>
            <w:vAlign w:val="center"/>
          </w:tcPr>
          <w:p w14:paraId="02D9C6D1">
            <w:pPr>
              <w:jc w:val="center"/>
              <w:rPr>
                <w:rFonts w:ascii="宋体" w:hAnsi="宋体"/>
                <w:color w:val="auto"/>
                <w:szCs w:val="21"/>
                <w:highlight w:val="none"/>
              </w:rPr>
            </w:pPr>
          </w:p>
        </w:tc>
        <w:tc>
          <w:tcPr>
            <w:tcW w:w="1539" w:type="dxa"/>
            <w:vAlign w:val="center"/>
          </w:tcPr>
          <w:p w14:paraId="6CF2D90C">
            <w:pPr>
              <w:jc w:val="center"/>
              <w:rPr>
                <w:rFonts w:ascii="宋体" w:hAnsi="宋体"/>
                <w:color w:val="auto"/>
                <w:szCs w:val="21"/>
                <w:highlight w:val="none"/>
              </w:rPr>
            </w:pPr>
          </w:p>
        </w:tc>
        <w:tc>
          <w:tcPr>
            <w:tcW w:w="1539" w:type="dxa"/>
            <w:vAlign w:val="center"/>
          </w:tcPr>
          <w:p w14:paraId="459CB687">
            <w:pPr>
              <w:jc w:val="center"/>
              <w:rPr>
                <w:rFonts w:ascii="宋体" w:hAnsi="宋体"/>
                <w:color w:val="auto"/>
                <w:szCs w:val="21"/>
                <w:highlight w:val="none"/>
              </w:rPr>
            </w:pPr>
          </w:p>
        </w:tc>
      </w:tr>
    </w:tbl>
    <w:p w14:paraId="3E4ED674">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58E06E6E">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53DB58E7">
      <w:pPr>
        <w:rPr>
          <w:color w:val="auto"/>
          <w:highlight w:val="none"/>
        </w:rPr>
        <w:sectPr>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2F06BEF6">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lang w:val="en-US" w:eastAsia="zh-CN"/>
        </w:rPr>
      </w:pPr>
      <w:bookmarkStart w:id="2282" w:name="_Toc256000226"/>
      <w:bookmarkStart w:id="2283" w:name="_Toc122603092"/>
      <w:r>
        <w:rPr>
          <w:rFonts w:hint="eastAsia"/>
          <w:color w:val="auto"/>
          <w:szCs w:val="24"/>
          <w:highlight w:val="none"/>
          <w:lang w:eastAsia="zh-CN"/>
        </w:rPr>
        <w:t>（</w:t>
      </w:r>
      <w:r>
        <w:rPr>
          <w:rFonts w:hint="default"/>
          <w:color w:val="auto"/>
          <w:szCs w:val="24"/>
          <w:highlight w:val="none"/>
        </w:rPr>
        <w:t>三</w:t>
      </w:r>
      <w:r>
        <w:rPr>
          <w:rFonts w:hint="eastAsia"/>
          <w:color w:val="auto"/>
          <w:szCs w:val="24"/>
          <w:highlight w:val="none"/>
          <w:lang w:eastAsia="zh-CN"/>
        </w:rPr>
        <w:t>）</w:t>
      </w:r>
      <w:r>
        <w:rPr>
          <w:rFonts w:hint="eastAsia"/>
          <w:color w:val="auto"/>
          <w:szCs w:val="24"/>
          <w:highlight w:val="none"/>
        </w:rPr>
        <w:t>近年完成的类似项目情况</w:t>
      </w:r>
      <w:bookmarkEnd w:id="2282"/>
      <w:bookmarkEnd w:id="2283"/>
    </w:p>
    <w:p w14:paraId="2D64F5D2">
      <w:pPr>
        <w:numPr>
          <w:ilvl w:val="0"/>
          <w:numId w:val="0"/>
        </w:numPr>
        <w:bidi w:val="0"/>
        <w:spacing w:before="156" w:beforeLines="50" w:after="156" w:afterLines="50"/>
        <w:ind w:left="0" w:leftChars="0"/>
        <w:jc w:val="center"/>
        <w:rPr>
          <w:rFonts w:hint="eastAsia" w:ascii="黑体" w:hAnsi="黑体" w:eastAsia="黑体" w:cs="黑体"/>
          <w:color w:val="auto"/>
          <w:sz w:val="24"/>
          <w:szCs w:val="24"/>
          <w:highlight w:val="none"/>
        </w:rPr>
      </w:pPr>
      <w:bookmarkStart w:id="2284" w:name="_Toc122603093"/>
      <w:r>
        <w:rPr>
          <w:rFonts w:hint="eastAsia" w:ascii="黑体" w:hAnsi="黑体" w:eastAsia="黑体" w:cs="黑体"/>
          <w:color w:val="auto"/>
          <w:sz w:val="24"/>
          <w:szCs w:val="24"/>
          <w:highlight w:val="none"/>
        </w:rPr>
        <w:t>近年完成的类似项目汇总表</w:t>
      </w:r>
      <w:bookmarkEnd w:id="2284"/>
    </w:p>
    <w:tbl>
      <w:tblPr>
        <w:tblStyle w:val="2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1A4A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14:paraId="1FB38D29">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779D4F21">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6F959D62">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58C53CB5">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4FBCA883">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03F4C066">
            <w:pPr>
              <w:topLinePunct/>
              <w:spacing w:line="400" w:lineRule="atLeast"/>
              <w:jc w:val="center"/>
              <w:rPr>
                <w:color w:val="auto"/>
                <w:szCs w:val="21"/>
                <w:highlight w:val="none"/>
              </w:rPr>
            </w:pPr>
            <w:r>
              <w:rPr>
                <w:rFonts w:hint="eastAsia" w:ascii="宋体" w:hAnsi="宋体"/>
                <w:color w:val="auto"/>
                <w:szCs w:val="21"/>
                <w:highlight w:val="none"/>
              </w:rPr>
              <w:t>开、竣工日期</w:t>
            </w:r>
          </w:p>
        </w:tc>
        <w:tc>
          <w:tcPr>
            <w:tcW w:w="1080" w:type="dxa"/>
            <w:vAlign w:val="center"/>
          </w:tcPr>
          <w:p w14:paraId="5CFD426A">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0552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6C36BCCE">
            <w:pPr>
              <w:topLinePunct/>
              <w:spacing w:line="400" w:lineRule="atLeast"/>
              <w:jc w:val="center"/>
              <w:rPr>
                <w:color w:val="auto"/>
                <w:szCs w:val="21"/>
                <w:highlight w:val="none"/>
              </w:rPr>
            </w:pPr>
          </w:p>
        </w:tc>
        <w:tc>
          <w:tcPr>
            <w:tcW w:w="1846" w:type="dxa"/>
          </w:tcPr>
          <w:p w14:paraId="03A32B01">
            <w:pPr>
              <w:topLinePunct/>
              <w:spacing w:line="400" w:lineRule="atLeast"/>
              <w:jc w:val="center"/>
              <w:rPr>
                <w:color w:val="auto"/>
                <w:szCs w:val="21"/>
                <w:highlight w:val="none"/>
              </w:rPr>
            </w:pPr>
          </w:p>
        </w:tc>
        <w:tc>
          <w:tcPr>
            <w:tcW w:w="1394" w:type="dxa"/>
          </w:tcPr>
          <w:p w14:paraId="787C8FD8">
            <w:pPr>
              <w:topLinePunct/>
              <w:spacing w:line="400" w:lineRule="atLeast"/>
              <w:jc w:val="center"/>
              <w:rPr>
                <w:color w:val="auto"/>
                <w:szCs w:val="21"/>
                <w:highlight w:val="none"/>
              </w:rPr>
            </w:pPr>
          </w:p>
        </w:tc>
        <w:tc>
          <w:tcPr>
            <w:tcW w:w="1080" w:type="dxa"/>
          </w:tcPr>
          <w:p w14:paraId="38D0C6B0">
            <w:pPr>
              <w:topLinePunct/>
              <w:spacing w:line="400" w:lineRule="atLeast"/>
              <w:jc w:val="center"/>
              <w:rPr>
                <w:color w:val="auto"/>
                <w:szCs w:val="21"/>
                <w:highlight w:val="none"/>
              </w:rPr>
            </w:pPr>
          </w:p>
        </w:tc>
        <w:tc>
          <w:tcPr>
            <w:tcW w:w="1112" w:type="dxa"/>
          </w:tcPr>
          <w:p w14:paraId="548CF2F5">
            <w:pPr>
              <w:topLinePunct/>
              <w:spacing w:line="400" w:lineRule="atLeast"/>
              <w:jc w:val="center"/>
              <w:rPr>
                <w:color w:val="auto"/>
                <w:szCs w:val="21"/>
                <w:highlight w:val="none"/>
              </w:rPr>
            </w:pPr>
          </w:p>
        </w:tc>
        <w:tc>
          <w:tcPr>
            <w:tcW w:w="1778" w:type="dxa"/>
          </w:tcPr>
          <w:p w14:paraId="30A71DB3">
            <w:pPr>
              <w:topLinePunct/>
              <w:spacing w:line="400" w:lineRule="atLeast"/>
              <w:jc w:val="center"/>
              <w:rPr>
                <w:color w:val="auto"/>
                <w:szCs w:val="21"/>
                <w:highlight w:val="none"/>
              </w:rPr>
            </w:pPr>
          </w:p>
        </w:tc>
        <w:tc>
          <w:tcPr>
            <w:tcW w:w="1080" w:type="dxa"/>
          </w:tcPr>
          <w:p w14:paraId="4220890C">
            <w:pPr>
              <w:topLinePunct/>
              <w:spacing w:line="400" w:lineRule="atLeast"/>
              <w:jc w:val="center"/>
              <w:rPr>
                <w:color w:val="auto"/>
                <w:szCs w:val="21"/>
                <w:highlight w:val="none"/>
              </w:rPr>
            </w:pPr>
          </w:p>
        </w:tc>
      </w:tr>
      <w:tr w14:paraId="78AB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58DAB306">
            <w:pPr>
              <w:topLinePunct/>
              <w:spacing w:line="400" w:lineRule="atLeast"/>
              <w:jc w:val="center"/>
              <w:rPr>
                <w:color w:val="auto"/>
                <w:szCs w:val="21"/>
                <w:highlight w:val="none"/>
              </w:rPr>
            </w:pPr>
          </w:p>
        </w:tc>
        <w:tc>
          <w:tcPr>
            <w:tcW w:w="1846" w:type="dxa"/>
          </w:tcPr>
          <w:p w14:paraId="7776551B">
            <w:pPr>
              <w:topLinePunct/>
              <w:spacing w:line="400" w:lineRule="atLeast"/>
              <w:jc w:val="center"/>
              <w:rPr>
                <w:color w:val="auto"/>
                <w:szCs w:val="21"/>
                <w:highlight w:val="none"/>
              </w:rPr>
            </w:pPr>
          </w:p>
        </w:tc>
        <w:tc>
          <w:tcPr>
            <w:tcW w:w="1394" w:type="dxa"/>
          </w:tcPr>
          <w:p w14:paraId="15302F85">
            <w:pPr>
              <w:topLinePunct/>
              <w:spacing w:line="400" w:lineRule="atLeast"/>
              <w:jc w:val="center"/>
              <w:rPr>
                <w:color w:val="auto"/>
                <w:szCs w:val="21"/>
                <w:highlight w:val="none"/>
              </w:rPr>
            </w:pPr>
          </w:p>
        </w:tc>
        <w:tc>
          <w:tcPr>
            <w:tcW w:w="1080" w:type="dxa"/>
          </w:tcPr>
          <w:p w14:paraId="61FAFA58">
            <w:pPr>
              <w:topLinePunct/>
              <w:spacing w:line="400" w:lineRule="atLeast"/>
              <w:jc w:val="center"/>
              <w:rPr>
                <w:color w:val="auto"/>
                <w:szCs w:val="21"/>
                <w:highlight w:val="none"/>
              </w:rPr>
            </w:pPr>
          </w:p>
        </w:tc>
        <w:tc>
          <w:tcPr>
            <w:tcW w:w="1112" w:type="dxa"/>
          </w:tcPr>
          <w:p w14:paraId="16522EEF">
            <w:pPr>
              <w:topLinePunct/>
              <w:spacing w:line="400" w:lineRule="atLeast"/>
              <w:jc w:val="center"/>
              <w:rPr>
                <w:color w:val="auto"/>
                <w:szCs w:val="21"/>
                <w:highlight w:val="none"/>
              </w:rPr>
            </w:pPr>
          </w:p>
        </w:tc>
        <w:tc>
          <w:tcPr>
            <w:tcW w:w="1778" w:type="dxa"/>
          </w:tcPr>
          <w:p w14:paraId="7EFAA352">
            <w:pPr>
              <w:topLinePunct/>
              <w:spacing w:line="400" w:lineRule="atLeast"/>
              <w:jc w:val="center"/>
              <w:rPr>
                <w:color w:val="auto"/>
                <w:szCs w:val="21"/>
                <w:highlight w:val="none"/>
              </w:rPr>
            </w:pPr>
          </w:p>
        </w:tc>
        <w:tc>
          <w:tcPr>
            <w:tcW w:w="1080" w:type="dxa"/>
          </w:tcPr>
          <w:p w14:paraId="591572E4">
            <w:pPr>
              <w:topLinePunct/>
              <w:spacing w:line="400" w:lineRule="atLeast"/>
              <w:jc w:val="center"/>
              <w:rPr>
                <w:color w:val="auto"/>
                <w:szCs w:val="21"/>
                <w:highlight w:val="none"/>
              </w:rPr>
            </w:pPr>
          </w:p>
        </w:tc>
      </w:tr>
      <w:tr w14:paraId="0225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11402C43">
            <w:pPr>
              <w:topLinePunct/>
              <w:spacing w:line="400" w:lineRule="atLeast"/>
              <w:jc w:val="center"/>
              <w:rPr>
                <w:color w:val="auto"/>
                <w:szCs w:val="21"/>
                <w:highlight w:val="none"/>
              </w:rPr>
            </w:pPr>
          </w:p>
        </w:tc>
        <w:tc>
          <w:tcPr>
            <w:tcW w:w="1846" w:type="dxa"/>
          </w:tcPr>
          <w:p w14:paraId="66F9790A">
            <w:pPr>
              <w:topLinePunct/>
              <w:spacing w:line="400" w:lineRule="atLeast"/>
              <w:jc w:val="center"/>
              <w:rPr>
                <w:color w:val="auto"/>
                <w:szCs w:val="21"/>
                <w:highlight w:val="none"/>
              </w:rPr>
            </w:pPr>
          </w:p>
        </w:tc>
        <w:tc>
          <w:tcPr>
            <w:tcW w:w="1394" w:type="dxa"/>
          </w:tcPr>
          <w:p w14:paraId="1673663B">
            <w:pPr>
              <w:topLinePunct/>
              <w:spacing w:line="400" w:lineRule="atLeast"/>
              <w:jc w:val="center"/>
              <w:rPr>
                <w:color w:val="auto"/>
                <w:szCs w:val="21"/>
                <w:highlight w:val="none"/>
              </w:rPr>
            </w:pPr>
          </w:p>
        </w:tc>
        <w:tc>
          <w:tcPr>
            <w:tcW w:w="1080" w:type="dxa"/>
          </w:tcPr>
          <w:p w14:paraId="59B55DC9">
            <w:pPr>
              <w:topLinePunct/>
              <w:spacing w:line="400" w:lineRule="atLeast"/>
              <w:jc w:val="center"/>
              <w:rPr>
                <w:color w:val="auto"/>
                <w:szCs w:val="21"/>
                <w:highlight w:val="none"/>
              </w:rPr>
            </w:pPr>
          </w:p>
        </w:tc>
        <w:tc>
          <w:tcPr>
            <w:tcW w:w="1112" w:type="dxa"/>
          </w:tcPr>
          <w:p w14:paraId="5095F77B">
            <w:pPr>
              <w:topLinePunct/>
              <w:spacing w:line="400" w:lineRule="atLeast"/>
              <w:jc w:val="center"/>
              <w:rPr>
                <w:color w:val="auto"/>
                <w:szCs w:val="21"/>
                <w:highlight w:val="none"/>
              </w:rPr>
            </w:pPr>
          </w:p>
        </w:tc>
        <w:tc>
          <w:tcPr>
            <w:tcW w:w="1778" w:type="dxa"/>
          </w:tcPr>
          <w:p w14:paraId="7D1F0C55">
            <w:pPr>
              <w:topLinePunct/>
              <w:spacing w:line="400" w:lineRule="atLeast"/>
              <w:jc w:val="center"/>
              <w:rPr>
                <w:color w:val="auto"/>
                <w:szCs w:val="21"/>
                <w:highlight w:val="none"/>
              </w:rPr>
            </w:pPr>
          </w:p>
        </w:tc>
        <w:tc>
          <w:tcPr>
            <w:tcW w:w="1080" w:type="dxa"/>
          </w:tcPr>
          <w:p w14:paraId="5A6E193F">
            <w:pPr>
              <w:topLinePunct/>
              <w:spacing w:line="400" w:lineRule="atLeast"/>
              <w:jc w:val="center"/>
              <w:rPr>
                <w:color w:val="auto"/>
                <w:szCs w:val="21"/>
                <w:highlight w:val="none"/>
              </w:rPr>
            </w:pPr>
          </w:p>
        </w:tc>
      </w:tr>
      <w:tr w14:paraId="351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D30A32E">
            <w:pPr>
              <w:topLinePunct/>
              <w:spacing w:line="400" w:lineRule="atLeast"/>
              <w:jc w:val="center"/>
              <w:rPr>
                <w:color w:val="auto"/>
                <w:szCs w:val="21"/>
                <w:highlight w:val="none"/>
              </w:rPr>
            </w:pPr>
          </w:p>
        </w:tc>
        <w:tc>
          <w:tcPr>
            <w:tcW w:w="1846" w:type="dxa"/>
          </w:tcPr>
          <w:p w14:paraId="2881F667">
            <w:pPr>
              <w:topLinePunct/>
              <w:spacing w:line="400" w:lineRule="atLeast"/>
              <w:jc w:val="center"/>
              <w:rPr>
                <w:color w:val="auto"/>
                <w:szCs w:val="21"/>
                <w:highlight w:val="none"/>
              </w:rPr>
            </w:pPr>
          </w:p>
        </w:tc>
        <w:tc>
          <w:tcPr>
            <w:tcW w:w="1394" w:type="dxa"/>
          </w:tcPr>
          <w:p w14:paraId="57656909">
            <w:pPr>
              <w:topLinePunct/>
              <w:spacing w:line="400" w:lineRule="atLeast"/>
              <w:jc w:val="center"/>
              <w:rPr>
                <w:color w:val="auto"/>
                <w:szCs w:val="21"/>
                <w:highlight w:val="none"/>
              </w:rPr>
            </w:pPr>
          </w:p>
        </w:tc>
        <w:tc>
          <w:tcPr>
            <w:tcW w:w="1080" w:type="dxa"/>
          </w:tcPr>
          <w:p w14:paraId="3ABC5C30">
            <w:pPr>
              <w:topLinePunct/>
              <w:spacing w:line="400" w:lineRule="atLeast"/>
              <w:jc w:val="center"/>
              <w:rPr>
                <w:color w:val="auto"/>
                <w:szCs w:val="21"/>
                <w:highlight w:val="none"/>
              </w:rPr>
            </w:pPr>
          </w:p>
        </w:tc>
        <w:tc>
          <w:tcPr>
            <w:tcW w:w="1112" w:type="dxa"/>
          </w:tcPr>
          <w:p w14:paraId="25B508F5">
            <w:pPr>
              <w:topLinePunct/>
              <w:spacing w:line="400" w:lineRule="atLeast"/>
              <w:jc w:val="center"/>
              <w:rPr>
                <w:color w:val="auto"/>
                <w:szCs w:val="21"/>
                <w:highlight w:val="none"/>
              </w:rPr>
            </w:pPr>
          </w:p>
        </w:tc>
        <w:tc>
          <w:tcPr>
            <w:tcW w:w="1778" w:type="dxa"/>
          </w:tcPr>
          <w:p w14:paraId="6D3C3197">
            <w:pPr>
              <w:topLinePunct/>
              <w:spacing w:line="400" w:lineRule="atLeast"/>
              <w:jc w:val="center"/>
              <w:rPr>
                <w:color w:val="auto"/>
                <w:szCs w:val="21"/>
                <w:highlight w:val="none"/>
              </w:rPr>
            </w:pPr>
          </w:p>
        </w:tc>
        <w:tc>
          <w:tcPr>
            <w:tcW w:w="1080" w:type="dxa"/>
          </w:tcPr>
          <w:p w14:paraId="6C991F20">
            <w:pPr>
              <w:topLinePunct/>
              <w:spacing w:line="400" w:lineRule="atLeast"/>
              <w:jc w:val="center"/>
              <w:rPr>
                <w:color w:val="auto"/>
                <w:szCs w:val="21"/>
                <w:highlight w:val="none"/>
              </w:rPr>
            </w:pPr>
          </w:p>
        </w:tc>
      </w:tr>
      <w:tr w14:paraId="4E1E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17515715">
            <w:pPr>
              <w:topLinePunct/>
              <w:spacing w:line="400" w:lineRule="atLeast"/>
              <w:jc w:val="center"/>
              <w:rPr>
                <w:color w:val="auto"/>
                <w:szCs w:val="21"/>
                <w:highlight w:val="none"/>
              </w:rPr>
            </w:pPr>
          </w:p>
        </w:tc>
        <w:tc>
          <w:tcPr>
            <w:tcW w:w="1846" w:type="dxa"/>
          </w:tcPr>
          <w:p w14:paraId="289E7642">
            <w:pPr>
              <w:topLinePunct/>
              <w:spacing w:line="400" w:lineRule="atLeast"/>
              <w:jc w:val="center"/>
              <w:rPr>
                <w:color w:val="auto"/>
                <w:szCs w:val="21"/>
                <w:highlight w:val="none"/>
              </w:rPr>
            </w:pPr>
          </w:p>
        </w:tc>
        <w:tc>
          <w:tcPr>
            <w:tcW w:w="1394" w:type="dxa"/>
          </w:tcPr>
          <w:p w14:paraId="2963996F">
            <w:pPr>
              <w:topLinePunct/>
              <w:spacing w:line="400" w:lineRule="atLeast"/>
              <w:jc w:val="center"/>
              <w:rPr>
                <w:color w:val="auto"/>
                <w:szCs w:val="21"/>
                <w:highlight w:val="none"/>
              </w:rPr>
            </w:pPr>
          </w:p>
        </w:tc>
        <w:tc>
          <w:tcPr>
            <w:tcW w:w="1080" w:type="dxa"/>
          </w:tcPr>
          <w:p w14:paraId="24A5C881">
            <w:pPr>
              <w:topLinePunct/>
              <w:spacing w:line="400" w:lineRule="atLeast"/>
              <w:jc w:val="center"/>
              <w:rPr>
                <w:color w:val="auto"/>
                <w:szCs w:val="21"/>
                <w:highlight w:val="none"/>
              </w:rPr>
            </w:pPr>
          </w:p>
        </w:tc>
        <w:tc>
          <w:tcPr>
            <w:tcW w:w="1112" w:type="dxa"/>
          </w:tcPr>
          <w:p w14:paraId="798E4B7D">
            <w:pPr>
              <w:topLinePunct/>
              <w:spacing w:line="400" w:lineRule="atLeast"/>
              <w:jc w:val="center"/>
              <w:rPr>
                <w:color w:val="auto"/>
                <w:szCs w:val="21"/>
                <w:highlight w:val="none"/>
              </w:rPr>
            </w:pPr>
          </w:p>
        </w:tc>
        <w:tc>
          <w:tcPr>
            <w:tcW w:w="1778" w:type="dxa"/>
          </w:tcPr>
          <w:p w14:paraId="31D9C87A">
            <w:pPr>
              <w:topLinePunct/>
              <w:spacing w:line="400" w:lineRule="atLeast"/>
              <w:jc w:val="center"/>
              <w:rPr>
                <w:color w:val="auto"/>
                <w:szCs w:val="21"/>
                <w:highlight w:val="none"/>
              </w:rPr>
            </w:pPr>
          </w:p>
        </w:tc>
        <w:tc>
          <w:tcPr>
            <w:tcW w:w="1080" w:type="dxa"/>
          </w:tcPr>
          <w:p w14:paraId="5CC96BB5">
            <w:pPr>
              <w:topLinePunct/>
              <w:spacing w:line="400" w:lineRule="atLeast"/>
              <w:jc w:val="center"/>
              <w:rPr>
                <w:color w:val="auto"/>
                <w:szCs w:val="21"/>
                <w:highlight w:val="none"/>
              </w:rPr>
            </w:pPr>
          </w:p>
        </w:tc>
      </w:tr>
      <w:tr w14:paraId="2019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7626ED4">
            <w:pPr>
              <w:topLinePunct/>
              <w:spacing w:line="400" w:lineRule="atLeast"/>
              <w:jc w:val="center"/>
              <w:rPr>
                <w:color w:val="auto"/>
                <w:szCs w:val="21"/>
                <w:highlight w:val="none"/>
              </w:rPr>
            </w:pPr>
          </w:p>
        </w:tc>
        <w:tc>
          <w:tcPr>
            <w:tcW w:w="1846" w:type="dxa"/>
          </w:tcPr>
          <w:p w14:paraId="4040A00F">
            <w:pPr>
              <w:topLinePunct/>
              <w:spacing w:line="400" w:lineRule="atLeast"/>
              <w:jc w:val="center"/>
              <w:rPr>
                <w:color w:val="auto"/>
                <w:szCs w:val="21"/>
                <w:highlight w:val="none"/>
              </w:rPr>
            </w:pPr>
          </w:p>
        </w:tc>
        <w:tc>
          <w:tcPr>
            <w:tcW w:w="1394" w:type="dxa"/>
          </w:tcPr>
          <w:p w14:paraId="3EA8CB18">
            <w:pPr>
              <w:topLinePunct/>
              <w:spacing w:line="400" w:lineRule="atLeast"/>
              <w:jc w:val="center"/>
              <w:rPr>
                <w:color w:val="auto"/>
                <w:szCs w:val="21"/>
                <w:highlight w:val="none"/>
              </w:rPr>
            </w:pPr>
          </w:p>
        </w:tc>
        <w:tc>
          <w:tcPr>
            <w:tcW w:w="1080" w:type="dxa"/>
          </w:tcPr>
          <w:p w14:paraId="520D0C01">
            <w:pPr>
              <w:topLinePunct/>
              <w:spacing w:line="400" w:lineRule="atLeast"/>
              <w:jc w:val="center"/>
              <w:rPr>
                <w:color w:val="auto"/>
                <w:szCs w:val="21"/>
                <w:highlight w:val="none"/>
              </w:rPr>
            </w:pPr>
          </w:p>
        </w:tc>
        <w:tc>
          <w:tcPr>
            <w:tcW w:w="1112" w:type="dxa"/>
          </w:tcPr>
          <w:p w14:paraId="3D88F5DC">
            <w:pPr>
              <w:topLinePunct/>
              <w:spacing w:line="400" w:lineRule="atLeast"/>
              <w:jc w:val="center"/>
              <w:rPr>
                <w:color w:val="auto"/>
                <w:szCs w:val="21"/>
                <w:highlight w:val="none"/>
              </w:rPr>
            </w:pPr>
          </w:p>
        </w:tc>
        <w:tc>
          <w:tcPr>
            <w:tcW w:w="1778" w:type="dxa"/>
          </w:tcPr>
          <w:p w14:paraId="31C0076A">
            <w:pPr>
              <w:topLinePunct/>
              <w:spacing w:line="400" w:lineRule="atLeast"/>
              <w:jc w:val="center"/>
              <w:rPr>
                <w:color w:val="auto"/>
                <w:szCs w:val="21"/>
                <w:highlight w:val="none"/>
              </w:rPr>
            </w:pPr>
          </w:p>
        </w:tc>
        <w:tc>
          <w:tcPr>
            <w:tcW w:w="1080" w:type="dxa"/>
          </w:tcPr>
          <w:p w14:paraId="41561400">
            <w:pPr>
              <w:topLinePunct/>
              <w:spacing w:line="400" w:lineRule="atLeast"/>
              <w:jc w:val="center"/>
              <w:rPr>
                <w:color w:val="auto"/>
                <w:szCs w:val="21"/>
                <w:highlight w:val="none"/>
              </w:rPr>
            </w:pPr>
          </w:p>
        </w:tc>
      </w:tr>
      <w:tr w14:paraId="2A5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8A147B2">
            <w:pPr>
              <w:topLinePunct/>
              <w:spacing w:line="400" w:lineRule="atLeast"/>
              <w:jc w:val="center"/>
              <w:rPr>
                <w:color w:val="auto"/>
                <w:szCs w:val="21"/>
                <w:highlight w:val="none"/>
              </w:rPr>
            </w:pPr>
          </w:p>
        </w:tc>
        <w:tc>
          <w:tcPr>
            <w:tcW w:w="1846" w:type="dxa"/>
          </w:tcPr>
          <w:p w14:paraId="11F771D9">
            <w:pPr>
              <w:topLinePunct/>
              <w:spacing w:line="400" w:lineRule="atLeast"/>
              <w:jc w:val="center"/>
              <w:rPr>
                <w:color w:val="auto"/>
                <w:szCs w:val="21"/>
                <w:highlight w:val="none"/>
              </w:rPr>
            </w:pPr>
          </w:p>
        </w:tc>
        <w:tc>
          <w:tcPr>
            <w:tcW w:w="1394" w:type="dxa"/>
          </w:tcPr>
          <w:p w14:paraId="3388A8B9">
            <w:pPr>
              <w:topLinePunct/>
              <w:spacing w:line="400" w:lineRule="atLeast"/>
              <w:jc w:val="center"/>
              <w:rPr>
                <w:color w:val="auto"/>
                <w:szCs w:val="21"/>
                <w:highlight w:val="none"/>
              </w:rPr>
            </w:pPr>
          </w:p>
        </w:tc>
        <w:tc>
          <w:tcPr>
            <w:tcW w:w="1080" w:type="dxa"/>
          </w:tcPr>
          <w:p w14:paraId="3FF80D7E">
            <w:pPr>
              <w:topLinePunct/>
              <w:spacing w:line="400" w:lineRule="atLeast"/>
              <w:jc w:val="center"/>
              <w:rPr>
                <w:color w:val="auto"/>
                <w:szCs w:val="21"/>
                <w:highlight w:val="none"/>
              </w:rPr>
            </w:pPr>
          </w:p>
        </w:tc>
        <w:tc>
          <w:tcPr>
            <w:tcW w:w="1112" w:type="dxa"/>
          </w:tcPr>
          <w:p w14:paraId="0BC2C1CC">
            <w:pPr>
              <w:topLinePunct/>
              <w:spacing w:line="400" w:lineRule="atLeast"/>
              <w:jc w:val="center"/>
              <w:rPr>
                <w:color w:val="auto"/>
                <w:szCs w:val="21"/>
                <w:highlight w:val="none"/>
              </w:rPr>
            </w:pPr>
          </w:p>
        </w:tc>
        <w:tc>
          <w:tcPr>
            <w:tcW w:w="1778" w:type="dxa"/>
          </w:tcPr>
          <w:p w14:paraId="6FF4011F">
            <w:pPr>
              <w:topLinePunct/>
              <w:spacing w:line="400" w:lineRule="atLeast"/>
              <w:jc w:val="center"/>
              <w:rPr>
                <w:color w:val="auto"/>
                <w:szCs w:val="21"/>
                <w:highlight w:val="none"/>
              </w:rPr>
            </w:pPr>
          </w:p>
        </w:tc>
        <w:tc>
          <w:tcPr>
            <w:tcW w:w="1080" w:type="dxa"/>
          </w:tcPr>
          <w:p w14:paraId="416CE697">
            <w:pPr>
              <w:topLinePunct/>
              <w:spacing w:line="400" w:lineRule="atLeast"/>
              <w:jc w:val="center"/>
              <w:rPr>
                <w:color w:val="auto"/>
                <w:szCs w:val="21"/>
                <w:highlight w:val="none"/>
              </w:rPr>
            </w:pPr>
          </w:p>
        </w:tc>
      </w:tr>
      <w:tr w14:paraId="3C78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79F99EB6">
            <w:pPr>
              <w:topLinePunct/>
              <w:spacing w:line="400" w:lineRule="atLeast"/>
              <w:jc w:val="center"/>
              <w:rPr>
                <w:color w:val="auto"/>
                <w:szCs w:val="21"/>
                <w:highlight w:val="none"/>
              </w:rPr>
            </w:pPr>
          </w:p>
        </w:tc>
        <w:tc>
          <w:tcPr>
            <w:tcW w:w="1846" w:type="dxa"/>
          </w:tcPr>
          <w:p w14:paraId="7D413695">
            <w:pPr>
              <w:topLinePunct/>
              <w:spacing w:line="400" w:lineRule="atLeast"/>
              <w:jc w:val="center"/>
              <w:rPr>
                <w:color w:val="auto"/>
                <w:szCs w:val="21"/>
                <w:highlight w:val="none"/>
              </w:rPr>
            </w:pPr>
          </w:p>
        </w:tc>
        <w:tc>
          <w:tcPr>
            <w:tcW w:w="1394" w:type="dxa"/>
          </w:tcPr>
          <w:p w14:paraId="58BA9B12">
            <w:pPr>
              <w:topLinePunct/>
              <w:spacing w:line="400" w:lineRule="atLeast"/>
              <w:jc w:val="center"/>
              <w:rPr>
                <w:color w:val="auto"/>
                <w:szCs w:val="21"/>
                <w:highlight w:val="none"/>
              </w:rPr>
            </w:pPr>
          </w:p>
        </w:tc>
        <w:tc>
          <w:tcPr>
            <w:tcW w:w="1080" w:type="dxa"/>
          </w:tcPr>
          <w:p w14:paraId="42FB8643">
            <w:pPr>
              <w:topLinePunct/>
              <w:spacing w:line="400" w:lineRule="atLeast"/>
              <w:jc w:val="center"/>
              <w:rPr>
                <w:color w:val="auto"/>
                <w:szCs w:val="21"/>
                <w:highlight w:val="none"/>
              </w:rPr>
            </w:pPr>
          </w:p>
        </w:tc>
        <w:tc>
          <w:tcPr>
            <w:tcW w:w="1112" w:type="dxa"/>
          </w:tcPr>
          <w:p w14:paraId="60A17091">
            <w:pPr>
              <w:topLinePunct/>
              <w:spacing w:line="400" w:lineRule="atLeast"/>
              <w:jc w:val="center"/>
              <w:rPr>
                <w:color w:val="auto"/>
                <w:szCs w:val="21"/>
                <w:highlight w:val="none"/>
              </w:rPr>
            </w:pPr>
          </w:p>
        </w:tc>
        <w:tc>
          <w:tcPr>
            <w:tcW w:w="1778" w:type="dxa"/>
          </w:tcPr>
          <w:p w14:paraId="7EEF6969">
            <w:pPr>
              <w:topLinePunct/>
              <w:spacing w:line="400" w:lineRule="atLeast"/>
              <w:jc w:val="center"/>
              <w:rPr>
                <w:color w:val="auto"/>
                <w:szCs w:val="21"/>
                <w:highlight w:val="none"/>
              </w:rPr>
            </w:pPr>
          </w:p>
        </w:tc>
        <w:tc>
          <w:tcPr>
            <w:tcW w:w="1080" w:type="dxa"/>
          </w:tcPr>
          <w:p w14:paraId="685815DD">
            <w:pPr>
              <w:topLinePunct/>
              <w:spacing w:line="400" w:lineRule="atLeast"/>
              <w:jc w:val="center"/>
              <w:rPr>
                <w:color w:val="auto"/>
                <w:szCs w:val="21"/>
                <w:highlight w:val="none"/>
              </w:rPr>
            </w:pPr>
          </w:p>
        </w:tc>
      </w:tr>
      <w:tr w14:paraId="4CA9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610182B">
            <w:pPr>
              <w:topLinePunct/>
              <w:spacing w:line="400" w:lineRule="atLeast"/>
              <w:jc w:val="center"/>
              <w:rPr>
                <w:color w:val="auto"/>
                <w:szCs w:val="21"/>
                <w:highlight w:val="none"/>
              </w:rPr>
            </w:pPr>
          </w:p>
        </w:tc>
        <w:tc>
          <w:tcPr>
            <w:tcW w:w="1846" w:type="dxa"/>
          </w:tcPr>
          <w:p w14:paraId="5B37625A">
            <w:pPr>
              <w:topLinePunct/>
              <w:spacing w:line="400" w:lineRule="atLeast"/>
              <w:jc w:val="center"/>
              <w:rPr>
                <w:color w:val="auto"/>
                <w:szCs w:val="21"/>
                <w:highlight w:val="none"/>
              </w:rPr>
            </w:pPr>
          </w:p>
        </w:tc>
        <w:tc>
          <w:tcPr>
            <w:tcW w:w="1394" w:type="dxa"/>
          </w:tcPr>
          <w:p w14:paraId="322E5677">
            <w:pPr>
              <w:topLinePunct/>
              <w:spacing w:line="400" w:lineRule="atLeast"/>
              <w:jc w:val="center"/>
              <w:rPr>
                <w:color w:val="auto"/>
                <w:szCs w:val="21"/>
                <w:highlight w:val="none"/>
              </w:rPr>
            </w:pPr>
          </w:p>
        </w:tc>
        <w:tc>
          <w:tcPr>
            <w:tcW w:w="1080" w:type="dxa"/>
          </w:tcPr>
          <w:p w14:paraId="1B2B929E">
            <w:pPr>
              <w:topLinePunct/>
              <w:spacing w:line="400" w:lineRule="atLeast"/>
              <w:jc w:val="center"/>
              <w:rPr>
                <w:color w:val="auto"/>
                <w:szCs w:val="21"/>
                <w:highlight w:val="none"/>
              </w:rPr>
            </w:pPr>
          </w:p>
        </w:tc>
        <w:tc>
          <w:tcPr>
            <w:tcW w:w="1112" w:type="dxa"/>
          </w:tcPr>
          <w:p w14:paraId="66A88811">
            <w:pPr>
              <w:topLinePunct/>
              <w:spacing w:line="400" w:lineRule="atLeast"/>
              <w:jc w:val="center"/>
              <w:rPr>
                <w:color w:val="auto"/>
                <w:szCs w:val="21"/>
                <w:highlight w:val="none"/>
              </w:rPr>
            </w:pPr>
          </w:p>
        </w:tc>
        <w:tc>
          <w:tcPr>
            <w:tcW w:w="1778" w:type="dxa"/>
          </w:tcPr>
          <w:p w14:paraId="63DEE8E4">
            <w:pPr>
              <w:topLinePunct/>
              <w:spacing w:line="400" w:lineRule="atLeast"/>
              <w:jc w:val="center"/>
              <w:rPr>
                <w:color w:val="auto"/>
                <w:szCs w:val="21"/>
                <w:highlight w:val="none"/>
              </w:rPr>
            </w:pPr>
          </w:p>
        </w:tc>
        <w:tc>
          <w:tcPr>
            <w:tcW w:w="1080" w:type="dxa"/>
          </w:tcPr>
          <w:p w14:paraId="259E5221">
            <w:pPr>
              <w:topLinePunct/>
              <w:spacing w:line="400" w:lineRule="atLeast"/>
              <w:jc w:val="center"/>
              <w:rPr>
                <w:color w:val="auto"/>
                <w:szCs w:val="21"/>
                <w:highlight w:val="none"/>
              </w:rPr>
            </w:pPr>
          </w:p>
        </w:tc>
      </w:tr>
      <w:tr w14:paraId="1328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03AAB26">
            <w:pPr>
              <w:topLinePunct/>
              <w:spacing w:line="400" w:lineRule="atLeast"/>
              <w:jc w:val="center"/>
              <w:rPr>
                <w:color w:val="auto"/>
                <w:szCs w:val="21"/>
                <w:highlight w:val="none"/>
              </w:rPr>
            </w:pPr>
          </w:p>
        </w:tc>
        <w:tc>
          <w:tcPr>
            <w:tcW w:w="1846" w:type="dxa"/>
          </w:tcPr>
          <w:p w14:paraId="0BA0954F">
            <w:pPr>
              <w:topLinePunct/>
              <w:spacing w:line="400" w:lineRule="atLeast"/>
              <w:jc w:val="center"/>
              <w:rPr>
                <w:color w:val="auto"/>
                <w:szCs w:val="21"/>
                <w:highlight w:val="none"/>
              </w:rPr>
            </w:pPr>
          </w:p>
        </w:tc>
        <w:tc>
          <w:tcPr>
            <w:tcW w:w="1394" w:type="dxa"/>
          </w:tcPr>
          <w:p w14:paraId="2792C7FE">
            <w:pPr>
              <w:topLinePunct/>
              <w:spacing w:line="400" w:lineRule="atLeast"/>
              <w:jc w:val="center"/>
              <w:rPr>
                <w:color w:val="auto"/>
                <w:szCs w:val="21"/>
                <w:highlight w:val="none"/>
              </w:rPr>
            </w:pPr>
          </w:p>
        </w:tc>
        <w:tc>
          <w:tcPr>
            <w:tcW w:w="1080" w:type="dxa"/>
          </w:tcPr>
          <w:p w14:paraId="008B552E">
            <w:pPr>
              <w:topLinePunct/>
              <w:spacing w:line="400" w:lineRule="atLeast"/>
              <w:jc w:val="center"/>
              <w:rPr>
                <w:color w:val="auto"/>
                <w:szCs w:val="21"/>
                <w:highlight w:val="none"/>
              </w:rPr>
            </w:pPr>
          </w:p>
        </w:tc>
        <w:tc>
          <w:tcPr>
            <w:tcW w:w="1112" w:type="dxa"/>
          </w:tcPr>
          <w:p w14:paraId="30626601">
            <w:pPr>
              <w:topLinePunct/>
              <w:spacing w:line="400" w:lineRule="atLeast"/>
              <w:jc w:val="center"/>
              <w:rPr>
                <w:color w:val="auto"/>
                <w:szCs w:val="21"/>
                <w:highlight w:val="none"/>
              </w:rPr>
            </w:pPr>
          </w:p>
        </w:tc>
        <w:tc>
          <w:tcPr>
            <w:tcW w:w="1778" w:type="dxa"/>
          </w:tcPr>
          <w:p w14:paraId="6228F81C">
            <w:pPr>
              <w:topLinePunct/>
              <w:spacing w:line="400" w:lineRule="atLeast"/>
              <w:jc w:val="center"/>
              <w:rPr>
                <w:color w:val="auto"/>
                <w:szCs w:val="21"/>
                <w:highlight w:val="none"/>
              </w:rPr>
            </w:pPr>
          </w:p>
        </w:tc>
        <w:tc>
          <w:tcPr>
            <w:tcW w:w="1080" w:type="dxa"/>
          </w:tcPr>
          <w:p w14:paraId="7E771EA3">
            <w:pPr>
              <w:topLinePunct/>
              <w:spacing w:line="400" w:lineRule="atLeast"/>
              <w:jc w:val="center"/>
              <w:rPr>
                <w:color w:val="auto"/>
                <w:szCs w:val="21"/>
                <w:highlight w:val="none"/>
              </w:rPr>
            </w:pPr>
          </w:p>
        </w:tc>
      </w:tr>
      <w:tr w14:paraId="6C27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2BEAED0">
            <w:pPr>
              <w:topLinePunct/>
              <w:spacing w:line="400" w:lineRule="atLeast"/>
              <w:jc w:val="center"/>
              <w:rPr>
                <w:color w:val="auto"/>
                <w:szCs w:val="21"/>
                <w:highlight w:val="none"/>
              </w:rPr>
            </w:pPr>
          </w:p>
        </w:tc>
        <w:tc>
          <w:tcPr>
            <w:tcW w:w="1846" w:type="dxa"/>
          </w:tcPr>
          <w:p w14:paraId="65AE4355">
            <w:pPr>
              <w:topLinePunct/>
              <w:spacing w:line="400" w:lineRule="atLeast"/>
              <w:jc w:val="center"/>
              <w:rPr>
                <w:color w:val="auto"/>
                <w:szCs w:val="21"/>
                <w:highlight w:val="none"/>
              </w:rPr>
            </w:pPr>
          </w:p>
        </w:tc>
        <w:tc>
          <w:tcPr>
            <w:tcW w:w="1394" w:type="dxa"/>
          </w:tcPr>
          <w:p w14:paraId="734F15C3">
            <w:pPr>
              <w:topLinePunct/>
              <w:spacing w:line="400" w:lineRule="atLeast"/>
              <w:jc w:val="center"/>
              <w:rPr>
                <w:color w:val="auto"/>
                <w:szCs w:val="21"/>
                <w:highlight w:val="none"/>
              </w:rPr>
            </w:pPr>
          </w:p>
        </w:tc>
        <w:tc>
          <w:tcPr>
            <w:tcW w:w="1080" w:type="dxa"/>
          </w:tcPr>
          <w:p w14:paraId="21E4408B">
            <w:pPr>
              <w:topLinePunct/>
              <w:spacing w:line="400" w:lineRule="atLeast"/>
              <w:jc w:val="center"/>
              <w:rPr>
                <w:color w:val="auto"/>
                <w:szCs w:val="21"/>
                <w:highlight w:val="none"/>
              </w:rPr>
            </w:pPr>
          </w:p>
        </w:tc>
        <w:tc>
          <w:tcPr>
            <w:tcW w:w="1112" w:type="dxa"/>
          </w:tcPr>
          <w:p w14:paraId="5390A8B8">
            <w:pPr>
              <w:topLinePunct/>
              <w:spacing w:line="400" w:lineRule="atLeast"/>
              <w:jc w:val="center"/>
              <w:rPr>
                <w:color w:val="auto"/>
                <w:szCs w:val="21"/>
                <w:highlight w:val="none"/>
              </w:rPr>
            </w:pPr>
          </w:p>
        </w:tc>
        <w:tc>
          <w:tcPr>
            <w:tcW w:w="1778" w:type="dxa"/>
          </w:tcPr>
          <w:p w14:paraId="43B3AE83">
            <w:pPr>
              <w:topLinePunct/>
              <w:spacing w:line="400" w:lineRule="atLeast"/>
              <w:jc w:val="center"/>
              <w:rPr>
                <w:color w:val="auto"/>
                <w:szCs w:val="21"/>
                <w:highlight w:val="none"/>
              </w:rPr>
            </w:pPr>
          </w:p>
        </w:tc>
        <w:tc>
          <w:tcPr>
            <w:tcW w:w="1080" w:type="dxa"/>
          </w:tcPr>
          <w:p w14:paraId="672A62E2">
            <w:pPr>
              <w:topLinePunct/>
              <w:spacing w:line="400" w:lineRule="atLeast"/>
              <w:jc w:val="center"/>
              <w:rPr>
                <w:color w:val="auto"/>
                <w:szCs w:val="21"/>
                <w:highlight w:val="none"/>
              </w:rPr>
            </w:pPr>
          </w:p>
        </w:tc>
      </w:tr>
      <w:tr w14:paraId="2F8C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09BE21D6">
            <w:pPr>
              <w:topLinePunct/>
              <w:spacing w:line="400" w:lineRule="atLeast"/>
              <w:jc w:val="center"/>
              <w:rPr>
                <w:color w:val="auto"/>
                <w:szCs w:val="21"/>
                <w:highlight w:val="none"/>
              </w:rPr>
            </w:pPr>
          </w:p>
        </w:tc>
        <w:tc>
          <w:tcPr>
            <w:tcW w:w="1846" w:type="dxa"/>
          </w:tcPr>
          <w:p w14:paraId="086C51A2">
            <w:pPr>
              <w:topLinePunct/>
              <w:spacing w:line="400" w:lineRule="atLeast"/>
              <w:jc w:val="center"/>
              <w:rPr>
                <w:color w:val="auto"/>
                <w:szCs w:val="21"/>
                <w:highlight w:val="none"/>
              </w:rPr>
            </w:pPr>
          </w:p>
        </w:tc>
        <w:tc>
          <w:tcPr>
            <w:tcW w:w="1394" w:type="dxa"/>
          </w:tcPr>
          <w:p w14:paraId="42D768DB">
            <w:pPr>
              <w:topLinePunct/>
              <w:spacing w:line="400" w:lineRule="atLeast"/>
              <w:jc w:val="center"/>
              <w:rPr>
                <w:color w:val="auto"/>
                <w:szCs w:val="21"/>
                <w:highlight w:val="none"/>
              </w:rPr>
            </w:pPr>
          </w:p>
        </w:tc>
        <w:tc>
          <w:tcPr>
            <w:tcW w:w="1080" w:type="dxa"/>
          </w:tcPr>
          <w:p w14:paraId="398B57A9">
            <w:pPr>
              <w:topLinePunct/>
              <w:spacing w:line="400" w:lineRule="atLeast"/>
              <w:jc w:val="center"/>
              <w:rPr>
                <w:color w:val="auto"/>
                <w:szCs w:val="21"/>
                <w:highlight w:val="none"/>
              </w:rPr>
            </w:pPr>
          </w:p>
        </w:tc>
        <w:tc>
          <w:tcPr>
            <w:tcW w:w="1112" w:type="dxa"/>
          </w:tcPr>
          <w:p w14:paraId="05A50686">
            <w:pPr>
              <w:topLinePunct/>
              <w:spacing w:line="400" w:lineRule="atLeast"/>
              <w:jc w:val="center"/>
              <w:rPr>
                <w:color w:val="auto"/>
                <w:szCs w:val="21"/>
                <w:highlight w:val="none"/>
              </w:rPr>
            </w:pPr>
          </w:p>
        </w:tc>
        <w:tc>
          <w:tcPr>
            <w:tcW w:w="1778" w:type="dxa"/>
          </w:tcPr>
          <w:p w14:paraId="2F58939D">
            <w:pPr>
              <w:topLinePunct/>
              <w:spacing w:line="400" w:lineRule="atLeast"/>
              <w:jc w:val="center"/>
              <w:rPr>
                <w:color w:val="auto"/>
                <w:szCs w:val="21"/>
                <w:highlight w:val="none"/>
              </w:rPr>
            </w:pPr>
          </w:p>
        </w:tc>
        <w:tc>
          <w:tcPr>
            <w:tcW w:w="1080" w:type="dxa"/>
          </w:tcPr>
          <w:p w14:paraId="33D398EC">
            <w:pPr>
              <w:topLinePunct/>
              <w:spacing w:line="400" w:lineRule="atLeast"/>
              <w:jc w:val="center"/>
              <w:rPr>
                <w:color w:val="auto"/>
                <w:szCs w:val="21"/>
                <w:highlight w:val="none"/>
              </w:rPr>
            </w:pPr>
          </w:p>
        </w:tc>
      </w:tr>
      <w:tr w14:paraId="5AEB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tcPr>
          <w:p w14:paraId="4367FF00">
            <w:pPr>
              <w:topLinePunct/>
              <w:spacing w:line="400" w:lineRule="atLeast"/>
              <w:jc w:val="center"/>
              <w:rPr>
                <w:color w:val="auto"/>
                <w:szCs w:val="21"/>
                <w:highlight w:val="none"/>
              </w:rPr>
            </w:pPr>
          </w:p>
        </w:tc>
        <w:tc>
          <w:tcPr>
            <w:tcW w:w="1846" w:type="dxa"/>
          </w:tcPr>
          <w:p w14:paraId="508D950B">
            <w:pPr>
              <w:topLinePunct/>
              <w:spacing w:line="400" w:lineRule="atLeast"/>
              <w:jc w:val="center"/>
              <w:rPr>
                <w:color w:val="auto"/>
                <w:szCs w:val="21"/>
                <w:highlight w:val="none"/>
              </w:rPr>
            </w:pPr>
          </w:p>
        </w:tc>
        <w:tc>
          <w:tcPr>
            <w:tcW w:w="1394" w:type="dxa"/>
          </w:tcPr>
          <w:p w14:paraId="001B306A">
            <w:pPr>
              <w:topLinePunct/>
              <w:spacing w:line="400" w:lineRule="atLeast"/>
              <w:jc w:val="center"/>
              <w:rPr>
                <w:color w:val="auto"/>
                <w:szCs w:val="21"/>
                <w:highlight w:val="none"/>
              </w:rPr>
            </w:pPr>
          </w:p>
        </w:tc>
        <w:tc>
          <w:tcPr>
            <w:tcW w:w="1080" w:type="dxa"/>
          </w:tcPr>
          <w:p w14:paraId="31859C38">
            <w:pPr>
              <w:topLinePunct/>
              <w:spacing w:line="400" w:lineRule="atLeast"/>
              <w:jc w:val="center"/>
              <w:rPr>
                <w:color w:val="auto"/>
                <w:szCs w:val="21"/>
                <w:highlight w:val="none"/>
              </w:rPr>
            </w:pPr>
          </w:p>
        </w:tc>
        <w:tc>
          <w:tcPr>
            <w:tcW w:w="1112" w:type="dxa"/>
          </w:tcPr>
          <w:p w14:paraId="44AFA2A5">
            <w:pPr>
              <w:topLinePunct/>
              <w:spacing w:line="400" w:lineRule="atLeast"/>
              <w:jc w:val="center"/>
              <w:rPr>
                <w:color w:val="auto"/>
                <w:szCs w:val="21"/>
                <w:highlight w:val="none"/>
              </w:rPr>
            </w:pPr>
          </w:p>
        </w:tc>
        <w:tc>
          <w:tcPr>
            <w:tcW w:w="1778" w:type="dxa"/>
          </w:tcPr>
          <w:p w14:paraId="6248308D">
            <w:pPr>
              <w:topLinePunct/>
              <w:spacing w:line="400" w:lineRule="atLeast"/>
              <w:jc w:val="center"/>
              <w:rPr>
                <w:color w:val="auto"/>
                <w:szCs w:val="21"/>
                <w:highlight w:val="none"/>
              </w:rPr>
            </w:pPr>
          </w:p>
        </w:tc>
        <w:tc>
          <w:tcPr>
            <w:tcW w:w="1080" w:type="dxa"/>
          </w:tcPr>
          <w:p w14:paraId="47684A47">
            <w:pPr>
              <w:topLinePunct/>
              <w:spacing w:line="400" w:lineRule="atLeast"/>
              <w:jc w:val="center"/>
              <w:rPr>
                <w:color w:val="auto"/>
                <w:szCs w:val="21"/>
                <w:highlight w:val="none"/>
              </w:rPr>
            </w:pPr>
          </w:p>
        </w:tc>
      </w:tr>
      <w:tr w14:paraId="519E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8C7DECA">
            <w:pPr>
              <w:topLinePunct/>
              <w:spacing w:line="400" w:lineRule="atLeast"/>
              <w:jc w:val="center"/>
              <w:rPr>
                <w:color w:val="auto"/>
                <w:szCs w:val="21"/>
                <w:highlight w:val="none"/>
              </w:rPr>
            </w:pPr>
          </w:p>
        </w:tc>
        <w:tc>
          <w:tcPr>
            <w:tcW w:w="1846" w:type="dxa"/>
          </w:tcPr>
          <w:p w14:paraId="1BCD0BCD">
            <w:pPr>
              <w:topLinePunct/>
              <w:spacing w:line="400" w:lineRule="atLeast"/>
              <w:jc w:val="center"/>
              <w:rPr>
                <w:color w:val="auto"/>
                <w:szCs w:val="21"/>
                <w:highlight w:val="none"/>
              </w:rPr>
            </w:pPr>
          </w:p>
        </w:tc>
        <w:tc>
          <w:tcPr>
            <w:tcW w:w="1394" w:type="dxa"/>
          </w:tcPr>
          <w:p w14:paraId="301A49AF">
            <w:pPr>
              <w:topLinePunct/>
              <w:spacing w:line="400" w:lineRule="atLeast"/>
              <w:jc w:val="center"/>
              <w:rPr>
                <w:color w:val="auto"/>
                <w:szCs w:val="21"/>
                <w:highlight w:val="none"/>
              </w:rPr>
            </w:pPr>
          </w:p>
        </w:tc>
        <w:tc>
          <w:tcPr>
            <w:tcW w:w="1080" w:type="dxa"/>
          </w:tcPr>
          <w:p w14:paraId="339605DD">
            <w:pPr>
              <w:topLinePunct/>
              <w:spacing w:line="400" w:lineRule="atLeast"/>
              <w:jc w:val="center"/>
              <w:rPr>
                <w:color w:val="auto"/>
                <w:szCs w:val="21"/>
                <w:highlight w:val="none"/>
              </w:rPr>
            </w:pPr>
          </w:p>
        </w:tc>
        <w:tc>
          <w:tcPr>
            <w:tcW w:w="1112" w:type="dxa"/>
          </w:tcPr>
          <w:p w14:paraId="5874B138">
            <w:pPr>
              <w:topLinePunct/>
              <w:spacing w:line="400" w:lineRule="atLeast"/>
              <w:jc w:val="center"/>
              <w:rPr>
                <w:color w:val="auto"/>
                <w:szCs w:val="21"/>
                <w:highlight w:val="none"/>
              </w:rPr>
            </w:pPr>
          </w:p>
        </w:tc>
        <w:tc>
          <w:tcPr>
            <w:tcW w:w="1778" w:type="dxa"/>
          </w:tcPr>
          <w:p w14:paraId="3629EB54">
            <w:pPr>
              <w:topLinePunct/>
              <w:spacing w:line="400" w:lineRule="atLeast"/>
              <w:jc w:val="center"/>
              <w:rPr>
                <w:color w:val="auto"/>
                <w:szCs w:val="21"/>
                <w:highlight w:val="none"/>
              </w:rPr>
            </w:pPr>
          </w:p>
        </w:tc>
        <w:tc>
          <w:tcPr>
            <w:tcW w:w="1080" w:type="dxa"/>
          </w:tcPr>
          <w:p w14:paraId="301B899C">
            <w:pPr>
              <w:topLinePunct/>
              <w:spacing w:line="400" w:lineRule="atLeast"/>
              <w:jc w:val="center"/>
              <w:rPr>
                <w:color w:val="auto"/>
                <w:szCs w:val="21"/>
                <w:highlight w:val="none"/>
              </w:rPr>
            </w:pPr>
          </w:p>
        </w:tc>
      </w:tr>
      <w:tr w14:paraId="28B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3D9CF8F">
            <w:pPr>
              <w:topLinePunct/>
              <w:spacing w:line="400" w:lineRule="atLeast"/>
              <w:jc w:val="center"/>
              <w:rPr>
                <w:color w:val="auto"/>
                <w:szCs w:val="21"/>
                <w:highlight w:val="none"/>
              </w:rPr>
            </w:pPr>
          </w:p>
        </w:tc>
        <w:tc>
          <w:tcPr>
            <w:tcW w:w="1846" w:type="dxa"/>
          </w:tcPr>
          <w:p w14:paraId="35A62F18">
            <w:pPr>
              <w:topLinePunct/>
              <w:spacing w:line="400" w:lineRule="atLeast"/>
              <w:jc w:val="center"/>
              <w:rPr>
                <w:color w:val="auto"/>
                <w:szCs w:val="21"/>
                <w:highlight w:val="none"/>
              </w:rPr>
            </w:pPr>
          </w:p>
        </w:tc>
        <w:tc>
          <w:tcPr>
            <w:tcW w:w="1394" w:type="dxa"/>
          </w:tcPr>
          <w:p w14:paraId="27EE6C81">
            <w:pPr>
              <w:topLinePunct/>
              <w:spacing w:line="400" w:lineRule="atLeast"/>
              <w:jc w:val="center"/>
              <w:rPr>
                <w:color w:val="auto"/>
                <w:szCs w:val="21"/>
                <w:highlight w:val="none"/>
              </w:rPr>
            </w:pPr>
          </w:p>
        </w:tc>
        <w:tc>
          <w:tcPr>
            <w:tcW w:w="1080" w:type="dxa"/>
          </w:tcPr>
          <w:p w14:paraId="1C0054C6">
            <w:pPr>
              <w:topLinePunct/>
              <w:spacing w:line="400" w:lineRule="atLeast"/>
              <w:jc w:val="center"/>
              <w:rPr>
                <w:color w:val="auto"/>
                <w:szCs w:val="21"/>
                <w:highlight w:val="none"/>
              </w:rPr>
            </w:pPr>
          </w:p>
        </w:tc>
        <w:tc>
          <w:tcPr>
            <w:tcW w:w="1112" w:type="dxa"/>
          </w:tcPr>
          <w:p w14:paraId="292F78BF">
            <w:pPr>
              <w:topLinePunct/>
              <w:spacing w:line="400" w:lineRule="atLeast"/>
              <w:jc w:val="center"/>
              <w:rPr>
                <w:color w:val="auto"/>
                <w:szCs w:val="21"/>
                <w:highlight w:val="none"/>
              </w:rPr>
            </w:pPr>
          </w:p>
        </w:tc>
        <w:tc>
          <w:tcPr>
            <w:tcW w:w="1778" w:type="dxa"/>
          </w:tcPr>
          <w:p w14:paraId="69F57DEF">
            <w:pPr>
              <w:topLinePunct/>
              <w:spacing w:line="400" w:lineRule="atLeast"/>
              <w:jc w:val="center"/>
              <w:rPr>
                <w:color w:val="auto"/>
                <w:szCs w:val="21"/>
                <w:highlight w:val="none"/>
              </w:rPr>
            </w:pPr>
          </w:p>
        </w:tc>
        <w:tc>
          <w:tcPr>
            <w:tcW w:w="1080" w:type="dxa"/>
          </w:tcPr>
          <w:p w14:paraId="053E1A70">
            <w:pPr>
              <w:topLinePunct/>
              <w:spacing w:line="400" w:lineRule="atLeast"/>
              <w:jc w:val="center"/>
              <w:rPr>
                <w:color w:val="auto"/>
                <w:szCs w:val="21"/>
                <w:highlight w:val="none"/>
              </w:rPr>
            </w:pPr>
          </w:p>
        </w:tc>
      </w:tr>
      <w:tr w14:paraId="6D23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F91DB42">
            <w:pPr>
              <w:topLinePunct/>
              <w:spacing w:line="400" w:lineRule="atLeast"/>
              <w:jc w:val="center"/>
              <w:rPr>
                <w:color w:val="auto"/>
                <w:szCs w:val="21"/>
                <w:highlight w:val="none"/>
              </w:rPr>
            </w:pPr>
          </w:p>
        </w:tc>
        <w:tc>
          <w:tcPr>
            <w:tcW w:w="1846" w:type="dxa"/>
          </w:tcPr>
          <w:p w14:paraId="495CE6CC">
            <w:pPr>
              <w:topLinePunct/>
              <w:spacing w:line="400" w:lineRule="atLeast"/>
              <w:jc w:val="center"/>
              <w:rPr>
                <w:color w:val="auto"/>
                <w:szCs w:val="21"/>
                <w:highlight w:val="none"/>
              </w:rPr>
            </w:pPr>
          </w:p>
        </w:tc>
        <w:tc>
          <w:tcPr>
            <w:tcW w:w="1394" w:type="dxa"/>
          </w:tcPr>
          <w:p w14:paraId="2803EDA4">
            <w:pPr>
              <w:topLinePunct/>
              <w:spacing w:line="400" w:lineRule="atLeast"/>
              <w:jc w:val="center"/>
              <w:rPr>
                <w:color w:val="auto"/>
                <w:szCs w:val="21"/>
                <w:highlight w:val="none"/>
              </w:rPr>
            </w:pPr>
          </w:p>
        </w:tc>
        <w:tc>
          <w:tcPr>
            <w:tcW w:w="1080" w:type="dxa"/>
          </w:tcPr>
          <w:p w14:paraId="047349A8">
            <w:pPr>
              <w:topLinePunct/>
              <w:spacing w:line="400" w:lineRule="atLeast"/>
              <w:jc w:val="center"/>
              <w:rPr>
                <w:color w:val="auto"/>
                <w:szCs w:val="21"/>
                <w:highlight w:val="none"/>
              </w:rPr>
            </w:pPr>
          </w:p>
        </w:tc>
        <w:tc>
          <w:tcPr>
            <w:tcW w:w="1112" w:type="dxa"/>
          </w:tcPr>
          <w:p w14:paraId="2F90EC4A">
            <w:pPr>
              <w:topLinePunct/>
              <w:spacing w:line="400" w:lineRule="atLeast"/>
              <w:jc w:val="center"/>
              <w:rPr>
                <w:color w:val="auto"/>
                <w:szCs w:val="21"/>
                <w:highlight w:val="none"/>
              </w:rPr>
            </w:pPr>
          </w:p>
        </w:tc>
        <w:tc>
          <w:tcPr>
            <w:tcW w:w="1778" w:type="dxa"/>
          </w:tcPr>
          <w:p w14:paraId="2C8E19DB">
            <w:pPr>
              <w:topLinePunct/>
              <w:spacing w:line="400" w:lineRule="atLeast"/>
              <w:jc w:val="center"/>
              <w:rPr>
                <w:color w:val="auto"/>
                <w:szCs w:val="21"/>
                <w:highlight w:val="none"/>
              </w:rPr>
            </w:pPr>
          </w:p>
        </w:tc>
        <w:tc>
          <w:tcPr>
            <w:tcW w:w="1080" w:type="dxa"/>
          </w:tcPr>
          <w:p w14:paraId="20AAB9DA">
            <w:pPr>
              <w:topLinePunct/>
              <w:spacing w:line="400" w:lineRule="atLeast"/>
              <w:jc w:val="center"/>
              <w:rPr>
                <w:color w:val="auto"/>
                <w:szCs w:val="21"/>
                <w:highlight w:val="none"/>
              </w:rPr>
            </w:pPr>
          </w:p>
        </w:tc>
      </w:tr>
    </w:tbl>
    <w:p w14:paraId="1F8AAFB2">
      <w:pPr>
        <w:rPr>
          <w:color w:val="auto"/>
          <w:highlight w:val="none"/>
        </w:rPr>
      </w:pPr>
    </w:p>
    <w:p w14:paraId="197B2FFD">
      <w:pPr>
        <w:rPr>
          <w:rFonts w:hint="eastAsia"/>
          <w:color w:val="auto"/>
          <w:szCs w:val="24"/>
          <w:highlight w:val="none"/>
        </w:rPr>
      </w:pPr>
      <w:r>
        <w:rPr>
          <w:rFonts w:hint="eastAsia"/>
          <w:color w:val="auto"/>
          <w:szCs w:val="24"/>
          <w:highlight w:val="none"/>
        </w:rPr>
        <w:br w:type="page"/>
      </w:r>
    </w:p>
    <w:p w14:paraId="2BADA14B">
      <w:pPr>
        <w:bidi w:val="0"/>
        <w:jc w:val="center"/>
        <w:rPr>
          <w:rFonts w:hint="eastAsia" w:ascii="黑体" w:hAnsi="黑体" w:eastAsia="黑体" w:cs="黑体"/>
          <w:color w:val="auto"/>
          <w:sz w:val="24"/>
          <w:szCs w:val="24"/>
          <w:highlight w:val="none"/>
        </w:rPr>
      </w:pPr>
      <w:bookmarkStart w:id="2285" w:name="_Toc122603094"/>
      <w:r>
        <w:rPr>
          <w:rFonts w:hint="eastAsia" w:ascii="黑体" w:hAnsi="黑体" w:eastAsia="黑体" w:cs="黑体"/>
          <w:color w:val="auto"/>
          <w:sz w:val="24"/>
          <w:szCs w:val="24"/>
          <w:highlight w:val="none"/>
        </w:rPr>
        <w:t>近年完成的类似项目情况表</w:t>
      </w:r>
      <w:bookmarkEnd w:id="2285"/>
    </w:p>
    <w:p w14:paraId="4590C502">
      <w:pPr>
        <w:spacing w:line="440" w:lineRule="exact"/>
        <w:ind w:left="720" w:hanging="720" w:hangingChars="300"/>
        <w:jc w:val="center"/>
        <w:rPr>
          <w:rFonts w:hint="eastAsia" w:ascii="黑体" w:hAnsi="宋体" w:eastAsia="黑体"/>
          <w:color w:val="auto"/>
          <w:sz w:val="24"/>
          <w:highlight w:val="non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7B4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14:paraId="3BEDB4E9">
            <w:pPr>
              <w:topLinePunct/>
              <w:spacing w:line="440" w:lineRule="exact"/>
              <w:jc w:val="center"/>
              <w:rPr>
                <w:color w:val="auto"/>
                <w:szCs w:val="21"/>
                <w:highlight w:val="none"/>
              </w:rPr>
            </w:pPr>
            <w:r>
              <w:rPr>
                <w:color w:val="auto"/>
                <w:szCs w:val="21"/>
                <w:highlight w:val="none"/>
              </w:rPr>
              <w:t>项目名称</w:t>
            </w:r>
          </w:p>
        </w:tc>
        <w:tc>
          <w:tcPr>
            <w:tcW w:w="6253" w:type="dxa"/>
          </w:tcPr>
          <w:p w14:paraId="33781F04">
            <w:pPr>
              <w:topLinePunct/>
              <w:spacing w:line="440" w:lineRule="exact"/>
              <w:rPr>
                <w:color w:val="auto"/>
                <w:szCs w:val="21"/>
                <w:highlight w:val="none"/>
              </w:rPr>
            </w:pPr>
          </w:p>
        </w:tc>
      </w:tr>
      <w:tr w14:paraId="309F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269" w:type="dxa"/>
            <w:vAlign w:val="center"/>
          </w:tcPr>
          <w:p w14:paraId="673455F7">
            <w:pPr>
              <w:topLinePunct/>
              <w:spacing w:line="440" w:lineRule="exact"/>
              <w:jc w:val="center"/>
              <w:rPr>
                <w:color w:val="auto"/>
                <w:szCs w:val="21"/>
                <w:highlight w:val="none"/>
              </w:rPr>
            </w:pPr>
            <w:r>
              <w:rPr>
                <w:color w:val="auto"/>
                <w:szCs w:val="21"/>
                <w:highlight w:val="none"/>
              </w:rPr>
              <w:t>项目所在地</w:t>
            </w:r>
          </w:p>
        </w:tc>
        <w:tc>
          <w:tcPr>
            <w:tcW w:w="6253" w:type="dxa"/>
          </w:tcPr>
          <w:p w14:paraId="7E318429">
            <w:pPr>
              <w:topLinePunct/>
              <w:spacing w:line="440" w:lineRule="exact"/>
              <w:rPr>
                <w:color w:val="auto"/>
                <w:szCs w:val="21"/>
                <w:highlight w:val="none"/>
              </w:rPr>
            </w:pPr>
          </w:p>
        </w:tc>
      </w:tr>
      <w:tr w14:paraId="7360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14:paraId="0D86D5F5">
            <w:pPr>
              <w:topLinePunct/>
              <w:spacing w:line="440" w:lineRule="exact"/>
              <w:jc w:val="center"/>
              <w:rPr>
                <w:color w:val="auto"/>
                <w:szCs w:val="21"/>
                <w:highlight w:val="none"/>
              </w:rPr>
            </w:pPr>
            <w:r>
              <w:rPr>
                <w:color w:val="auto"/>
                <w:szCs w:val="21"/>
                <w:highlight w:val="none"/>
              </w:rPr>
              <w:t>发包人名称</w:t>
            </w:r>
          </w:p>
        </w:tc>
        <w:tc>
          <w:tcPr>
            <w:tcW w:w="6253" w:type="dxa"/>
          </w:tcPr>
          <w:p w14:paraId="37182D04">
            <w:pPr>
              <w:topLinePunct/>
              <w:spacing w:line="440" w:lineRule="exact"/>
              <w:rPr>
                <w:color w:val="auto"/>
                <w:szCs w:val="21"/>
                <w:highlight w:val="none"/>
              </w:rPr>
            </w:pPr>
          </w:p>
        </w:tc>
      </w:tr>
      <w:tr w14:paraId="1306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14:paraId="6D1933DB">
            <w:pPr>
              <w:topLinePunct/>
              <w:spacing w:line="440" w:lineRule="exact"/>
              <w:jc w:val="center"/>
              <w:rPr>
                <w:color w:val="auto"/>
                <w:szCs w:val="21"/>
                <w:highlight w:val="none"/>
              </w:rPr>
            </w:pPr>
            <w:r>
              <w:rPr>
                <w:color w:val="auto"/>
                <w:szCs w:val="21"/>
                <w:highlight w:val="none"/>
              </w:rPr>
              <w:t>发包人地址</w:t>
            </w:r>
          </w:p>
        </w:tc>
        <w:tc>
          <w:tcPr>
            <w:tcW w:w="6253" w:type="dxa"/>
          </w:tcPr>
          <w:p w14:paraId="268437CC">
            <w:pPr>
              <w:topLinePunct/>
              <w:spacing w:line="440" w:lineRule="exact"/>
              <w:rPr>
                <w:color w:val="auto"/>
                <w:szCs w:val="21"/>
                <w:highlight w:val="none"/>
              </w:rPr>
            </w:pPr>
          </w:p>
        </w:tc>
      </w:tr>
      <w:tr w14:paraId="1E21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14:paraId="4856F2CA">
            <w:pPr>
              <w:topLinePunct/>
              <w:spacing w:line="440" w:lineRule="exact"/>
              <w:jc w:val="center"/>
              <w:rPr>
                <w:color w:val="auto"/>
                <w:szCs w:val="21"/>
                <w:highlight w:val="none"/>
              </w:rPr>
            </w:pPr>
            <w:r>
              <w:rPr>
                <w:color w:val="auto"/>
                <w:szCs w:val="21"/>
                <w:highlight w:val="none"/>
              </w:rPr>
              <w:t>发包人电话</w:t>
            </w:r>
          </w:p>
        </w:tc>
        <w:tc>
          <w:tcPr>
            <w:tcW w:w="6253" w:type="dxa"/>
          </w:tcPr>
          <w:p w14:paraId="3E619216">
            <w:pPr>
              <w:topLinePunct/>
              <w:spacing w:line="440" w:lineRule="exact"/>
              <w:rPr>
                <w:color w:val="auto"/>
                <w:szCs w:val="21"/>
                <w:highlight w:val="none"/>
              </w:rPr>
            </w:pPr>
          </w:p>
        </w:tc>
      </w:tr>
      <w:tr w14:paraId="05F6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269" w:type="dxa"/>
            <w:vAlign w:val="center"/>
          </w:tcPr>
          <w:p w14:paraId="61870956">
            <w:pPr>
              <w:topLinePunct/>
              <w:spacing w:line="440" w:lineRule="exact"/>
              <w:jc w:val="center"/>
              <w:rPr>
                <w:rFonts w:hint="eastAsia"/>
                <w:color w:val="auto"/>
                <w:szCs w:val="21"/>
                <w:highlight w:val="none"/>
              </w:rPr>
            </w:pPr>
            <w:r>
              <w:rPr>
                <w:color w:val="auto"/>
                <w:szCs w:val="21"/>
                <w:highlight w:val="none"/>
              </w:rPr>
              <w:t>合同价格</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6253" w:type="dxa"/>
          </w:tcPr>
          <w:p w14:paraId="710F0D67">
            <w:pPr>
              <w:topLinePunct/>
              <w:spacing w:line="440" w:lineRule="exact"/>
              <w:rPr>
                <w:color w:val="auto"/>
                <w:szCs w:val="21"/>
                <w:highlight w:val="none"/>
              </w:rPr>
            </w:pPr>
          </w:p>
        </w:tc>
      </w:tr>
      <w:tr w14:paraId="0DA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2E540D44">
            <w:pPr>
              <w:topLinePunct/>
              <w:spacing w:line="440" w:lineRule="exact"/>
              <w:jc w:val="center"/>
              <w:rPr>
                <w:color w:val="auto"/>
                <w:szCs w:val="21"/>
                <w:highlight w:val="none"/>
              </w:rPr>
            </w:pPr>
            <w:r>
              <w:rPr>
                <w:color w:val="auto"/>
                <w:szCs w:val="21"/>
                <w:highlight w:val="none"/>
              </w:rPr>
              <w:t>开工日期</w:t>
            </w:r>
          </w:p>
        </w:tc>
        <w:tc>
          <w:tcPr>
            <w:tcW w:w="6253" w:type="dxa"/>
          </w:tcPr>
          <w:p w14:paraId="7F1CC312">
            <w:pPr>
              <w:topLinePunct/>
              <w:spacing w:line="440" w:lineRule="exact"/>
              <w:rPr>
                <w:color w:val="auto"/>
                <w:szCs w:val="21"/>
                <w:highlight w:val="none"/>
              </w:rPr>
            </w:pPr>
          </w:p>
        </w:tc>
      </w:tr>
      <w:tr w14:paraId="3D5F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269" w:type="dxa"/>
            <w:vAlign w:val="center"/>
          </w:tcPr>
          <w:p w14:paraId="669AF870">
            <w:pPr>
              <w:topLinePunct/>
              <w:spacing w:line="440" w:lineRule="exact"/>
              <w:jc w:val="center"/>
              <w:rPr>
                <w:color w:val="auto"/>
                <w:szCs w:val="21"/>
                <w:highlight w:val="none"/>
              </w:rPr>
            </w:pPr>
            <w:r>
              <w:rPr>
                <w:rFonts w:hint="eastAsia"/>
                <w:color w:val="auto"/>
                <w:highlight w:val="none"/>
              </w:rPr>
              <w:t>竣工</w:t>
            </w:r>
            <w:r>
              <w:rPr>
                <w:color w:val="auto"/>
                <w:szCs w:val="21"/>
                <w:highlight w:val="none"/>
              </w:rPr>
              <w:t>日期</w:t>
            </w:r>
          </w:p>
        </w:tc>
        <w:tc>
          <w:tcPr>
            <w:tcW w:w="6253" w:type="dxa"/>
          </w:tcPr>
          <w:p w14:paraId="3943BC21">
            <w:pPr>
              <w:topLinePunct/>
              <w:spacing w:line="440" w:lineRule="exact"/>
              <w:rPr>
                <w:color w:val="auto"/>
                <w:szCs w:val="21"/>
                <w:highlight w:val="none"/>
              </w:rPr>
            </w:pPr>
          </w:p>
        </w:tc>
      </w:tr>
      <w:tr w14:paraId="5283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14:paraId="4E1F884E">
            <w:pPr>
              <w:topLinePunct/>
              <w:spacing w:line="440" w:lineRule="exact"/>
              <w:jc w:val="center"/>
              <w:rPr>
                <w:color w:val="auto"/>
                <w:szCs w:val="21"/>
                <w:highlight w:val="none"/>
              </w:rPr>
            </w:pPr>
            <w:r>
              <w:rPr>
                <w:color w:val="auto"/>
                <w:szCs w:val="21"/>
                <w:highlight w:val="none"/>
              </w:rPr>
              <w:t>承担的工作</w:t>
            </w:r>
          </w:p>
        </w:tc>
        <w:tc>
          <w:tcPr>
            <w:tcW w:w="6253" w:type="dxa"/>
          </w:tcPr>
          <w:p w14:paraId="7FBD90DD">
            <w:pPr>
              <w:topLinePunct/>
              <w:spacing w:line="440" w:lineRule="exact"/>
              <w:rPr>
                <w:color w:val="auto"/>
                <w:szCs w:val="21"/>
                <w:highlight w:val="none"/>
              </w:rPr>
            </w:pPr>
          </w:p>
        </w:tc>
      </w:tr>
      <w:tr w14:paraId="28DE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14:paraId="46107AD5">
            <w:pPr>
              <w:topLinePunct/>
              <w:spacing w:line="440" w:lineRule="exact"/>
              <w:jc w:val="center"/>
              <w:rPr>
                <w:color w:val="auto"/>
                <w:szCs w:val="21"/>
                <w:highlight w:val="none"/>
              </w:rPr>
            </w:pPr>
            <w:r>
              <w:rPr>
                <w:color w:val="auto"/>
                <w:szCs w:val="21"/>
                <w:highlight w:val="none"/>
              </w:rPr>
              <w:t>工程质量</w:t>
            </w:r>
          </w:p>
        </w:tc>
        <w:tc>
          <w:tcPr>
            <w:tcW w:w="6253" w:type="dxa"/>
          </w:tcPr>
          <w:p w14:paraId="4EEBE186">
            <w:pPr>
              <w:topLinePunct/>
              <w:spacing w:line="440" w:lineRule="exact"/>
              <w:rPr>
                <w:color w:val="auto"/>
                <w:szCs w:val="21"/>
                <w:highlight w:val="none"/>
              </w:rPr>
            </w:pPr>
          </w:p>
        </w:tc>
      </w:tr>
      <w:tr w14:paraId="204C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2269" w:type="dxa"/>
            <w:vAlign w:val="center"/>
          </w:tcPr>
          <w:p w14:paraId="13971AEB">
            <w:pPr>
              <w:topLinePunct/>
              <w:spacing w:line="440" w:lineRule="exact"/>
              <w:jc w:val="center"/>
              <w:rPr>
                <w:color w:val="auto"/>
                <w:szCs w:val="21"/>
                <w:highlight w:val="none"/>
              </w:rPr>
            </w:pPr>
            <w:r>
              <w:rPr>
                <w:color w:val="auto"/>
                <w:szCs w:val="21"/>
                <w:highlight w:val="none"/>
              </w:rPr>
              <w:t>项目经理</w:t>
            </w:r>
          </w:p>
        </w:tc>
        <w:tc>
          <w:tcPr>
            <w:tcW w:w="6253" w:type="dxa"/>
          </w:tcPr>
          <w:p w14:paraId="4A583076">
            <w:pPr>
              <w:topLinePunct/>
              <w:spacing w:line="440" w:lineRule="exact"/>
              <w:rPr>
                <w:color w:val="auto"/>
                <w:szCs w:val="21"/>
                <w:highlight w:val="none"/>
              </w:rPr>
            </w:pPr>
          </w:p>
        </w:tc>
      </w:tr>
      <w:tr w14:paraId="7EE4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53114680">
            <w:pPr>
              <w:topLinePunct/>
              <w:spacing w:line="440" w:lineRule="exact"/>
              <w:jc w:val="center"/>
              <w:rPr>
                <w:color w:val="auto"/>
                <w:szCs w:val="21"/>
                <w:highlight w:val="none"/>
              </w:rPr>
            </w:pPr>
            <w:r>
              <w:rPr>
                <w:color w:val="auto"/>
                <w:szCs w:val="21"/>
                <w:highlight w:val="none"/>
              </w:rPr>
              <w:t>技术负责人</w:t>
            </w:r>
          </w:p>
        </w:tc>
        <w:tc>
          <w:tcPr>
            <w:tcW w:w="6253" w:type="dxa"/>
          </w:tcPr>
          <w:p w14:paraId="39304C5F">
            <w:pPr>
              <w:topLinePunct/>
              <w:spacing w:line="440" w:lineRule="exact"/>
              <w:rPr>
                <w:color w:val="auto"/>
                <w:szCs w:val="21"/>
                <w:highlight w:val="none"/>
              </w:rPr>
            </w:pPr>
          </w:p>
        </w:tc>
      </w:tr>
      <w:tr w14:paraId="0FF0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441B8C29">
            <w:pPr>
              <w:topLinePunct/>
              <w:spacing w:line="440" w:lineRule="exact"/>
              <w:jc w:val="center"/>
              <w:rPr>
                <w:color w:val="auto"/>
                <w:szCs w:val="21"/>
                <w:highlight w:val="none"/>
              </w:rPr>
            </w:pPr>
            <w:r>
              <w:rPr>
                <w:rFonts w:hint="eastAsia" w:ascii="宋体" w:hAnsi="宋体"/>
                <w:color w:val="auto"/>
                <w:szCs w:val="21"/>
                <w:highlight w:val="none"/>
              </w:rPr>
              <w:t>总监理工程师及电话</w:t>
            </w:r>
          </w:p>
        </w:tc>
        <w:tc>
          <w:tcPr>
            <w:tcW w:w="6253" w:type="dxa"/>
          </w:tcPr>
          <w:p w14:paraId="4C958A5D">
            <w:pPr>
              <w:topLinePunct/>
              <w:spacing w:line="440" w:lineRule="exact"/>
              <w:rPr>
                <w:color w:val="auto"/>
                <w:szCs w:val="21"/>
                <w:highlight w:val="none"/>
              </w:rPr>
            </w:pPr>
          </w:p>
        </w:tc>
      </w:tr>
      <w:tr w14:paraId="2FE6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269" w:type="dxa"/>
            <w:vAlign w:val="center"/>
          </w:tcPr>
          <w:p w14:paraId="43139950">
            <w:pPr>
              <w:topLinePunct/>
              <w:spacing w:line="440" w:lineRule="exact"/>
              <w:jc w:val="center"/>
              <w:rPr>
                <w:color w:val="auto"/>
                <w:szCs w:val="21"/>
                <w:highlight w:val="none"/>
              </w:rPr>
            </w:pPr>
            <w:r>
              <w:rPr>
                <w:color w:val="auto"/>
                <w:szCs w:val="21"/>
                <w:highlight w:val="none"/>
              </w:rPr>
              <w:t>项目描述</w:t>
            </w:r>
          </w:p>
        </w:tc>
        <w:tc>
          <w:tcPr>
            <w:tcW w:w="6253" w:type="dxa"/>
          </w:tcPr>
          <w:p w14:paraId="3808AC33">
            <w:pPr>
              <w:topLinePunct/>
              <w:spacing w:line="440" w:lineRule="exact"/>
              <w:rPr>
                <w:color w:val="auto"/>
                <w:szCs w:val="21"/>
                <w:highlight w:val="none"/>
              </w:rPr>
            </w:pPr>
          </w:p>
          <w:p w14:paraId="3C69F8AF">
            <w:pPr>
              <w:topLinePunct/>
              <w:spacing w:line="440" w:lineRule="exact"/>
              <w:rPr>
                <w:color w:val="auto"/>
                <w:szCs w:val="21"/>
                <w:highlight w:val="none"/>
              </w:rPr>
            </w:pPr>
          </w:p>
          <w:p w14:paraId="785EB502">
            <w:pPr>
              <w:topLinePunct/>
              <w:spacing w:line="440" w:lineRule="exact"/>
              <w:rPr>
                <w:color w:val="auto"/>
                <w:szCs w:val="21"/>
                <w:highlight w:val="none"/>
              </w:rPr>
            </w:pPr>
          </w:p>
        </w:tc>
      </w:tr>
      <w:tr w14:paraId="1B90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3C3C0E3C">
            <w:pPr>
              <w:topLinePunct/>
              <w:spacing w:line="440" w:lineRule="exact"/>
              <w:jc w:val="center"/>
              <w:rPr>
                <w:color w:val="auto"/>
                <w:szCs w:val="21"/>
                <w:highlight w:val="none"/>
              </w:rPr>
            </w:pPr>
            <w:r>
              <w:rPr>
                <w:color w:val="auto"/>
                <w:szCs w:val="21"/>
                <w:highlight w:val="none"/>
              </w:rPr>
              <w:t>备注</w:t>
            </w:r>
          </w:p>
        </w:tc>
        <w:tc>
          <w:tcPr>
            <w:tcW w:w="6253" w:type="dxa"/>
          </w:tcPr>
          <w:p w14:paraId="6C4D74C1">
            <w:pPr>
              <w:topLinePunct/>
              <w:spacing w:line="440" w:lineRule="exact"/>
              <w:rPr>
                <w:color w:val="auto"/>
                <w:szCs w:val="21"/>
                <w:highlight w:val="none"/>
              </w:rPr>
            </w:pPr>
          </w:p>
        </w:tc>
      </w:tr>
    </w:tbl>
    <w:p w14:paraId="6D35C9F6">
      <w:pPr>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0AE5DB89">
      <w:pPr>
        <w:ind w:firstLine="630" w:firstLineChars="300"/>
        <w:rPr>
          <w:color w:val="auto"/>
          <w:highlight w:val="none"/>
        </w:rPr>
      </w:pPr>
      <w:r>
        <w:rPr>
          <w:rFonts w:hint="eastAsia" w:ascii="宋体" w:hAnsi="宋体"/>
          <w:color w:val="auto"/>
          <w:highlight w:val="none"/>
        </w:rPr>
        <w:t>2.本表后附业绩的相应</w:t>
      </w:r>
      <w:r>
        <w:rPr>
          <w:rFonts w:hint="eastAsia" w:ascii="宋体" w:hAnsi="宋体"/>
          <w:color w:val="auto"/>
          <w:szCs w:val="21"/>
          <w:highlight w:val="none"/>
        </w:rPr>
        <w:t>证明材料</w:t>
      </w:r>
      <w:r>
        <w:rPr>
          <w:rFonts w:hint="eastAsia" w:ascii="宋体" w:hAnsi="宋体"/>
          <w:color w:val="auto"/>
          <w:highlight w:val="none"/>
        </w:rPr>
        <w:t>。每张表格只填写一个项目，并标明序号。</w:t>
      </w:r>
    </w:p>
    <w:p w14:paraId="0E98D012">
      <w:pPr>
        <w:pStyle w:val="32"/>
        <w:jc w:val="center"/>
        <w:rPr>
          <w:rFonts w:hint="eastAsia"/>
          <w:color w:val="auto"/>
          <w:szCs w:val="24"/>
          <w:highlight w:val="none"/>
        </w:rPr>
        <w:sectPr>
          <w:footerReference r:id="rId4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B84DA44">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lang w:val="en-US" w:eastAsia="zh-CN"/>
        </w:rPr>
      </w:pPr>
      <w:bookmarkStart w:id="2286" w:name="_Toc256000227"/>
      <w:bookmarkStart w:id="2287" w:name="_Toc122603095"/>
      <w:r>
        <w:rPr>
          <w:rFonts w:hint="eastAsia"/>
          <w:color w:val="auto"/>
          <w:szCs w:val="24"/>
          <w:highlight w:val="none"/>
          <w:lang w:eastAsia="zh-CN"/>
        </w:rPr>
        <w:t>（</w:t>
      </w:r>
      <w:r>
        <w:rPr>
          <w:rFonts w:hint="default"/>
          <w:color w:val="auto"/>
          <w:szCs w:val="24"/>
          <w:highlight w:val="none"/>
        </w:rPr>
        <w:t>四</w:t>
      </w:r>
      <w:r>
        <w:rPr>
          <w:rFonts w:hint="eastAsia"/>
          <w:color w:val="auto"/>
          <w:szCs w:val="24"/>
          <w:highlight w:val="none"/>
          <w:lang w:eastAsia="zh-CN"/>
        </w:rPr>
        <w:t>）</w:t>
      </w:r>
      <w:r>
        <w:rPr>
          <w:rFonts w:hint="eastAsia"/>
          <w:color w:val="auto"/>
          <w:szCs w:val="24"/>
          <w:highlight w:val="none"/>
        </w:rPr>
        <w:t>正在施工的和新承接的项目情况</w:t>
      </w:r>
      <w:bookmarkEnd w:id="2286"/>
      <w:bookmarkEnd w:id="2287"/>
    </w:p>
    <w:p w14:paraId="4DAD1BA5">
      <w:pPr>
        <w:bidi w:val="0"/>
        <w:spacing w:before="156" w:beforeLines="50" w:after="156" w:afterLines="50"/>
        <w:jc w:val="center"/>
        <w:rPr>
          <w:rFonts w:hint="eastAsia" w:ascii="黑体" w:hAnsi="黑体" w:eastAsia="黑体" w:cs="黑体"/>
          <w:color w:val="auto"/>
          <w:sz w:val="24"/>
          <w:szCs w:val="24"/>
          <w:highlight w:val="none"/>
        </w:rPr>
      </w:pPr>
      <w:bookmarkStart w:id="2288" w:name="_Toc122603096"/>
      <w:r>
        <w:rPr>
          <w:rFonts w:hint="eastAsia" w:ascii="黑体" w:hAnsi="黑体" w:eastAsia="黑体" w:cs="黑体"/>
          <w:color w:val="auto"/>
          <w:sz w:val="24"/>
          <w:szCs w:val="24"/>
          <w:highlight w:val="none"/>
        </w:rPr>
        <w:t>正在施工的和新承接的项目汇总表</w:t>
      </w:r>
      <w:bookmarkEnd w:id="2288"/>
    </w:p>
    <w:tbl>
      <w:tblPr>
        <w:tblStyle w:val="2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539A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5DEDD46D">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1841E980">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438A9387">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0847EA54">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0F7585BC">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5ABFA7DE">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计划开、</w:t>
            </w:r>
          </w:p>
          <w:p w14:paraId="35B2F87C">
            <w:pPr>
              <w:topLinePunct/>
              <w:spacing w:line="400" w:lineRule="atLeast"/>
              <w:jc w:val="center"/>
              <w:rPr>
                <w:color w:val="auto"/>
                <w:szCs w:val="21"/>
                <w:highlight w:val="none"/>
              </w:rPr>
            </w:pPr>
            <w:r>
              <w:rPr>
                <w:rFonts w:hint="eastAsia" w:ascii="宋体" w:hAnsi="宋体"/>
                <w:color w:val="auto"/>
                <w:szCs w:val="21"/>
                <w:highlight w:val="none"/>
              </w:rPr>
              <w:t>竣工日期</w:t>
            </w:r>
          </w:p>
        </w:tc>
        <w:tc>
          <w:tcPr>
            <w:tcW w:w="1080" w:type="dxa"/>
            <w:vAlign w:val="center"/>
          </w:tcPr>
          <w:p w14:paraId="02B5FA85">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0CD2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81A2EC9">
            <w:pPr>
              <w:topLinePunct/>
              <w:spacing w:line="400" w:lineRule="atLeast"/>
              <w:jc w:val="center"/>
              <w:rPr>
                <w:color w:val="auto"/>
                <w:szCs w:val="21"/>
                <w:highlight w:val="none"/>
              </w:rPr>
            </w:pPr>
          </w:p>
        </w:tc>
        <w:tc>
          <w:tcPr>
            <w:tcW w:w="1846" w:type="dxa"/>
          </w:tcPr>
          <w:p w14:paraId="563440F4">
            <w:pPr>
              <w:topLinePunct/>
              <w:spacing w:line="400" w:lineRule="atLeast"/>
              <w:jc w:val="center"/>
              <w:rPr>
                <w:color w:val="auto"/>
                <w:szCs w:val="21"/>
                <w:highlight w:val="none"/>
              </w:rPr>
            </w:pPr>
          </w:p>
        </w:tc>
        <w:tc>
          <w:tcPr>
            <w:tcW w:w="1394" w:type="dxa"/>
          </w:tcPr>
          <w:p w14:paraId="4B99B648">
            <w:pPr>
              <w:topLinePunct/>
              <w:spacing w:line="400" w:lineRule="atLeast"/>
              <w:jc w:val="center"/>
              <w:rPr>
                <w:color w:val="auto"/>
                <w:szCs w:val="21"/>
                <w:highlight w:val="none"/>
              </w:rPr>
            </w:pPr>
          </w:p>
        </w:tc>
        <w:tc>
          <w:tcPr>
            <w:tcW w:w="1080" w:type="dxa"/>
          </w:tcPr>
          <w:p w14:paraId="4A06ED8F">
            <w:pPr>
              <w:topLinePunct/>
              <w:spacing w:line="400" w:lineRule="atLeast"/>
              <w:jc w:val="center"/>
              <w:rPr>
                <w:color w:val="auto"/>
                <w:szCs w:val="21"/>
                <w:highlight w:val="none"/>
              </w:rPr>
            </w:pPr>
          </w:p>
        </w:tc>
        <w:tc>
          <w:tcPr>
            <w:tcW w:w="1112" w:type="dxa"/>
          </w:tcPr>
          <w:p w14:paraId="6DAAF825">
            <w:pPr>
              <w:topLinePunct/>
              <w:spacing w:line="400" w:lineRule="atLeast"/>
              <w:jc w:val="center"/>
              <w:rPr>
                <w:color w:val="auto"/>
                <w:szCs w:val="21"/>
                <w:highlight w:val="none"/>
              </w:rPr>
            </w:pPr>
          </w:p>
        </w:tc>
        <w:tc>
          <w:tcPr>
            <w:tcW w:w="1778" w:type="dxa"/>
          </w:tcPr>
          <w:p w14:paraId="77CF3C6E">
            <w:pPr>
              <w:topLinePunct/>
              <w:spacing w:line="400" w:lineRule="atLeast"/>
              <w:jc w:val="center"/>
              <w:rPr>
                <w:color w:val="auto"/>
                <w:szCs w:val="21"/>
                <w:highlight w:val="none"/>
              </w:rPr>
            </w:pPr>
          </w:p>
        </w:tc>
        <w:tc>
          <w:tcPr>
            <w:tcW w:w="1080" w:type="dxa"/>
          </w:tcPr>
          <w:p w14:paraId="1BF802DB">
            <w:pPr>
              <w:topLinePunct/>
              <w:spacing w:line="400" w:lineRule="atLeast"/>
              <w:jc w:val="center"/>
              <w:rPr>
                <w:color w:val="auto"/>
                <w:szCs w:val="21"/>
                <w:highlight w:val="none"/>
              </w:rPr>
            </w:pPr>
          </w:p>
        </w:tc>
      </w:tr>
      <w:tr w14:paraId="1C01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6A13CDA">
            <w:pPr>
              <w:topLinePunct/>
              <w:spacing w:line="400" w:lineRule="atLeast"/>
              <w:jc w:val="center"/>
              <w:rPr>
                <w:color w:val="auto"/>
                <w:szCs w:val="21"/>
                <w:highlight w:val="none"/>
              </w:rPr>
            </w:pPr>
          </w:p>
        </w:tc>
        <w:tc>
          <w:tcPr>
            <w:tcW w:w="1846" w:type="dxa"/>
          </w:tcPr>
          <w:p w14:paraId="7D1120E7">
            <w:pPr>
              <w:topLinePunct/>
              <w:spacing w:line="400" w:lineRule="atLeast"/>
              <w:jc w:val="center"/>
              <w:rPr>
                <w:color w:val="auto"/>
                <w:szCs w:val="21"/>
                <w:highlight w:val="none"/>
              </w:rPr>
            </w:pPr>
          </w:p>
        </w:tc>
        <w:tc>
          <w:tcPr>
            <w:tcW w:w="1394" w:type="dxa"/>
          </w:tcPr>
          <w:p w14:paraId="1DEBEE00">
            <w:pPr>
              <w:topLinePunct/>
              <w:spacing w:line="400" w:lineRule="atLeast"/>
              <w:jc w:val="center"/>
              <w:rPr>
                <w:color w:val="auto"/>
                <w:szCs w:val="21"/>
                <w:highlight w:val="none"/>
              </w:rPr>
            </w:pPr>
          </w:p>
        </w:tc>
        <w:tc>
          <w:tcPr>
            <w:tcW w:w="1080" w:type="dxa"/>
          </w:tcPr>
          <w:p w14:paraId="300E755D">
            <w:pPr>
              <w:topLinePunct/>
              <w:spacing w:line="400" w:lineRule="atLeast"/>
              <w:jc w:val="center"/>
              <w:rPr>
                <w:color w:val="auto"/>
                <w:szCs w:val="21"/>
                <w:highlight w:val="none"/>
              </w:rPr>
            </w:pPr>
          </w:p>
        </w:tc>
        <w:tc>
          <w:tcPr>
            <w:tcW w:w="1112" w:type="dxa"/>
          </w:tcPr>
          <w:p w14:paraId="711EC316">
            <w:pPr>
              <w:topLinePunct/>
              <w:spacing w:line="400" w:lineRule="atLeast"/>
              <w:jc w:val="center"/>
              <w:rPr>
                <w:color w:val="auto"/>
                <w:szCs w:val="21"/>
                <w:highlight w:val="none"/>
              </w:rPr>
            </w:pPr>
          </w:p>
        </w:tc>
        <w:tc>
          <w:tcPr>
            <w:tcW w:w="1778" w:type="dxa"/>
          </w:tcPr>
          <w:p w14:paraId="23F6AE72">
            <w:pPr>
              <w:topLinePunct/>
              <w:spacing w:line="400" w:lineRule="atLeast"/>
              <w:jc w:val="center"/>
              <w:rPr>
                <w:color w:val="auto"/>
                <w:szCs w:val="21"/>
                <w:highlight w:val="none"/>
              </w:rPr>
            </w:pPr>
          </w:p>
        </w:tc>
        <w:tc>
          <w:tcPr>
            <w:tcW w:w="1080" w:type="dxa"/>
          </w:tcPr>
          <w:p w14:paraId="717F06D2">
            <w:pPr>
              <w:topLinePunct/>
              <w:spacing w:line="400" w:lineRule="atLeast"/>
              <w:jc w:val="center"/>
              <w:rPr>
                <w:color w:val="auto"/>
                <w:szCs w:val="21"/>
                <w:highlight w:val="none"/>
              </w:rPr>
            </w:pPr>
          </w:p>
        </w:tc>
      </w:tr>
      <w:tr w14:paraId="4E8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B798049">
            <w:pPr>
              <w:topLinePunct/>
              <w:spacing w:line="400" w:lineRule="atLeast"/>
              <w:jc w:val="center"/>
              <w:rPr>
                <w:color w:val="auto"/>
                <w:szCs w:val="21"/>
                <w:highlight w:val="none"/>
              </w:rPr>
            </w:pPr>
          </w:p>
        </w:tc>
        <w:tc>
          <w:tcPr>
            <w:tcW w:w="1846" w:type="dxa"/>
          </w:tcPr>
          <w:p w14:paraId="68D95353">
            <w:pPr>
              <w:topLinePunct/>
              <w:spacing w:line="400" w:lineRule="atLeast"/>
              <w:jc w:val="center"/>
              <w:rPr>
                <w:color w:val="auto"/>
                <w:szCs w:val="21"/>
                <w:highlight w:val="none"/>
              </w:rPr>
            </w:pPr>
          </w:p>
        </w:tc>
        <w:tc>
          <w:tcPr>
            <w:tcW w:w="1394" w:type="dxa"/>
          </w:tcPr>
          <w:p w14:paraId="6534F055">
            <w:pPr>
              <w:topLinePunct/>
              <w:spacing w:line="400" w:lineRule="atLeast"/>
              <w:jc w:val="center"/>
              <w:rPr>
                <w:color w:val="auto"/>
                <w:szCs w:val="21"/>
                <w:highlight w:val="none"/>
              </w:rPr>
            </w:pPr>
          </w:p>
        </w:tc>
        <w:tc>
          <w:tcPr>
            <w:tcW w:w="1080" w:type="dxa"/>
          </w:tcPr>
          <w:p w14:paraId="5238E9E1">
            <w:pPr>
              <w:topLinePunct/>
              <w:spacing w:line="400" w:lineRule="atLeast"/>
              <w:jc w:val="center"/>
              <w:rPr>
                <w:color w:val="auto"/>
                <w:szCs w:val="21"/>
                <w:highlight w:val="none"/>
              </w:rPr>
            </w:pPr>
          </w:p>
        </w:tc>
        <w:tc>
          <w:tcPr>
            <w:tcW w:w="1112" w:type="dxa"/>
          </w:tcPr>
          <w:p w14:paraId="015794DF">
            <w:pPr>
              <w:topLinePunct/>
              <w:spacing w:line="400" w:lineRule="atLeast"/>
              <w:jc w:val="center"/>
              <w:rPr>
                <w:color w:val="auto"/>
                <w:szCs w:val="21"/>
                <w:highlight w:val="none"/>
              </w:rPr>
            </w:pPr>
          </w:p>
        </w:tc>
        <w:tc>
          <w:tcPr>
            <w:tcW w:w="1778" w:type="dxa"/>
          </w:tcPr>
          <w:p w14:paraId="007C55E8">
            <w:pPr>
              <w:topLinePunct/>
              <w:spacing w:line="400" w:lineRule="atLeast"/>
              <w:jc w:val="center"/>
              <w:rPr>
                <w:color w:val="auto"/>
                <w:szCs w:val="21"/>
                <w:highlight w:val="none"/>
              </w:rPr>
            </w:pPr>
          </w:p>
        </w:tc>
        <w:tc>
          <w:tcPr>
            <w:tcW w:w="1080" w:type="dxa"/>
          </w:tcPr>
          <w:p w14:paraId="3D600066">
            <w:pPr>
              <w:topLinePunct/>
              <w:spacing w:line="400" w:lineRule="atLeast"/>
              <w:jc w:val="center"/>
              <w:rPr>
                <w:color w:val="auto"/>
                <w:szCs w:val="21"/>
                <w:highlight w:val="none"/>
              </w:rPr>
            </w:pPr>
          </w:p>
        </w:tc>
      </w:tr>
      <w:tr w14:paraId="79CC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9A5AD08">
            <w:pPr>
              <w:topLinePunct/>
              <w:spacing w:line="400" w:lineRule="atLeast"/>
              <w:jc w:val="center"/>
              <w:rPr>
                <w:color w:val="auto"/>
                <w:szCs w:val="21"/>
                <w:highlight w:val="none"/>
              </w:rPr>
            </w:pPr>
          </w:p>
        </w:tc>
        <w:tc>
          <w:tcPr>
            <w:tcW w:w="1846" w:type="dxa"/>
          </w:tcPr>
          <w:p w14:paraId="374482C2">
            <w:pPr>
              <w:topLinePunct/>
              <w:spacing w:line="400" w:lineRule="atLeast"/>
              <w:jc w:val="center"/>
              <w:rPr>
                <w:color w:val="auto"/>
                <w:szCs w:val="21"/>
                <w:highlight w:val="none"/>
              </w:rPr>
            </w:pPr>
          </w:p>
        </w:tc>
        <w:tc>
          <w:tcPr>
            <w:tcW w:w="1394" w:type="dxa"/>
          </w:tcPr>
          <w:p w14:paraId="6539E202">
            <w:pPr>
              <w:topLinePunct/>
              <w:spacing w:line="400" w:lineRule="atLeast"/>
              <w:jc w:val="center"/>
              <w:rPr>
                <w:color w:val="auto"/>
                <w:szCs w:val="21"/>
                <w:highlight w:val="none"/>
              </w:rPr>
            </w:pPr>
          </w:p>
        </w:tc>
        <w:tc>
          <w:tcPr>
            <w:tcW w:w="1080" w:type="dxa"/>
          </w:tcPr>
          <w:p w14:paraId="78C27B83">
            <w:pPr>
              <w:topLinePunct/>
              <w:spacing w:line="400" w:lineRule="atLeast"/>
              <w:jc w:val="center"/>
              <w:rPr>
                <w:color w:val="auto"/>
                <w:szCs w:val="21"/>
                <w:highlight w:val="none"/>
              </w:rPr>
            </w:pPr>
          </w:p>
        </w:tc>
        <w:tc>
          <w:tcPr>
            <w:tcW w:w="1112" w:type="dxa"/>
          </w:tcPr>
          <w:p w14:paraId="093F1B54">
            <w:pPr>
              <w:topLinePunct/>
              <w:spacing w:line="400" w:lineRule="atLeast"/>
              <w:jc w:val="center"/>
              <w:rPr>
                <w:color w:val="auto"/>
                <w:szCs w:val="21"/>
                <w:highlight w:val="none"/>
              </w:rPr>
            </w:pPr>
          </w:p>
        </w:tc>
        <w:tc>
          <w:tcPr>
            <w:tcW w:w="1778" w:type="dxa"/>
          </w:tcPr>
          <w:p w14:paraId="2DF95B3A">
            <w:pPr>
              <w:topLinePunct/>
              <w:spacing w:line="400" w:lineRule="atLeast"/>
              <w:jc w:val="center"/>
              <w:rPr>
                <w:color w:val="auto"/>
                <w:szCs w:val="21"/>
                <w:highlight w:val="none"/>
              </w:rPr>
            </w:pPr>
          </w:p>
        </w:tc>
        <w:tc>
          <w:tcPr>
            <w:tcW w:w="1080" w:type="dxa"/>
          </w:tcPr>
          <w:p w14:paraId="2AF43622">
            <w:pPr>
              <w:topLinePunct/>
              <w:spacing w:line="400" w:lineRule="atLeast"/>
              <w:jc w:val="center"/>
              <w:rPr>
                <w:color w:val="auto"/>
                <w:szCs w:val="21"/>
                <w:highlight w:val="none"/>
              </w:rPr>
            </w:pPr>
          </w:p>
        </w:tc>
      </w:tr>
      <w:tr w14:paraId="2A82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ED8A0A8">
            <w:pPr>
              <w:topLinePunct/>
              <w:spacing w:line="400" w:lineRule="atLeast"/>
              <w:jc w:val="center"/>
              <w:rPr>
                <w:color w:val="auto"/>
                <w:szCs w:val="21"/>
                <w:highlight w:val="none"/>
              </w:rPr>
            </w:pPr>
          </w:p>
        </w:tc>
        <w:tc>
          <w:tcPr>
            <w:tcW w:w="1846" w:type="dxa"/>
          </w:tcPr>
          <w:p w14:paraId="47DE83D5">
            <w:pPr>
              <w:topLinePunct/>
              <w:spacing w:line="400" w:lineRule="atLeast"/>
              <w:jc w:val="center"/>
              <w:rPr>
                <w:color w:val="auto"/>
                <w:szCs w:val="21"/>
                <w:highlight w:val="none"/>
              </w:rPr>
            </w:pPr>
          </w:p>
        </w:tc>
        <w:tc>
          <w:tcPr>
            <w:tcW w:w="1394" w:type="dxa"/>
          </w:tcPr>
          <w:p w14:paraId="1927141F">
            <w:pPr>
              <w:topLinePunct/>
              <w:spacing w:line="400" w:lineRule="atLeast"/>
              <w:jc w:val="center"/>
              <w:rPr>
                <w:color w:val="auto"/>
                <w:szCs w:val="21"/>
                <w:highlight w:val="none"/>
              </w:rPr>
            </w:pPr>
          </w:p>
        </w:tc>
        <w:tc>
          <w:tcPr>
            <w:tcW w:w="1080" w:type="dxa"/>
          </w:tcPr>
          <w:p w14:paraId="0A75BE68">
            <w:pPr>
              <w:topLinePunct/>
              <w:spacing w:line="400" w:lineRule="atLeast"/>
              <w:jc w:val="center"/>
              <w:rPr>
                <w:color w:val="auto"/>
                <w:szCs w:val="21"/>
                <w:highlight w:val="none"/>
              </w:rPr>
            </w:pPr>
          </w:p>
        </w:tc>
        <w:tc>
          <w:tcPr>
            <w:tcW w:w="1112" w:type="dxa"/>
          </w:tcPr>
          <w:p w14:paraId="598275DD">
            <w:pPr>
              <w:topLinePunct/>
              <w:spacing w:line="400" w:lineRule="atLeast"/>
              <w:jc w:val="center"/>
              <w:rPr>
                <w:color w:val="auto"/>
                <w:szCs w:val="21"/>
                <w:highlight w:val="none"/>
              </w:rPr>
            </w:pPr>
          </w:p>
        </w:tc>
        <w:tc>
          <w:tcPr>
            <w:tcW w:w="1778" w:type="dxa"/>
          </w:tcPr>
          <w:p w14:paraId="5C613F53">
            <w:pPr>
              <w:topLinePunct/>
              <w:spacing w:line="400" w:lineRule="atLeast"/>
              <w:jc w:val="center"/>
              <w:rPr>
                <w:color w:val="auto"/>
                <w:szCs w:val="21"/>
                <w:highlight w:val="none"/>
              </w:rPr>
            </w:pPr>
          </w:p>
        </w:tc>
        <w:tc>
          <w:tcPr>
            <w:tcW w:w="1080" w:type="dxa"/>
          </w:tcPr>
          <w:p w14:paraId="6642C483">
            <w:pPr>
              <w:topLinePunct/>
              <w:spacing w:line="400" w:lineRule="atLeast"/>
              <w:jc w:val="center"/>
              <w:rPr>
                <w:color w:val="auto"/>
                <w:szCs w:val="21"/>
                <w:highlight w:val="none"/>
              </w:rPr>
            </w:pPr>
          </w:p>
        </w:tc>
      </w:tr>
      <w:tr w14:paraId="1F32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72FABF7">
            <w:pPr>
              <w:topLinePunct/>
              <w:spacing w:line="400" w:lineRule="atLeast"/>
              <w:jc w:val="center"/>
              <w:rPr>
                <w:color w:val="auto"/>
                <w:szCs w:val="21"/>
                <w:highlight w:val="none"/>
              </w:rPr>
            </w:pPr>
          </w:p>
        </w:tc>
        <w:tc>
          <w:tcPr>
            <w:tcW w:w="1846" w:type="dxa"/>
          </w:tcPr>
          <w:p w14:paraId="03FAF0AB">
            <w:pPr>
              <w:topLinePunct/>
              <w:spacing w:line="400" w:lineRule="atLeast"/>
              <w:jc w:val="center"/>
              <w:rPr>
                <w:color w:val="auto"/>
                <w:szCs w:val="21"/>
                <w:highlight w:val="none"/>
              </w:rPr>
            </w:pPr>
          </w:p>
        </w:tc>
        <w:tc>
          <w:tcPr>
            <w:tcW w:w="1394" w:type="dxa"/>
          </w:tcPr>
          <w:p w14:paraId="5C6E8769">
            <w:pPr>
              <w:topLinePunct/>
              <w:spacing w:line="400" w:lineRule="atLeast"/>
              <w:jc w:val="center"/>
              <w:rPr>
                <w:color w:val="auto"/>
                <w:szCs w:val="21"/>
                <w:highlight w:val="none"/>
              </w:rPr>
            </w:pPr>
          </w:p>
        </w:tc>
        <w:tc>
          <w:tcPr>
            <w:tcW w:w="1080" w:type="dxa"/>
          </w:tcPr>
          <w:p w14:paraId="4A6E94D2">
            <w:pPr>
              <w:topLinePunct/>
              <w:spacing w:line="400" w:lineRule="atLeast"/>
              <w:jc w:val="center"/>
              <w:rPr>
                <w:color w:val="auto"/>
                <w:szCs w:val="21"/>
                <w:highlight w:val="none"/>
              </w:rPr>
            </w:pPr>
          </w:p>
        </w:tc>
        <w:tc>
          <w:tcPr>
            <w:tcW w:w="1112" w:type="dxa"/>
          </w:tcPr>
          <w:p w14:paraId="6B417E8E">
            <w:pPr>
              <w:topLinePunct/>
              <w:spacing w:line="400" w:lineRule="atLeast"/>
              <w:jc w:val="center"/>
              <w:rPr>
                <w:color w:val="auto"/>
                <w:szCs w:val="21"/>
                <w:highlight w:val="none"/>
              </w:rPr>
            </w:pPr>
          </w:p>
        </w:tc>
        <w:tc>
          <w:tcPr>
            <w:tcW w:w="1778" w:type="dxa"/>
          </w:tcPr>
          <w:p w14:paraId="7BF3E2BD">
            <w:pPr>
              <w:topLinePunct/>
              <w:spacing w:line="400" w:lineRule="atLeast"/>
              <w:jc w:val="center"/>
              <w:rPr>
                <w:color w:val="auto"/>
                <w:szCs w:val="21"/>
                <w:highlight w:val="none"/>
              </w:rPr>
            </w:pPr>
          </w:p>
        </w:tc>
        <w:tc>
          <w:tcPr>
            <w:tcW w:w="1080" w:type="dxa"/>
          </w:tcPr>
          <w:p w14:paraId="10589EBC">
            <w:pPr>
              <w:topLinePunct/>
              <w:spacing w:line="400" w:lineRule="atLeast"/>
              <w:jc w:val="center"/>
              <w:rPr>
                <w:color w:val="auto"/>
                <w:szCs w:val="21"/>
                <w:highlight w:val="none"/>
              </w:rPr>
            </w:pPr>
          </w:p>
        </w:tc>
      </w:tr>
      <w:tr w14:paraId="412D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62AB522">
            <w:pPr>
              <w:topLinePunct/>
              <w:spacing w:line="400" w:lineRule="atLeast"/>
              <w:jc w:val="center"/>
              <w:rPr>
                <w:color w:val="auto"/>
                <w:szCs w:val="21"/>
                <w:highlight w:val="none"/>
              </w:rPr>
            </w:pPr>
          </w:p>
        </w:tc>
        <w:tc>
          <w:tcPr>
            <w:tcW w:w="1846" w:type="dxa"/>
          </w:tcPr>
          <w:p w14:paraId="708C5295">
            <w:pPr>
              <w:topLinePunct/>
              <w:spacing w:line="400" w:lineRule="atLeast"/>
              <w:jc w:val="center"/>
              <w:rPr>
                <w:color w:val="auto"/>
                <w:szCs w:val="21"/>
                <w:highlight w:val="none"/>
              </w:rPr>
            </w:pPr>
          </w:p>
        </w:tc>
        <w:tc>
          <w:tcPr>
            <w:tcW w:w="1394" w:type="dxa"/>
          </w:tcPr>
          <w:p w14:paraId="7944CE38">
            <w:pPr>
              <w:topLinePunct/>
              <w:spacing w:line="400" w:lineRule="atLeast"/>
              <w:jc w:val="center"/>
              <w:rPr>
                <w:color w:val="auto"/>
                <w:szCs w:val="21"/>
                <w:highlight w:val="none"/>
              </w:rPr>
            </w:pPr>
          </w:p>
        </w:tc>
        <w:tc>
          <w:tcPr>
            <w:tcW w:w="1080" w:type="dxa"/>
          </w:tcPr>
          <w:p w14:paraId="73C7D52D">
            <w:pPr>
              <w:topLinePunct/>
              <w:spacing w:line="400" w:lineRule="atLeast"/>
              <w:jc w:val="center"/>
              <w:rPr>
                <w:color w:val="auto"/>
                <w:szCs w:val="21"/>
                <w:highlight w:val="none"/>
              </w:rPr>
            </w:pPr>
          </w:p>
        </w:tc>
        <w:tc>
          <w:tcPr>
            <w:tcW w:w="1112" w:type="dxa"/>
          </w:tcPr>
          <w:p w14:paraId="5D56911A">
            <w:pPr>
              <w:topLinePunct/>
              <w:spacing w:line="400" w:lineRule="atLeast"/>
              <w:jc w:val="center"/>
              <w:rPr>
                <w:color w:val="auto"/>
                <w:szCs w:val="21"/>
                <w:highlight w:val="none"/>
              </w:rPr>
            </w:pPr>
          </w:p>
        </w:tc>
        <w:tc>
          <w:tcPr>
            <w:tcW w:w="1778" w:type="dxa"/>
          </w:tcPr>
          <w:p w14:paraId="235BC111">
            <w:pPr>
              <w:topLinePunct/>
              <w:spacing w:line="400" w:lineRule="atLeast"/>
              <w:jc w:val="center"/>
              <w:rPr>
                <w:color w:val="auto"/>
                <w:szCs w:val="21"/>
                <w:highlight w:val="none"/>
              </w:rPr>
            </w:pPr>
          </w:p>
        </w:tc>
        <w:tc>
          <w:tcPr>
            <w:tcW w:w="1080" w:type="dxa"/>
          </w:tcPr>
          <w:p w14:paraId="1F8A4BB3">
            <w:pPr>
              <w:topLinePunct/>
              <w:spacing w:line="400" w:lineRule="atLeast"/>
              <w:jc w:val="center"/>
              <w:rPr>
                <w:color w:val="auto"/>
                <w:szCs w:val="21"/>
                <w:highlight w:val="none"/>
              </w:rPr>
            </w:pPr>
          </w:p>
        </w:tc>
      </w:tr>
      <w:tr w14:paraId="7CF0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102397B">
            <w:pPr>
              <w:topLinePunct/>
              <w:spacing w:line="400" w:lineRule="atLeast"/>
              <w:jc w:val="center"/>
              <w:rPr>
                <w:color w:val="auto"/>
                <w:szCs w:val="21"/>
                <w:highlight w:val="none"/>
              </w:rPr>
            </w:pPr>
          </w:p>
        </w:tc>
        <w:tc>
          <w:tcPr>
            <w:tcW w:w="1846" w:type="dxa"/>
          </w:tcPr>
          <w:p w14:paraId="366BE6F6">
            <w:pPr>
              <w:topLinePunct/>
              <w:spacing w:line="400" w:lineRule="atLeast"/>
              <w:jc w:val="center"/>
              <w:rPr>
                <w:color w:val="auto"/>
                <w:szCs w:val="21"/>
                <w:highlight w:val="none"/>
              </w:rPr>
            </w:pPr>
          </w:p>
        </w:tc>
        <w:tc>
          <w:tcPr>
            <w:tcW w:w="1394" w:type="dxa"/>
          </w:tcPr>
          <w:p w14:paraId="23ABBD11">
            <w:pPr>
              <w:topLinePunct/>
              <w:spacing w:line="400" w:lineRule="atLeast"/>
              <w:jc w:val="center"/>
              <w:rPr>
                <w:color w:val="auto"/>
                <w:szCs w:val="21"/>
                <w:highlight w:val="none"/>
              </w:rPr>
            </w:pPr>
          </w:p>
        </w:tc>
        <w:tc>
          <w:tcPr>
            <w:tcW w:w="1080" w:type="dxa"/>
          </w:tcPr>
          <w:p w14:paraId="52363CC0">
            <w:pPr>
              <w:topLinePunct/>
              <w:spacing w:line="400" w:lineRule="atLeast"/>
              <w:jc w:val="center"/>
              <w:rPr>
                <w:color w:val="auto"/>
                <w:szCs w:val="21"/>
                <w:highlight w:val="none"/>
              </w:rPr>
            </w:pPr>
          </w:p>
        </w:tc>
        <w:tc>
          <w:tcPr>
            <w:tcW w:w="1112" w:type="dxa"/>
          </w:tcPr>
          <w:p w14:paraId="3A42EEF1">
            <w:pPr>
              <w:topLinePunct/>
              <w:spacing w:line="400" w:lineRule="atLeast"/>
              <w:jc w:val="center"/>
              <w:rPr>
                <w:color w:val="auto"/>
                <w:szCs w:val="21"/>
                <w:highlight w:val="none"/>
              </w:rPr>
            </w:pPr>
          </w:p>
        </w:tc>
        <w:tc>
          <w:tcPr>
            <w:tcW w:w="1778" w:type="dxa"/>
          </w:tcPr>
          <w:p w14:paraId="445B3F4F">
            <w:pPr>
              <w:topLinePunct/>
              <w:spacing w:line="400" w:lineRule="atLeast"/>
              <w:jc w:val="center"/>
              <w:rPr>
                <w:color w:val="auto"/>
                <w:szCs w:val="21"/>
                <w:highlight w:val="none"/>
              </w:rPr>
            </w:pPr>
          </w:p>
        </w:tc>
        <w:tc>
          <w:tcPr>
            <w:tcW w:w="1080" w:type="dxa"/>
          </w:tcPr>
          <w:p w14:paraId="582DF32E">
            <w:pPr>
              <w:topLinePunct/>
              <w:spacing w:line="400" w:lineRule="atLeast"/>
              <w:jc w:val="center"/>
              <w:rPr>
                <w:color w:val="auto"/>
                <w:szCs w:val="21"/>
                <w:highlight w:val="none"/>
              </w:rPr>
            </w:pPr>
          </w:p>
        </w:tc>
      </w:tr>
      <w:tr w14:paraId="0EA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232B8A0">
            <w:pPr>
              <w:topLinePunct/>
              <w:spacing w:line="400" w:lineRule="atLeast"/>
              <w:jc w:val="center"/>
              <w:rPr>
                <w:color w:val="auto"/>
                <w:szCs w:val="21"/>
                <w:highlight w:val="none"/>
              </w:rPr>
            </w:pPr>
          </w:p>
        </w:tc>
        <w:tc>
          <w:tcPr>
            <w:tcW w:w="1846" w:type="dxa"/>
          </w:tcPr>
          <w:p w14:paraId="6DA7B9FC">
            <w:pPr>
              <w:topLinePunct/>
              <w:spacing w:line="400" w:lineRule="atLeast"/>
              <w:jc w:val="center"/>
              <w:rPr>
                <w:color w:val="auto"/>
                <w:szCs w:val="21"/>
                <w:highlight w:val="none"/>
              </w:rPr>
            </w:pPr>
          </w:p>
        </w:tc>
        <w:tc>
          <w:tcPr>
            <w:tcW w:w="1394" w:type="dxa"/>
          </w:tcPr>
          <w:p w14:paraId="68842C55">
            <w:pPr>
              <w:topLinePunct/>
              <w:spacing w:line="400" w:lineRule="atLeast"/>
              <w:jc w:val="center"/>
              <w:rPr>
                <w:color w:val="auto"/>
                <w:szCs w:val="21"/>
                <w:highlight w:val="none"/>
              </w:rPr>
            </w:pPr>
          </w:p>
        </w:tc>
        <w:tc>
          <w:tcPr>
            <w:tcW w:w="1080" w:type="dxa"/>
          </w:tcPr>
          <w:p w14:paraId="23507CD3">
            <w:pPr>
              <w:topLinePunct/>
              <w:spacing w:line="400" w:lineRule="atLeast"/>
              <w:jc w:val="center"/>
              <w:rPr>
                <w:color w:val="auto"/>
                <w:szCs w:val="21"/>
                <w:highlight w:val="none"/>
              </w:rPr>
            </w:pPr>
          </w:p>
        </w:tc>
        <w:tc>
          <w:tcPr>
            <w:tcW w:w="1112" w:type="dxa"/>
          </w:tcPr>
          <w:p w14:paraId="375001BD">
            <w:pPr>
              <w:topLinePunct/>
              <w:spacing w:line="400" w:lineRule="atLeast"/>
              <w:jc w:val="center"/>
              <w:rPr>
                <w:color w:val="auto"/>
                <w:szCs w:val="21"/>
                <w:highlight w:val="none"/>
              </w:rPr>
            </w:pPr>
          </w:p>
        </w:tc>
        <w:tc>
          <w:tcPr>
            <w:tcW w:w="1778" w:type="dxa"/>
          </w:tcPr>
          <w:p w14:paraId="1F28BC02">
            <w:pPr>
              <w:topLinePunct/>
              <w:spacing w:line="400" w:lineRule="atLeast"/>
              <w:jc w:val="center"/>
              <w:rPr>
                <w:color w:val="auto"/>
                <w:szCs w:val="21"/>
                <w:highlight w:val="none"/>
              </w:rPr>
            </w:pPr>
          </w:p>
        </w:tc>
        <w:tc>
          <w:tcPr>
            <w:tcW w:w="1080" w:type="dxa"/>
          </w:tcPr>
          <w:p w14:paraId="7A7E9000">
            <w:pPr>
              <w:topLinePunct/>
              <w:spacing w:line="400" w:lineRule="atLeast"/>
              <w:jc w:val="center"/>
              <w:rPr>
                <w:color w:val="auto"/>
                <w:szCs w:val="21"/>
                <w:highlight w:val="none"/>
              </w:rPr>
            </w:pPr>
          </w:p>
        </w:tc>
      </w:tr>
      <w:tr w14:paraId="22B4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748CAE7">
            <w:pPr>
              <w:topLinePunct/>
              <w:spacing w:line="400" w:lineRule="atLeast"/>
              <w:jc w:val="center"/>
              <w:rPr>
                <w:color w:val="auto"/>
                <w:szCs w:val="21"/>
                <w:highlight w:val="none"/>
              </w:rPr>
            </w:pPr>
          </w:p>
        </w:tc>
        <w:tc>
          <w:tcPr>
            <w:tcW w:w="1846" w:type="dxa"/>
          </w:tcPr>
          <w:p w14:paraId="68DCAB25">
            <w:pPr>
              <w:topLinePunct/>
              <w:spacing w:line="400" w:lineRule="atLeast"/>
              <w:jc w:val="center"/>
              <w:rPr>
                <w:color w:val="auto"/>
                <w:szCs w:val="21"/>
                <w:highlight w:val="none"/>
              </w:rPr>
            </w:pPr>
          </w:p>
        </w:tc>
        <w:tc>
          <w:tcPr>
            <w:tcW w:w="1394" w:type="dxa"/>
          </w:tcPr>
          <w:p w14:paraId="253AB995">
            <w:pPr>
              <w:topLinePunct/>
              <w:spacing w:line="400" w:lineRule="atLeast"/>
              <w:jc w:val="center"/>
              <w:rPr>
                <w:color w:val="auto"/>
                <w:szCs w:val="21"/>
                <w:highlight w:val="none"/>
              </w:rPr>
            </w:pPr>
          </w:p>
        </w:tc>
        <w:tc>
          <w:tcPr>
            <w:tcW w:w="1080" w:type="dxa"/>
          </w:tcPr>
          <w:p w14:paraId="2A8A936B">
            <w:pPr>
              <w:topLinePunct/>
              <w:spacing w:line="400" w:lineRule="atLeast"/>
              <w:jc w:val="center"/>
              <w:rPr>
                <w:color w:val="auto"/>
                <w:szCs w:val="21"/>
                <w:highlight w:val="none"/>
              </w:rPr>
            </w:pPr>
          </w:p>
        </w:tc>
        <w:tc>
          <w:tcPr>
            <w:tcW w:w="1112" w:type="dxa"/>
          </w:tcPr>
          <w:p w14:paraId="7CD4A754">
            <w:pPr>
              <w:topLinePunct/>
              <w:spacing w:line="400" w:lineRule="atLeast"/>
              <w:jc w:val="center"/>
              <w:rPr>
                <w:color w:val="auto"/>
                <w:szCs w:val="21"/>
                <w:highlight w:val="none"/>
              </w:rPr>
            </w:pPr>
          </w:p>
        </w:tc>
        <w:tc>
          <w:tcPr>
            <w:tcW w:w="1778" w:type="dxa"/>
          </w:tcPr>
          <w:p w14:paraId="04BD501A">
            <w:pPr>
              <w:topLinePunct/>
              <w:spacing w:line="400" w:lineRule="atLeast"/>
              <w:jc w:val="center"/>
              <w:rPr>
                <w:color w:val="auto"/>
                <w:szCs w:val="21"/>
                <w:highlight w:val="none"/>
              </w:rPr>
            </w:pPr>
          </w:p>
        </w:tc>
        <w:tc>
          <w:tcPr>
            <w:tcW w:w="1080" w:type="dxa"/>
          </w:tcPr>
          <w:p w14:paraId="09C40E6B">
            <w:pPr>
              <w:topLinePunct/>
              <w:spacing w:line="400" w:lineRule="atLeast"/>
              <w:jc w:val="center"/>
              <w:rPr>
                <w:color w:val="auto"/>
                <w:szCs w:val="21"/>
                <w:highlight w:val="none"/>
              </w:rPr>
            </w:pPr>
          </w:p>
        </w:tc>
      </w:tr>
      <w:tr w14:paraId="3DBC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8552129">
            <w:pPr>
              <w:topLinePunct/>
              <w:spacing w:line="400" w:lineRule="atLeast"/>
              <w:jc w:val="center"/>
              <w:rPr>
                <w:color w:val="auto"/>
                <w:szCs w:val="21"/>
                <w:highlight w:val="none"/>
              </w:rPr>
            </w:pPr>
          </w:p>
        </w:tc>
        <w:tc>
          <w:tcPr>
            <w:tcW w:w="1846" w:type="dxa"/>
          </w:tcPr>
          <w:p w14:paraId="5CF95627">
            <w:pPr>
              <w:topLinePunct/>
              <w:spacing w:line="400" w:lineRule="atLeast"/>
              <w:jc w:val="center"/>
              <w:rPr>
                <w:color w:val="auto"/>
                <w:szCs w:val="21"/>
                <w:highlight w:val="none"/>
              </w:rPr>
            </w:pPr>
          </w:p>
        </w:tc>
        <w:tc>
          <w:tcPr>
            <w:tcW w:w="1394" w:type="dxa"/>
          </w:tcPr>
          <w:p w14:paraId="490E5815">
            <w:pPr>
              <w:topLinePunct/>
              <w:spacing w:line="400" w:lineRule="atLeast"/>
              <w:jc w:val="center"/>
              <w:rPr>
                <w:color w:val="auto"/>
                <w:szCs w:val="21"/>
                <w:highlight w:val="none"/>
              </w:rPr>
            </w:pPr>
          </w:p>
        </w:tc>
        <w:tc>
          <w:tcPr>
            <w:tcW w:w="1080" w:type="dxa"/>
          </w:tcPr>
          <w:p w14:paraId="21F007B9">
            <w:pPr>
              <w:topLinePunct/>
              <w:spacing w:line="400" w:lineRule="atLeast"/>
              <w:jc w:val="center"/>
              <w:rPr>
                <w:color w:val="auto"/>
                <w:szCs w:val="21"/>
                <w:highlight w:val="none"/>
              </w:rPr>
            </w:pPr>
          </w:p>
        </w:tc>
        <w:tc>
          <w:tcPr>
            <w:tcW w:w="1112" w:type="dxa"/>
          </w:tcPr>
          <w:p w14:paraId="09E75556">
            <w:pPr>
              <w:topLinePunct/>
              <w:spacing w:line="400" w:lineRule="atLeast"/>
              <w:jc w:val="center"/>
              <w:rPr>
                <w:color w:val="auto"/>
                <w:szCs w:val="21"/>
                <w:highlight w:val="none"/>
              </w:rPr>
            </w:pPr>
          </w:p>
        </w:tc>
        <w:tc>
          <w:tcPr>
            <w:tcW w:w="1778" w:type="dxa"/>
          </w:tcPr>
          <w:p w14:paraId="5ABC9474">
            <w:pPr>
              <w:topLinePunct/>
              <w:spacing w:line="400" w:lineRule="atLeast"/>
              <w:jc w:val="center"/>
              <w:rPr>
                <w:color w:val="auto"/>
                <w:szCs w:val="21"/>
                <w:highlight w:val="none"/>
              </w:rPr>
            </w:pPr>
          </w:p>
        </w:tc>
        <w:tc>
          <w:tcPr>
            <w:tcW w:w="1080" w:type="dxa"/>
          </w:tcPr>
          <w:p w14:paraId="0A948F95">
            <w:pPr>
              <w:topLinePunct/>
              <w:spacing w:line="400" w:lineRule="atLeast"/>
              <w:jc w:val="center"/>
              <w:rPr>
                <w:color w:val="auto"/>
                <w:szCs w:val="21"/>
                <w:highlight w:val="none"/>
              </w:rPr>
            </w:pPr>
          </w:p>
        </w:tc>
      </w:tr>
      <w:tr w14:paraId="3653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92D69B2">
            <w:pPr>
              <w:topLinePunct/>
              <w:spacing w:line="400" w:lineRule="atLeast"/>
              <w:jc w:val="center"/>
              <w:rPr>
                <w:color w:val="auto"/>
                <w:szCs w:val="21"/>
                <w:highlight w:val="none"/>
              </w:rPr>
            </w:pPr>
          </w:p>
        </w:tc>
        <w:tc>
          <w:tcPr>
            <w:tcW w:w="1846" w:type="dxa"/>
          </w:tcPr>
          <w:p w14:paraId="2277F2F3">
            <w:pPr>
              <w:topLinePunct/>
              <w:spacing w:line="400" w:lineRule="atLeast"/>
              <w:jc w:val="center"/>
              <w:rPr>
                <w:color w:val="auto"/>
                <w:szCs w:val="21"/>
                <w:highlight w:val="none"/>
              </w:rPr>
            </w:pPr>
          </w:p>
        </w:tc>
        <w:tc>
          <w:tcPr>
            <w:tcW w:w="1394" w:type="dxa"/>
          </w:tcPr>
          <w:p w14:paraId="0BB71285">
            <w:pPr>
              <w:topLinePunct/>
              <w:spacing w:line="400" w:lineRule="atLeast"/>
              <w:jc w:val="center"/>
              <w:rPr>
                <w:color w:val="auto"/>
                <w:szCs w:val="21"/>
                <w:highlight w:val="none"/>
              </w:rPr>
            </w:pPr>
          </w:p>
        </w:tc>
        <w:tc>
          <w:tcPr>
            <w:tcW w:w="1080" w:type="dxa"/>
          </w:tcPr>
          <w:p w14:paraId="6F1136E6">
            <w:pPr>
              <w:topLinePunct/>
              <w:spacing w:line="400" w:lineRule="atLeast"/>
              <w:jc w:val="center"/>
              <w:rPr>
                <w:color w:val="auto"/>
                <w:szCs w:val="21"/>
                <w:highlight w:val="none"/>
              </w:rPr>
            </w:pPr>
          </w:p>
        </w:tc>
        <w:tc>
          <w:tcPr>
            <w:tcW w:w="1112" w:type="dxa"/>
          </w:tcPr>
          <w:p w14:paraId="6DB56632">
            <w:pPr>
              <w:topLinePunct/>
              <w:spacing w:line="400" w:lineRule="atLeast"/>
              <w:jc w:val="center"/>
              <w:rPr>
                <w:color w:val="auto"/>
                <w:szCs w:val="21"/>
                <w:highlight w:val="none"/>
              </w:rPr>
            </w:pPr>
          </w:p>
        </w:tc>
        <w:tc>
          <w:tcPr>
            <w:tcW w:w="1778" w:type="dxa"/>
          </w:tcPr>
          <w:p w14:paraId="63B0899F">
            <w:pPr>
              <w:topLinePunct/>
              <w:spacing w:line="400" w:lineRule="atLeast"/>
              <w:jc w:val="center"/>
              <w:rPr>
                <w:color w:val="auto"/>
                <w:szCs w:val="21"/>
                <w:highlight w:val="none"/>
              </w:rPr>
            </w:pPr>
          </w:p>
        </w:tc>
        <w:tc>
          <w:tcPr>
            <w:tcW w:w="1080" w:type="dxa"/>
          </w:tcPr>
          <w:p w14:paraId="14485370">
            <w:pPr>
              <w:topLinePunct/>
              <w:spacing w:line="400" w:lineRule="atLeast"/>
              <w:jc w:val="center"/>
              <w:rPr>
                <w:color w:val="auto"/>
                <w:szCs w:val="21"/>
                <w:highlight w:val="none"/>
              </w:rPr>
            </w:pPr>
          </w:p>
        </w:tc>
      </w:tr>
      <w:tr w14:paraId="64A3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D9A45E">
            <w:pPr>
              <w:topLinePunct/>
              <w:spacing w:line="400" w:lineRule="atLeast"/>
              <w:jc w:val="center"/>
              <w:rPr>
                <w:color w:val="auto"/>
                <w:szCs w:val="21"/>
                <w:highlight w:val="none"/>
              </w:rPr>
            </w:pPr>
          </w:p>
        </w:tc>
        <w:tc>
          <w:tcPr>
            <w:tcW w:w="1846" w:type="dxa"/>
          </w:tcPr>
          <w:p w14:paraId="33A8D6AF">
            <w:pPr>
              <w:topLinePunct/>
              <w:spacing w:line="400" w:lineRule="atLeast"/>
              <w:jc w:val="center"/>
              <w:rPr>
                <w:color w:val="auto"/>
                <w:szCs w:val="21"/>
                <w:highlight w:val="none"/>
              </w:rPr>
            </w:pPr>
          </w:p>
        </w:tc>
        <w:tc>
          <w:tcPr>
            <w:tcW w:w="1394" w:type="dxa"/>
          </w:tcPr>
          <w:p w14:paraId="7DFD25A4">
            <w:pPr>
              <w:topLinePunct/>
              <w:spacing w:line="400" w:lineRule="atLeast"/>
              <w:jc w:val="center"/>
              <w:rPr>
                <w:color w:val="auto"/>
                <w:szCs w:val="21"/>
                <w:highlight w:val="none"/>
              </w:rPr>
            </w:pPr>
          </w:p>
        </w:tc>
        <w:tc>
          <w:tcPr>
            <w:tcW w:w="1080" w:type="dxa"/>
          </w:tcPr>
          <w:p w14:paraId="76464B05">
            <w:pPr>
              <w:topLinePunct/>
              <w:spacing w:line="400" w:lineRule="atLeast"/>
              <w:jc w:val="center"/>
              <w:rPr>
                <w:color w:val="auto"/>
                <w:szCs w:val="21"/>
                <w:highlight w:val="none"/>
              </w:rPr>
            </w:pPr>
          </w:p>
        </w:tc>
        <w:tc>
          <w:tcPr>
            <w:tcW w:w="1112" w:type="dxa"/>
          </w:tcPr>
          <w:p w14:paraId="7244982F">
            <w:pPr>
              <w:topLinePunct/>
              <w:spacing w:line="400" w:lineRule="atLeast"/>
              <w:jc w:val="center"/>
              <w:rPr>
                <w:color w:val="auto"/>
                <w:szCs w:val="21"/>
                <w:highlight w:val="none"/>
              </w:rPr>
            </w:pPr>
          </w:p>
        </w:tc>
        <w:tc>
          <w:tcPr>
            <w:tcW w:w="1778" w:type="dxa"/>
          </w:tcPr>
          <w:p w14:paraId="3EDBBF68">
            <w:pPr>
              <w:topLinePunct/>
              <w:spacing w:line="400" w:lineRule="atLeast"/>
              <w:jc w:val="center"/>
              <w:rPr>
                <w:color w:val="auto"/>
                <w:szCs w:val="21"/>
                <w:highlight w:val="none"/>
              </w:rPr>
            </w:pPr>
          </w:p>
        </w:tc>
        <w:tc>
          <w:tcPr>
            <w:tcW w:w="1080" w:type="dxa"/>
          </w:tcPr>
          <w:p w14:paraId="0CD542B6">
            <w:pPr>
              <w:topLinePunct/>
              <w:spacing w:line="400" w:lineRule="atLeast"/>
              <w:jc w:val="center"/>
              <w:rPr>
                <w:color w:val="auto"/>
                <w:szCs w:val="21"/>
                <w:highlight w:val="none"/>
              </w:rPr>
            </w:pPr>
          </w:p>
        </w:tc>
      </w:tr>
      <w:tr w14:paraId="45AE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B04200B">
            <w:pPr>
              <w:topLinePunct/>
              <w:spacing w:line="400" w:lineRule="atLeast"/>
              <w:jc w:val="center"/>
              <w:rPr>
                <w:color w:val="auto"/>
                <w:szCs w:val="21"/>
                <w:highlight w:val="none"/>
              </w:rPr>
            </w:pPr>
          </w:p>
        </w:tc>
        <w:tc>
          <w:tcPr>
            <w:tcW w:w="1846" w:type="dxa"/>
          </w:tcPr>
          <w:p w14:paraId="73F35EE2">
            <w:pPr>
              <w:topLinePunct/>
              <w:spacing w:line="400" w:lineRule="atLeast"/>
              <w:jc w:val="center"/>
              <w:rPr>
                <w:color w:val="auto"/>
                <w:szCs w:val="21"/>
                <w:highlight w:val="none"/>
              </w:rPr>
            </w:pPr>
          </w:p>
        </w:tc>
        <w:tc>
          <w:tcPr>
            <w:tcW w:w="1394" w:type="dxa"/>
          </w:tcPr>
          <w:p w14:paraId="470F5AF0">
            <w:pPr>
              <w:topLinePunct/>
              <w:spacing w:line="400" w:lineRule="atLeast"/>
              <w:jc w:val="center"/>
              <w:rPr>
                <w:color w:val="auto"/>
                <w:szCs w:val="21"/>
                <w:highlight w:val="none"/>
              </w:rPr>
            </w:pPr>
          </w:p>
        </w:tc>
        <w:tc>
          <w:tcPr>
            <w:tcW w:w="1080" w:type="dxa"/>
          </w:tcPr>
          <w:p w14:paraId="60707B06">
            <w:pPr>
              <w:topLinePunct/>
              <w:spacing w:line="400" w:lineRule="atLeast"/>
              <w:jc w:val="center"/>
              <w:rPr>
                <w:color w:val="auto"/>
                <w:szCs w:val="21"/>
                <w:highlight w:val="none"/>
              </w:rPr>
            </w:pPr>
          </w:p>
        </w:tc>
        <w:tc>
          <w:tcPr>
            <w:tcW w:w="1112" w:type="dxa"/>
          </w:tcPr>
          <w:p w14:paraId="256504C7">
            <w:pPr>
              <w:topLinePunct/>
              <w:spacing w:line="400" w:lineRule="atLeast"/>
              <w:jc w:val="center"/>
              <w:rPr>
                <w:color w:val="auto"/>
                <w:szCs w:val="21"/>
                <w:highlight w:val="none"/>
              </w:rPr>
            </w:pPr>
          </w:p>
        </w:tc>
        <w:tc>
          <w:tcPr>
            <w:tcW w:w="1778" w:type="dxa"/>
          </w:tcPr>
          <w:p w14:paraId="3296F880">
            <w:pPr>
              <w:topLinePunct/>
              <w:spacing w:line="400" w:lineRule="atLeast"/>
              <w:jc w:val="center"/>
              <w:rPr>
                <w:color w:val="auto"/>
                <w:szCs w:val="21"/>
                <w:highlight w:val="none"/>
              </w:rPr>
            </w:pPr>
          </w:p>
        </w:tc>
        <w:tc>
          <w:tcPr>
            <w:tcW w:w="1080" w:type="dxa"/>
          </w:tcPr>
          <w:p w14:paraId="6F745602">
            <w:pPr>
              <w:topLinePunct/>
              <w:spacing w:line="400" w:lineRule="atLeast"/>
              <w:jc w:val="center"/>
              <w:rPr>
                <w:color w:val="auto"/>
                <w:szCs w:val="21"/>
                <w:highlight w:val="none"/>
              </w:rPr>
            </w:pPr>
          </w:p>
        </w:tc>
      </w:tr>
      <w:tr w14:paraId="2B50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7CCF4CE">
            <w:pPr>
              <w:topLinePunct/>
              <w:spacing w:line="400" w:lineRule="atLeast"/>
              <w:jc w:val="center"/>
              <w:rPr>
                <w:color w:val="auto"/>
                <w:szCs w:val="21"/>
                <w:highlight w:val="none"/>
              </w:rPr>
            </w:pPr>
          </w:p>
        </w:tc>
        <w:tc>
          <w:tcPr>
            <w:tcW w:w="1846" w:type="dxa"/>
          </w:tcPr>
          <w:p w14:paraId="1938C34D">
            <w:pPr>
              <w:topLinePunct/>
              <w:spacing w:line="400" w:lineRule="atLeast"/>
              <w:jc w:val="center"/>
              <w:rPr>
                <w:color w:val="auto"/>
                <w:szCs w:val="21"/>
                <w:highlight w:val="none"/>
              </w:rPr>
            </w:pPr>
          </w:p>
        </w:tc>
        <w:tc>
          <w:tcPr>
            <w:tcW w:w="1394" w:type="dxa"/>
          </w:tcPr>
          <w:p w14:paraId="652388B1">
            <w:pPr>
              <w:topLinePunct/>
              <w:spacing w:line="400" w:lineRule="atLeast"/>
              <w:jc w:val="center"/>
              <w:rPr>
                <w:color w:val="auto"/>
                <w:szCs w:val="21"/>
                <w:highlight w:val="none"/>
              </w:rPr>
            </w:pPr>
          </w:p>
        </w:tc>
        <w:tc>
          <w:tcPr>
            <w:tcW w:w="1080" w:type="dxa"/>
          </w:tcPr>
          <w:p w14:paraId="14D3DF1F">
            <w:pPr>
              <w:topLinePunct/>
              <w:spacing w:line="400" w:lineRule="atLeast"/>
              <w:jc w:val="center"/>
              <w:rPr>
                <w:color w:val="auto"/>
                <w:szCs w:val="21"/>
                <w:highlight w:val="none"/>
              </w:rPr>
            </w:pPr>
          </w:p>
        </w:tc>
        <w:tc>
          <w:tcPr>
            <w:tcW w:w="1112" w:type="dxa"/>
          </w:tcPr>
          <w:p w14:paraId="214B2D71">
            <w:pPr>
              <w:topLinePunct/>
              <w:spacing w:line="400" w:lineRule="atLeast"/>
              <w:jc w:val="center"/>
              <w:rPr>
                <w:color w:val="auto"/>
                <w:szCs w:val="21"/>
                <w:highlight w:val="none"/>
              </w:rPr>
            </w:pPr>
          </w:p>
        </w:tc>
        <w:tc>
          <w:tcPr>
            <w:tcW w:w="1778" w:type="dxa"/>
          </w:tcPr>
          <w:p w14:paraId="4FF1CC41">
            <w:pPr>
              <w:topLinePunct/>
              <w:spacing w:line="400" w:lineRule="atLeast"/>
              <w:jc w:val="center"/>
              <w:rPr>
                <w:color w:val="auto"/>
                <w:szCs w:val="21"/>
                <w:highlight w:val="none"/>
              </w:rPr>
            </w:pPr>
          </w:p>
        </w:tc>
        <w:tc>
          <w:tcPr>
            <w:tcW w:w="1080" w:type="dxa"/>
          </w:tcPr>
          <w:p w14:paraId="0924993D">
            <w:pPr>
              <w:topLinePunct/>
              <w:spacing w:line="400" w:lineRule="atLeast"/>
              <w:jc w:val="center"/>
              <w:rPr>
                <w:color w:val="auto"/>
                <w:szCs w:val="21"/>
                <w:highlight w:val="none"/>
              </w:rPr>
            </w:pPr>
          </w:p>
        </w:tc>
      </w:tr>
      <w:tr w14:paraId="1DA9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6746E82">
            <w:pPr>
              <w:topLinePunct/>
              <w:spacing w:line="400" w:lineRule="atLeast"/>
              <w:jc w:val="center"/>
              <w:rPr>
                <w:color w:val="auto"/>
                <w:szCs w:val="21"/>
                <w:highlight w:val="none"/>
              </w:rPr>
            </w:pPr>
          </w:p>
        </w:tc>
        <w:tc>
          <w:tcPr>
            <w:tcW w:w="1846" w:type="dxa"/>
          </w:tcPr>
          <w:p w14:paraId="1B43C7D3">
            <w:pPr>
              <w:topLinePunct/>
              <w:spacing w:line="400" w:lineRule="atLeast"/>
              <w:jc w:val="center"/>
              <w:rPr>
                <w:color w:val="auto"/>
                <w:szCs w:val="21"/>
                <w:highlight w:val="none"/>
              </w:rPr>
            </w:pPr>
          </w:p>
        </w:tc>
        <w:tc>
          <w:tcPr>
            <w:tcW w:w="1394" w:type="dxa"/>
          </w:tcPr>
          <w:p w14:paraId="71715AE1">
            <w:pPr>
              <w:topLinePunct/>
              <w:spacing w:line="400" w:lineRule="atLeast"/>
              <w:jc w:val="center"/>
              <w:rPr>
                <w:color w:val="auto"/>
                <w:szCs w:val="21"/>
                <w:highlight w:val="none"/>
              </w:rPr>
            </w:pPr>
          </w:p>
        </w:tc>
        <w:tc>
          <w:tcPr>
            <w:tcW w:w="1080" w:type="dxa"/>
          </w:tcPr>
          <w:p w14:paraId="6B591504">
            <w:pPr>
              <w:topLinePunct/>
              <w:spacing w:line="400" w:lineRule="atLeast"/>
              <w:jc w:val="center"/>
              <w:rPr>
                <w:color w:val="auto"/>
                <w:szCs w:val="21"/>
                <w:highlight w:val="none"/>
              </w:rPr>
            </w:pPr>
          </w:p>
        </w:tc>
        <w:tc>
          <w:tcPr>
            <w:tcW w:w="1112" w:type="dxa"/>
          </w:tcPr>
          <w:p w14:paraId="41DC2BB2">
            <w:pPr>
              <w:topLinePunct/>
              <w:spacing w:line="400" w:lineRule="atLeast"/>
              <w:jc w:val="center"/>
              <w:rPr>
                <w:color w:val="auto"/>
                <w:szCs w:val="21"/>
                <w:highlight w:val="none"/>
              </w:rPr>
            </w:pPr>
          </w:p>
        </w:tc>
        <w:tc>
          <w:tcPr>
            <w:tcW w:w="1778" w:type="dxa"/>
          </w:tcPr>
          <w:p w14:paraId="0CC37E77">
            <w:pPr>
              <w:topLinePunct/>
              <w:spacing w:line="400" w:lineRule="atLeast"/>
              <w:jc w:val="center"/>
              <w:rPr>
                <w:color w:val="auto"/>
                <w:szCs w:val="21"/>
                <w:highlight w:val="none"/>
              </w:rPr>
            </w:pPr>
          </w:p>
        </w:tc>
        <w:tc>
          <w:tcPr>
            <w:tcW w:w="1080" w:type="dxa"/>
          </w:tcPr>
          <w:p w14:paraId="1D634F3A">
            <w:pPr>
              <w:topLinePunct/>
              <w:spacing w:line="400" w:lineRule="atLeast"/>
              <w:jc w:val="center"/>
              <w:rPr>
                <w:color w:val="auto"/>
                <w:szCs w:val="21"/>
                <w:highlight w:val="none"/>
              </w:rPr>
            </w:pPr>
          </w:p>
        </w:tc>
      </w:tr>
    </w:tbl>
    <w:p w14:paraId="4B97B98F">
      <w:pPr>
        <w:rPr>
          <w:color w:val="auto"/>
          <w:highlight w:val="none"/>
        </w:rPr>
      </w:pPr>
    </w:p>
    <w:p w14:paraId="66D5DEFB">
      <w:pPr>
        <w:rPr>
          <w:rFonts w:hint="eastAsia"/>
          <w:color w:val="auto"/>
          <w:szCs w:val="24"/>
          <w:highlight w:val="none"/>
        </w:rPr>
      </w:pPr>
      <w:r>
        <w:rPr>
          <w:rFonts w:hint="eastAsia"/>
          <w:color w:val="auto"/>
          <w:szCs w:val="24"/>
          <w:highlight w:val="none"/>
        </w:rPr>
        <w:br w:type="page"/>
      </w:r>
    </w:p>
    <w:p w14:paraId="694B09AD">
      <w:pPr>
        <w:bidi w:val="0"/>
        <w:jc w:val="center"/>
        <w:rPr>
          <w:rFonts w:hint="eastAsia" w:ascii="黑体" w:hAnsi="黑体" w:eastAsia="黑体" w:cs="黑体"/>
          <w:color w:val="auto"/>
          <w:sz w:val="24"/>
          <w:szCs w:val="24"/>
          <w:highlight w:val="none"/>
        </w:rPr>
      </w:pPr>
      <w:bookmarkStart w:id="2289" w:name="_Toc122603097"/>
      <w:r>
        <w:rPr>
          <w:rFonts w:hint="eastAsia" w:ascii="黑体" w:hAnsi="黑体" w:eastAsia="黑体" w:cs="黑体"/>
          <w:color w:val="auto"/>
          <w:sz w:val="24"/>
          <w:szCs w:val="24"/>
          <w:highlight w:val="none"/>
        </w:rPr>
        <w:t>正在施工的和新承接的项目情况表</w:t>
      </w:r>
      <w:bookmarkEnd w:id="2289"/>
    </w:p>
    <w:p w14:paraId="4E163642">
      <w:pPr>
        <w:pStyle w:val="32"/>
        <w:jc w:val="center"/>
        <w:outlineLvl w:val="2"/>
        <w:rPr>
          <w:rFonts w:hint="eastAsia"/>
          <w:color w:val="auto"/>
          <w:szCs w:val="24"/>
          <w:highlight w:val="non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3BEF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14:paraId="76540A6A">
            <w:pPr>
              <w:topLinePunct/>
              <w:spacing w:line="440" w:lineRule="exact"/>
              <w:jc w:val="center"/>
              <w:rPr>
                <w:color w:val="auto"/>
                <w:szCs w:val="21"/>
                <w:highlight w:val="none"/>
              </w:rPr>
            </w:pPr>
            <w:r>
              <w:rPr>
                <w:color w:val="auto"/>
                <w:szCs w:val="21"/>
                <w:highlight w:val="none"/>
              </w:rPr>
              <w:t>项目名称</w:t>
            </w:r>
          </w:p>
        </w:tc>
        <w:tc>
          <w:tcPr>
            <w:tcW w:w="6403" w:type="dxa"/>
          </w:tcPr>
          <w:p w14:paraId="491BE33A">
            <w:pPr>
              <w:topLinePunct/>
              <w:spacing w:line="440" w:lineRule="exact"/>
              <w:rPr>
                <w:color w:val="auto"/>
                <w:szCs w:val="21"/>
                <w:highlight w:val="none"/>
              </w:rPr>
            </w:pPr>
          </w:p>
        </w:tc>
      </w:tr>
      <w:tr w14:paraId="6E95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14:paraId="41B8E854">
            <w:pPr>
              <w:topLinePunct/>
              <w:spacing w:line="440" w:lineRule="exact"/>
              <w:jc w:val="center"/>
              <w:rPr>
                <w:color w:val="auto"/>
                <w:szCs w:val="21"/>
                <w:highlight w:val="none"/>
              </w:rPr>
            </w:pPr>
            <w:r>
              <w:rPr>
                <w:color w:val="auto"/>
                <w:szCs w:val="21"/>
                <w:highlight w:val="none"/>
              </w:rPr>
              <w:t>项目所在地</w:t>
            </w:r>
          </w:p>
        </w:tc>
        <w:tc>
          <w:tcPr>
            <w:tcW w:w="6403" w:type="dxa"/>
          </w:tcPr>
          <w:p w14:paraId="5E51DBA7">
            <w:pPr>
              <w:topLinePunct/>
              <w:spacing w:line="440" w:lineRule="exact"/>
              <w:rPr>
                <w:color w:val="auto"/>
                <w:szCs w:val="21"/>
                <w:highlight w:val="none"/>
              </w:rPr>
            </w:pPr>
          </w:p>
        </w:tc>
      </w:tr>
      <w:tr w14:paraId="2FE1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14:paraId="0B2116FA">
            <w:pPr>
              <w:topLinePunct/>
              <w:spacing w:line="440" w:lineRule="exact"/>
              <w:jc w:val="center"/>
              <w:rPr>
                <w:color w:val="auto"/>
                <w:szCs w:val="21"/>
                <w:highlight w:val="none"/>
              </w:rPr>
            </w:pPr>
            <w:r>
              <w:rPr>
                <w:color w:val="auto"/>
                <w:szCs w:val="21"/>
                <w:highlight w:val="none"/>
              </w:rPr>
              <w:t>发包人名称</w:t>
            </w:r>
          </w:p>
        </w:tc>
        <w:tc>
          <w:tcPr>
            <w:tcW w:w="6403" w:type="dxa"/>
          </w:tcPr>
          <w:p w14:paraId="249999E5">
            <w:pPr>
              <w:topLinePunct/>
              <w:spacing w:line="440" w:lineRule="exact"/>
              <w:rPr>
                <w:color w:val="auto"/>
                <w:szCs w:val="21"/>
                <w:highlight w:val="none"/>
              </w:rPr>
            </w:pPr>
          </w:p>
        </w:tc>
      </w:tr>
      <w:tr w14:paraId="6983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14:paraId="103D2AD1">
            <w:pPr>
              <w:topLinePunct/>
              <w:spacing w:line="440" w:lineRule="exact"/>
              <w:jc w:val="center"/>
              <w:rPr>
                <w:color w:val="auto"/>
                <w:szCs w:val="21"/>
                <w:highlight w:val="none"/>
              </w:rPr>
            </w:pPr>
            <w:r>
              <w:rPr>
                <w:color w:val="auto"/>
                <w:szCs w:val="21"/>
                <w:highlight w:val="none"/>
              </w:rPr>
              <w:t>发包人地址</w:t>
            </w:r>
          </w:p>
        </w:tc>
        <w:tc>
          <w:tcPr>
            <w:tcW w:w="6403" w:type="dxa"/>
          </w:tcPr>
          <w:p w14:paraId="062FF719">
            <w:pPr>
              <w:topLinePunct/>
              <w:spacing w:line="440" w:lineRule="exact"/>
              <w:rPr>
                <w:color w:val="auto"/>
                <w:szCs w:val="21"/>
                <w:highlight w:val="none"/>
              </w:rPr>
            </w:pPr>
          </w:p>
        </w:tc>
      </w:tr>
      <w:tr w14:paraId="6DFD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14:paraId="5826719E">
            <w:pPr>
              <w:topLinePunct/>
              <w:spacing w:line="440" w:lineRule="exact"/>
              <w:jc w:val="center"/>
              <w:rPr>
                <w:color w:val="auto"/>
                <w:szCs w:val="21"/>
                <w:highlight w:val="none"/>
              </w:rPr>
            </w:pPr>
            <w:r>
              <w:rPr>
                <w:color w:val="auto"/>
                <w:szCs w:val="21"/>
                <w:highlight w:val="none"/>
              </w:rPr>
              <w:t>发包人电话</w:t>
            </w:r>
          </w:p>
        </w:tc>
        <w:tc>
          <w:tcPr>
            <w:tcW w:w="6403" w:type="dxa"/>
          </w:tcPr>
          <w:p w14:paraId="0808A488">
            <w:pPr>
              <w:topLinePunct/>
              <w:spacing w:line="440" w:lineRule="exact"/>
              <w:rPr>
                <w:color w:val="auto"/>
                <w:szCs w:val="21"/>
                <w:highlight w:val="none"/>
              </w:rPr>
            </w:pPr>
          </w:p>
        </w:tc>
      </w:tr>
      <w:tr w14:paraId="2D7D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14:paraId="514CEB56">
            <w:pPr>
              <w:topLinePunct/>
              <w:spacing w:line="440" w:lineRule="exact"/>
              <w:jc w:val="center"/>
              <w:rPr>
                <w:rFonts w:hint="eastAsia"/>
                <w:color w:val="auto"/>
                <w:szCs w:val="21"/>
                <w:highlight w:val="none"/>
              </w:rPr>
            </w:pPr>
            <w:r>
              <w:rPr>
                <w:color w:val="auto"/>
                <w:szCs w:val="21"/>
                <w:highlight w:val="none"/>
              </w:rPr>
              <w:t>签约合同价</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6403" w:type="dxa"/>
          </w:tcPr>
          <w:p w14:paraId="0F31FED6">
            <w:pPr>
              <w:topLinePunct/>
              <w:spacing w:line="440" w:lineRule="exact"/>
              <w:rPr>
                <w:color w:val="auto"/>
                <w:szCs w:val="21"/>
                <w:highlight w:val="none"/>
              </w:rPr>
            </w:pPr>
          </w:p>
        </w:tc>
      </w:tr>
      <w:tr w14:paraId="3BF7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14:paraId="3C063F44">
            <w:pPr>
              <w:topLinePunct/>
              <w:spacing w:line="440" w:lineRule="exact"/>
              <w:jc w:val="center"/>
              <w:rPr>
                <w:color w:val="auto"/>
                <w:szCs w:val="21"/>
                <w:highlight w:val="none"/>
              </w:rPr>
            </w:pPr>
            <w:r>
              <w:rPr>
                <w:color w:val="auto"/>
                <w:szCs w:val="21"/>
                <w:highlight w:val="none"/>
              </w:rPr>
              <w:t>开工日期</w:t>
            </w:r>
          </w:p>
        </w:tc>
        <w:tc>
          <w:tcPr>
            <w:tcW w:w="6403" w:type="dxa"/>
          </w:tcPr>
          <w:p w14:paraId="6F162053">
            <w:pPr>
              <w:topLinePunct/>
              <w:spacing w:line="440" w:lineRule="exact"/>
              <w:rPr>
                <w:color w:val="auto"/>
                <w:szCs w:val="21"/>
                <w:highlight w:val="none"/>
              </w:rPr>
            </w:pPr>
          </w:p>
        </w:tc>
      </w:tr>
      <w:tr w14:paraId="3076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14:paraId="48CD5CA0">
            <w:pPr>
              <w:topLinePunct/>
              <w:spacing w:line="440" w:lineRule="exact"/>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403" w:type="dxa"/>
          </w:tcPr>
          <w:p w14:paraId="78F3BA70">
            <w:pPr>
              <w:topLinePunct/>
              <w:spacing w:line="440" w:lineRule="exact"/>
              <w:rPr>
                <w:color w:val="auto"/>
                <w:szCs w:val="21"/>
                <w:highlight w:val="none"/>
              </w:rPr>
            </w:pPr>
          </w:p>
        </w:tc>
      </w:tr>
      <w:tr w14:paraId="246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14:paraId="7547C855">
            <w:pPr>
              <w:topLinePunct/>
              <w:spacing w:line="440" w:lineRule="exact"/>
              <w:jc w:val="center"/>
              <w:rPr>
                <w:color w:val="auto"/>
                <w:szCs w:val="21"/>
                <w:highlight w:val="none"/>
              </w:rPr>
            </w:pPr>
            <w:r>
              <w:rPr>
                <w:color w:val="auto"/>
                <w:szCs w:val="21"/>
                <w:highlight w:val="none"/>
              </w:rPr>
              <w:t>承担的工作</w:t>
            </w:r>
          </w:p>
        </w:tc>
        <w:tc>
          <w:tcPr>
            <w:tcW w:w="6403" w:type="dxa"/>
          </w:tcPr>
          <w:p w14:paraId="214882CD">
            <w:pPr>
              <w:topLinePunct/>
              <w:spacing w:line="440" w:lineRule="exact"/>
              <w:rPr>
                <w:color w:val="auto"/>
                <w:szCs w:val="21"/>
                <w:highlight w:val="none"/>
              </w:rPr>
            </w:pPr>
          </w:p>
        </w:tc>
      </w:tr>
      <w:tr w14:paraId="6F84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14:paraId="6534096F">
            <w:pPr>
              <w:topLinePunct/>
              <w:spacing w:line="440" w:lineRule="exact"/>
              <w:jc w:val="center"/>
              <w:rPr>
                <w:color w:val="auto"/>
                <w:szCs w:val="21"/>
                <w:highlight w:val="none"/>
              </w:rPr>
            </w:pPr>
            <w:r>
              <w:rPr>
                <w:color w:val="auto"/>
                <w:szCs w:val="21"/>
                <w:highlight w:val="none"/>
              </w:rPr>
              <w:t>工程质量</w:t>
            </w:r>
          </w:p>
        </w:tc>
        <w:tc>
          <w:tcPr>
            <w:tcW w:w="6403" w:type="dxa"/>
          </w:tcPr>
          <w:p w14:paraId="43DB7701">
            <w:pPr>
              <w:topLinePunct/>
              <w:spacing w:line="440" w:lineRule="exact"/>
              <w:rPr>
                <w:color w:val="auto"/>
                <w:szCs w:val="21"/>
                <w:highlight w:val="none"/>
              </w:rPr>
            </w:pPr>
          </w:p>
        </w:tc>
      </w:tr>
      <w:tr w14:paraId="0058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14:paraId="282FA4C2">
            <w:pPr>
              <w:topLinePunct/>
              <w:spacing w:line="440" w:lineRule="exact"/>
              <w:jc w:val="center"/>
              <w:rPr>
                <w:color w:val="auto"/>
                <w:szCs w:val="21"/>
                <w:highlight w:val="none"/>
              </w:rPr>
            </w:pPr>
            <w:r>
              <w:rPr>
                <w:color w:val="auto"/>
                <w:szCs w:val="21"/>
                <w:highlight w:val="none"/>
              </w:rPr>
              <w:t>项目经理</w:t>
            </w:r>
          </w:p>
        </w:tc>
        <w:tc>
          <w:tcPr>
            <w:tcW w:w="6403" w:type="dxa"/>
          </w:tcPr>
          <w:p w14:paraId="02E33E54">
            <w:pPr>
              <w:topLinePunct/>
              <w:spacing w:line="440" w:lineRule="exact"/>
              <w:rPr>
                <w:color w:val="auto"/>
                <w:szCs w:val="21"/>
                <w:highlight w:val="none"/>
              </w:rPr>
            </w:pPr>
          </w:p>
        </w:tc>
      </w:tr>
      <w:tr w14:paraId="18C0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14:paraId="3504297A">
            <w:pPr>
              <w:topLinePunct/>
              <w:spacing w:line="440" w:lineRule="exact"/>
              <w:jc w:val="center"/>
              <w:rPr>
                <w:color w:val="auto"/>
                <w:szCs w:val="21"/>
                <w:highlight w:val="none"/>
              </w:rPr>
            </w:pPr>
            <w:r>
              <w:rPr>
                <w:color w:val="auto"/>
                <w:szCs w:val="21"/>
                <w:highlight w:val="none"/>
              </w:rPr>
              <w:t>技术负责人</w:t>
            </w:r>
          </w:p>
        </w:tc>
        <w:tc>
          <w:tcPr>
            <w:tcW w:w="6403" w:type="dxa"/>
          </w:tcPr>
          <w:p w14:paraId="22A30DD7">
            <w:pPr>
              <w:topLinePunct/>
              <w:spacing w:line="440" w:lineRule="exact"/>
              <w:rPr>
                <w:color w:val="auto"/>
                <w:szCs w:val="21"/>
                <w:highlight w:val="none"/>
              </w:rPr>
            </w:pPr>
          </w:p>
        </w:tc>
      </w:tr>
      <w:tr w14:paraId="37BC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14:paraId="3B200DEC">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403" w:type="dxa"/>
            <w:vAlign w:val="center"/>
          </w:tcPr>
          <w:p w14:paraId="589BD771">
            <w:pPr>
              <w:jc w:val="center"/>
              <w:rPr>
                <w:rFonts w:hint="eastAsia" w:ascii="宋体" w:hAnsi="宋体"/>
                <w:color w:val="auto"/>
                <w:szCs w:val="21"/>
                <w:highlight w:val="none"/>
              </w:rPr>
            </w:pPr>
          </w:p>
        </w:tc>
      </w:tr>
      <w:tr w14:paraId="66E5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63475636">
            <w:pPr>
              <w:topLinePunct/>
              <w:spacing w:line="440" w:lineRule="exact"/>
              <w:jc w:val="center"/>
              <w:rPr>
                <w:color w:val="auto"/>
                <w:szCs w:val="21"/>
                <w:highlight w:val="none"/>
              </w:rPr>
            </w:pPr>
            <w:r>
              <w:rPr>
                <w:color w:val="auto"/>
                <w:szCs w:val="21"/>
                <w:highlight w:val="none"/>
              </w:rPr>
              <w:t>项目描述</w:t>
            </w:r>
          </w:p>
        </w:tc>
        <w:tc>
          <w:tcPr>
            <w:tcW w:w="6403" w:type="dxa"/>
          </w:tcPr>
          <w:p w14:paraId="0222E536">
            <w:pPr>
              <w:topLinePunct/>
              <w:spacing w:line="440" w:lineRule="exact"/>
              <w:rPr>
                <w:color w:val="auto"/>
                <w:szCs w:val="21"/>
                <w:highlight w:val="none"/>
              </w:rPr>
            </w:pPr>
          </w:p>
          <w:p w14:paraId="7D333EF7">
            <w:pPr>
              <w:topLinePunct/>
              <w:spacing w:line="440" w:lineRule="exact"/>
              <w:rPr>
                <w:color w:val="auto"/>
                <w:szCs w:val="21"/>
                <w:highlight w:val="none"/>
              </w:rPr>
            </w:pPr>
          </w:p>
          <w:p w14:paraId="524EFC36">
            <w:pPr>
              <w:topLinePunct/>
              <w:spacing w:line="440" w:lineRule="exact"/>
              <w:rPr>
                <w:color w:val="auto"/>
                <w:szCs w:val="21"/>
                <w:highlight w:val="none"/>
              </w:rPr>
            </w:pPr>
          </w:p>
          <w:p w14:paraId="1F50E2E7">
            <w:pPr>
              <w:topLinePunct/>
              <w:spacing w:line="440" w:lineRule="exact"/>
              <w:rPr>
                <w:color w:val="auto"/>
                <w:szCs w:val="21"/>
                <w:highlight w:val="none"/>
              </w:rPr>
            </w:pPr>
          </w:p>
          <w:p w14:paraId="22966585">
            <w:pPr>
              <w:topLinePunct/>
              <w:spacing w:line="440" w:lineRule="exact"/>
              <w:rPr>
                <w:color w:val="auto"/>
                <w:szCs w:val="21"/>
                <w:highlight w:val="none"/>
              </w:rPr>
            </w:pPr>
          </w:p>
        </w:tc>
      </w:tr>
      <w:tr w14:paraId="79B2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41761911">
            <w:pPr>
              <w:topLinePunct/>
              <w:spacing w:line="440" w:lineRule="exact"/>
              <w:jc w:val="center"/>
              <w:rPr>
                <w:color w:val="auto"/>
                <w:szCs w:val="21"/>
                <w:highlight w:val="none"/>
              </w:rPr>
            </w:pPr>
            <w:r>
              <w:rPr>
                <w:color w:val="auto"/>
                <w:szCs w:val="21"/>
                <w:highlight w:val="none"/>
              </w:rPr>
              <w:t>备注</w:t>
            </w:r>
          </w:p>
        </w:tc>
        <w:tc>
          <w:tcPr>
            <w:tcW w:w="6403" w:type="dxa"/>
          </w:tcPr>
          <w:p w14:paraId="3DF434D0">
            <w:pPr>
              <w:topLinePunct/>
              <w:spacing w:line="440" w:lineRule="exact"/>
              <w:rPr>
                <w:color w:val="auto"/>
                <w:szCs w:val="21"/>
                <w:highlight w:val="none"/>
              </w:rPr>
            </w:pPr>
          </w:p>
        </w:tc>
      </w:tr>
    </w:tbl>
    <w:p w14:paraId="325E53D8">
      <w:pPr>
        <w:rPr>
          <w:color w:val="auto"/>
          <w:highlight w:val="none"/>
        </w:rPr>
      </w:pPr>
      <w:r>
        <w:rPr>
          <w:rFonts w:hint="eastAsia" w:ascii="宋体" w:hAnsi="宋体"/>
          <w:color w:val="auto"/>
          <w:highlight w:val="none"/>
        </w:rPr>
        <w:t>备注：类似项目含义和近年具体要求见投标人须知前附表。</w:t>
      </w:r>
    </w:p>
    <w:p w14:paraId="0D8989E0">
      <w:pPr>
        <w:pStyle w:val="32"/>
        <w:jc w:val="center"/>
        <w:rPr>
          <w:rFonts w:hint="eastAsia"/>
          <w:color w:val="auto"/>
          <w:szCs w:val="24"/>
          <w:highlight w:val="none"/>
        </w:rPr>
        <w:sectPr>
          <w:footerReference r:id="rId4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DDA0E6C">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color w:val="auto"/>
          <w:highlight w:val="none"/>
        </w:rPr>
        <w:sectPr>
          <w:footerReference r:id="rId4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290" w:name="_Toc122603098"/>
      <w:bookmarkStart w:id="2291" w:name="_Toc256000229"/>
      <w:r>
        <w:rPr>
          <w:rFonts w:hint="eastAsia"/>
          <w:color w:val="auto"/>
          <w:szCs w:val="24"/>
          <w:highlight w:val="none"/>
          <w:lang w:eastAsia="zh-CN"/>
        </w:rPr>
        <w:t>（</w:t>
      </w:r>
      <w:r>
        <w:rPr>
          <w:rFonts w:hint="default"/>
          <w:color w:val="auto"/>
          <w:szCs w:val="24"/>
          <w:highlight w:val="none"/>
        </w:rPr>
        <w:t>五</w:t>
      </w:r>
      <w:r>
        <w:rPr>
          <w:rFonts w:hint="eastAsia"/>
          <w:color w:val="auto"/>
          <w:szCs w:val="24"/>
          <w:highlight w:val="none"/>
          <w:lang w:eastAsia="zh-CN"/>
        </w:rPr>
        <w:t>）</w:t>
      </w:r>
      <w:r>
        <w:rPr>
          <w:rFonts w:hint="eastAsia"/>
          <w:color w:val="auto"/>
          <w:szCs w:val="24"/>
          <w:highlight w:val="none"/>
        </w:rPr>
        <w:t>企业信誉情况</w:t>
      </w:r>
      <w:bookmarkEnd w:id="2290"/>
      <w:bookmarkEnd w:id="2291"/>
    </w:p>
    <w:p w14:paraId="2549084B">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292" w:name="_Toc122603099"/>
      <w:bookmarkStart w:id="2293" w:name="_Toc256000230"/>
      <w:r>
        <w:rPr>
          <w:rFonts w:hint="eastAsia" w:ascii="黑体" w:hAnsi="黑体" w:eastAsia="黑体" w:cs="黑体"/>
          <w:color w:val="auto"/>
          <w:szCs w:val="24"/>
          <w:highlight w:val="none"/>
        </w:rPr>
        <w:t>5-1</w:t>
      </w:r>
      <w:r>
        <w:rPr>
          <w:rFonts w:hint="eastAsia" w:ascii="黑体" w:hAnsi="黑体" w:eastAsia="黑体" w:cs="黑体"/>
          <w:color w:val="auto"/>
          <w:szCs w:val="24"/>
          <w:highlight w:val="none"/>
          <w:lang w:val="en-US" w:eastAsia="zh-CN"/>
        </w:rPr>
        <w:t xml:space="preserve"> </w:t>
      </w:r>
      <w:r>
        <w:rPr>
          <w:rFonts w:hint="eastAsia" w:ascii="宋体" w:hAnsi="宋体"/>
          <w:color w:val="auto"/>
          <w:szCs w:val="21"/>
          <w:highlight w:val="none"/>
        </w:rPr>
        <w:t>企业信誉声明</w:t>
      </w:r>
      <w:bookmarkEnd w:id="2292"/>
      <w:bookmarkEnd w:id="2293"/>
    </w:p>
    <w:p w14:paraId="32D09A6B">
      <w:pPr>
        <w:rPr>
          <w:rFonts w:hint="eastAsia" w:ascii="宋体" w:hAnsi="宋体"/>
          <w:color w:val="auto"/>
          <w:highlight w:val="none"/>
          <w:u w:val="single"/>
        </w:rPr>
      </w:pPr>
    </w:p>
    <w:p w14:paraId="5C4060F7">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5E24A436">
      <w:pPr>
        <w:rPr>
          <w:rFonts w:ascii="宋体" w:hAnsi="宋体"/>
          <w:color w:val="auto"/>
          <w:highlight w:val="none"/>
        </w:rPr>
      </w:pPr>
    </w:p>
    <w:p w14:paraId="4B59317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47FFDC68">
      <w:pPr>
        <w:spacing w:line="400" w:lineRule="exact"/>
        <w:ind w:firstLine="420" w:firstLineChars="200"/>
        <w:rPr>
          <w:color w:val="auto"/>
          <w:highlight w:val="none"/>
        </w:rPr>
      </w:pPr>
      <w:r>
        <w:rPr>
          <w:rFonts w:hint="eastAsia"/>
          <w:color w:val="auto"/>
          <w:highlight w:val="none"/>
        </w:rPr>
        <w:t>1.被依法暂停或取消投标资格；</w:t>
      </w:r>
    </w:p>
    <w:p w14:paraId="1DEDCBDA">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3F525FC1">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6D4D1780">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046AF88B">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77644E9C">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67878576">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3AB033AC">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w:t>
      </w:r>
      <w:r>
        <w:rPr>
          <w:rFonts w:hint="eastAsia"/>
          <w:color w:val="auto"/>
          <w:highlight w:val="none"/>
        </w:rPr>
        <w:t>目规定的其他情形。</w:t>
      </w:r>
    </w:p>
    <w:p w14:paraId="381614E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1820ED3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后附：上述条款5、6、7网站查询结果截图。</w:t>
      </w:r>
    </w:p>
    <w:p w14:paraId="3B801F4B">
      <w:pPr>
        <w:spacing w:line="440" w:lineRule="exact"/>
        <w:ind w:firstLine="420" w:firstLineChars="200"/>
        <w:rPr>
          <w:rFonts w:ascii="宋体" w:hAnsi="宋体"/>
          <w:color w:val="auto"/>
          <w:szCs w:val="21"/>
          <w:highlight w:val="none"/>
        </w:rPr>
      </w:pPr>
    </w:p>
    <w:p w14:paraId="0D3641C0">
      <w:pPr>
        <w:spacing w:line="440" w:lineRule="exact"/>
        <w:ind w:firstLine="3990" w:firstLineChars="19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D4FC5B3">
      <w:pPr>
        <w:spacing w:line="440" w:lineRule="exact"/>
        <w:ind w:firstLine="2730" w:firstLineChars="1300"/>
        <w:rPr>
          <w:rFonts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45770802">
      <w:pPr>
        <w:spacing w:line="440" w:lineRule="exact"/>
        <w:ind w:firstLine="420" w:firstLineChars="200"/>
        <w:rPr>
          <w:rFonts w:ascii="宋体" w:hAnsi="宋体"/>
          <w:color w:val="auto"/>
          <w:szCs w:val="21"/>
          <w:highlight w:val="none"/>
        </w:rPr>
      </w:pPr>
    </w:p>
    <w:p w14:paraId="59C3FF7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2EDD93EC">
      <w:pPr>
        <w:spacing w:line="440" w:lineRule="exact"/>
        <w:rPr>
          <w:rFonts w:ascii="宋体" w:hAnsi="宋体"/>
          <w:color w:val="auto"/>
          <w:szCs w:val="21"/>
          <w:highlight w:val="none"/>
        </w:rPr>
      </w:pPr>
    </w:p>
    <w:p w14:paraId="2F7D08CC">
      <w:pPr>
        <w:spacing w:line="440" w:lineRule="exact"/>
        <w:rPr>
          <w:rFonts w:ascii="宋体" w:hAnsi="宋体"/>
          <w:color w:val="auto"/>
          <w:szCs w:val="21"/>
          <w:highlight w:val="none"/>
        </w:rPr>
      </w:pPr>
    </w:p>
    <w:p w14:paraId="7AB7F898">
      <w:pPr>
        <w:ind w:left="840" w:hanging="840" w:hangingChars="400"/>
        <w:rPr>
          <w:rFonts w:ascii="宋体" w:hAnsi="宋体"/>
          <w:color w:val="auto"/>
          <w:highlight w:val="none"/>
        </w:rPr>
      </w:pPr>
      <w:r>
        <w:rPr>
          <w:rFonts w:hint="eastAsia" w:ascii="宋体" w:hAnsi="宋体"/>
          <w:color w:val="auto"/>
          <w:highlight w:val="none"/>
        </w:rPr>
        <w:t>备注：1.投标人应针对第二章“投标人须知”第1.4.1项和第1.4.3项的要求，在此对其信誉情况</w:t>
      </w:r>
      <w:r>
        <w:rPr>
          <w:rFonts w:hint="eastAsia" w:ascii="宋体" w:hAnsi="宋体"/>
          <w:color w:val="auto"/>
          <w:highlight w:val="none"/>
          <w:lang w:val="en-US" w:eastAsia="zh-CN"/>
        </w:rPr>
        <w:t>作</w:t>
      </w:r>
      <w:r>
        <w:rPr>
          <w:rFonts w:hint="eastAsia" w:ascii="宋体" w:hAnsi="宋体"/>
          <w:color w:val="auto"/>
          <w:highlight w:val="none"/>
        </w:rPr>
        <w:t>出说明。如上格式文件所示。</w:t>
      </w:r>
    </w:p>
    <w:p w14:paraId="1A659F88">
      <w:pPr>
        <w:rPr>
          <w:color w:val="auto"/>
          <w:highlight w:val="none"/>
        </w:rPr>
        <w:sectPr>
          <w:footerReference r:id="rId4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w:t>
      </w:r>
      <w:r>
        <w:rPr>
          <w:rFonts w:hint="eastAsia" w:ascii="宋体" w:hAnsi="宋体"/>
          <w:color w:val="auto"/>
          <w:highlight w:val="none"/>
          <w:lang w:val="en-US" w:eastAsia="zh-CN"/>
        </w:rPr>
        <w:t>作</w:t>
      </w:r>
      <w:r>
        <w:rPr>
          <w:rFonts w:hint="eastAsia" w:ascii="宋体" w:hAnsi="宋体"/>
          <w:color w:val="auto"/>
          <w:highlight w:val="none"/>
        </w:rPr>
        <w:t>出说明。</w:t>
      </w:r>
    </w:p>
    <w:p w14:paraId="13757AC2">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294" w:name="_Toc256000231"/>
      <w:bookmarkStart w:id="2295" w:name="_Toc122603100"/>
      <w:r>
        <w:rPr>
          <w:rFonts w:hint="default"/>
          <w:color w:val="auto"/>
          <w:szCs w:val="24"/>
          <w:highlight w:val="none"/>
        </w:rPr>
        <w:t>5-2</w:t>
      </w:r>
      <w:r>
        <w:rPr>
          <w:rFonts w:hint="eastAsia"/>
          <w:color w:val="auto"/>
          <w:szCs w:val="24"/>
          <w:highlight w:val="none"/>
        </w:rPr>
        <w:t xml:space="preserve"> 近年发生的诉讼和仲裁情况</w:t>
      </w:r>
      <w:bookmarkEnd w:id="2294"/>
      <w:bookmarkEnd w:id="2295"/>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23104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14:paraId="3CFE61A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noWrap w:val="0"/>
            <w:vAlign w:val="center"/>
          </w:tcPr>
          <w:p w14:paraId="4FD9640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noWrap w:val="0"/>
            <w:vAlign w:val="center"/>
          </w:tcPr>
          <w:p w14:paraId="0903A35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发生时间</w:t>
            </w:r>
          </w:p>
        </w:tc>
        <w:tc>
          <w:tcPr>
            <w:tcW w:w="3600" w:type="dxa"/>
            <w:noWrap w:val="0"/>
            <w:vAlign w:val="center"/>
          </w:tcPr>
          <w:p w14:paraId="6BEE0BB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情况简介</w:t>
            </w:r>
          </w:p>
        </w:tc>
        <w:tc>
          <w:tcPr>
            <w:tcW w:w="1952" w:type="dxa"/>
            <w:noWrap w:val="0"/>
            <w:vAlign w:val="center"/>
          </w:tcPr>
          <w:p w14:paraId="44BD9B5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491C3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699E28B8">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诉</w:t>
            </w:r>
          </w:p>
          <w:p w14:paraId="10F9E6B0">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讼</w:t>
            </w:r>
          </w:p>
          <w:p w14:paraId="5ED5D869">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69C0E6F0">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77F6161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11F9660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040C976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738734E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53C2D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57FD1FD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6BAE978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4D62A2E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6876307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346C108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8A89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2DFF68B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71AE8C9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4D152C2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3282BA4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1E8843E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7852A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376A7CE4">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仲</w:t>
            </w:r>
          </w:p>
          <w:p w14:paraId="644BA2F8">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裁</w:t>
            </w:r>
          </w:p>
          <w:p w14:paraId="22F3B98B">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3BE6EE2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238C471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6546F79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965E72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0B2A9D0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12538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954" w:type="dxa"/>
            <w:vMerge w:val="continue"/>
            <w:noWrap w:val="0"/>
            <w:vAlign w:val="center"/>
          </w:tcPr>
          <w:p w14:paraId="07488E7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1A463CC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267BBC6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1EDF12F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40DF570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132EC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1858F9F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1CE9D6D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22E54CB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E5A74E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5C49647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14:paraId="0F66DEA7">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22EEF039">
      <w:pPr>
        <w:spacing w:line="400" w:lineRule="exact"/>
        <w:ind w:left="840" w:leftChars="300" w:hanging="210" w:hangingChars="100"/>
        <w:rPr>
          <w:rFonts w:hint="eastAsia"/>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11552D3D">
      <w:pPr>
        <w:spacing w:line="400" w:lineRule="exact"/>
        <w:ind w:left="840" w:leftChars="300" w:hanging="210" w:hangingChars="100"/>
        <w:rPr>
          <w:rFonts w:hint="eastAsia" w:ascii="宋体" w:hAnsi="宋体"/>
          <w:color w:val="auto"/>
          <w:szCs w:val="21"/>
          <w:highlight w:val="none"/>
        </w:rPr>
        <w:sectPr>
          <w:footerReference r:id="rId4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75670273">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296" w:name="_Toc122603101"/>
      <w:bookmarkStart w:id="2297" w:name="_Toc256000232"/>
      <w:r>
        <w:rPr>
          <w:rFonts w:hint="default"/>
          <w:color w:val="auto"/>
          <w:szCs w:val="24"/>
          <w:highlight w:val="none"/>
        </w:rPr>
        <w:t>5-3</w:t>
      </w:r>
      <w:r>
        <w:rPr>
          <w:rFonts w:hint="eastAsia"/>
          <w:color w:val="auto"/>
          <w:szCs w:val="24"/>
          <w:highlight w:val="none"/>
        </w:rPr>
        <w:t xml:space="preserve"> 近年投标人工程获奖</w:t>
      </w:r>
      <w:r>
        <w:rPr>
          <w:color w:val="auto"/>
          <w:szCs w:val="24"/>
          <w:highlight w:val="none"/>
        </w:rPr>
        <w:t>情况表</w:t>
      </w:r>
      <w:bookmarkEnd w:id="2296"/>
      <w:bookmarkEnd w:id="2297"/>
    </w:p>
    <w:tbl>
      <w:tblPr>
        <w:tblStyle w:val="2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FD0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47CB4D16">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665B879C">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434AD067">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18A97643">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1388BD62">
            <w:pPr>
              <w:topLinePunct/>
              <w:spacing w:line="400" w:lineRule="atLeast"/>
              <w:jc w:val="center"/>
              <w:rPr>
                <w:color w:val="auto"/>
                <w:szCs w:val="21"/>
                <w:highlight w:val="none"/>
              </w:rPr>
            </w:pPr>
            <w:r>
              <w:rPr>
                <w:rFonts w:hint="eastAsia"/>
                <w:color w:val="auto"/>
                <w:szCs w:val="21"/>
                <w:highlight w:val="none"/>
              </w:rPr>
              <w:t>颁奖单位</w:t>
            </w:r>
          </w:p>
        </w:tc>
      </w:tr>
      <w:tr w14:paraId="60C2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CD3539D">
            <w:pPr>
              <w:topLinePunct/>
              <w:spacing w:line="400" w:lineRule="atLeast"/>
              <w:jc w:val="center"/>
              <w:rPr>
                <w:color w:val="auto"/>
                <w:szCs w:val="21"/>
                <w:highlight w:val="none"/>
              </w:rPr>
            </w:pPr>
          </w:p>
        </w:tc>
        <w:tc>
          <w:tcPr>
            <w:tcW w:w="2402" w:type="dxa"/>
          </w:tcPr>
          <w:p w14:paraId="2955E7B9">
            <w:pPr>
              <w:topLinePunct/>
              <w:spacing w:line="400" w:lineRule="atLeast"/>
              <w:jc w:val="center"/>
              <w:rPr>
                <w:color w:val="auto"/>
                <w:szCs w:val="21"/>
                <w:highlight w:val="none"/>
              </w:rPr>
            </w:pPr>
          </w:p>
        </w:tc>
        <w:tc>
          <w:tcPr>
            <w:tcW w:w="1800" w:type="dxa"/>
          </w:tcPr>
          <w:p w14:paraId="3FB7AF32">
            <w:pPr>
              <w:topLinePunct/>
              <w:spacing w:line="400" w:lineRule="atLeast"/>
              <w:jc w:val="center"/>
              <w:rPr>
                <w:color w:val="auto"/>
                <w:szCs w:val="21"/>
                <w:highlight w:val="none"/>
              </w:rPr>
            </w:pPr>
          </w:p>
        </w:tc>
        <w:tc>
          <w:tcPr>
            <w:tcW w:w="1440" w:type="dxa"/>
          </w:tcPr>
          <w:p w14:paraId="192546DC">
            <w:pPr>
              <w:topLinePunct/>
              <w:spacing w:line="400" w:lineRule="atLeast"/>
              <w:jc w:val="center"/>
              <w:rPr>
                <w:color w:val="auto"/>
                <w:szCs w:val="21"/>
                <w:highlight w:val="none"/>
              </w:rPr>
            </w:pPr>
          </w:p>
        </w:tc>
        <w:tc>
          <w:tcPr>
            <w:tcW w:w="2160" w:type="dxa"/>
          </w:tcPr>
          <w:p w14:paraId="067B712E">
            <w:pPr>
              <w:topLinePunct/>
              <w:spacing w:line="400" w:lineRule="atLeast"/>
              <w:jc w:val="center"/>
              <w:rPr>
                <w:color w:val="auto"/>
                <w:szCs w:val="21"/>
                <w:highlight w:val="none"/>
              </w:rPr>
            </w:pPr>
          </w:p>
        </w:tc>
      </w:tr>
      <w:tr w14:paraId="072C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2AB80C7">
            <w:pPr>
              <w:topLinePunct/>
              <w:spacing w:line="400" w:lineRule="atLeast"/>
              <w:jc w:val="center"/>
              <w:rPr>
                <w:color w:val="auto"/>
                <w:szCs w:val="21"/>
                <w:highlight w:val="none"/>
              </w:rPr>
            </w:pPr>
          </w:p>
        </w:tc>
        <w:tc>
          <w:tcPr>
            <w:tcW w:w="2402" w:type="dxa"/>
          </w:tcPr>
          <w:p w14:paraId="467EDC40">
            <w:pPr>
              <w:topLinePunct/>
              <w:spacing w:line="400" w:lineRule="atLeast"/>
              <w:jc w:val="center"/>
              <w:rPr>
                <w:color w:val="auto"/>
                <w:szCs w:val="21"/>
                <w:highlight w:val="none"/>
              </w:rPr>
            </w:pPr>
          </w:p>
        </w:tc>
        <w:tc>
          <w:tcPr>
            <w:tcW w:w="1800" w:type="dxa"/>
          </w:tcPr>
          <w:p w14:paraId="4E17CB27">
            <w:pPr>
              <w:topLinePunct/>
              <w:spacing w:line="400" w:lineRule="atLeast"/>
              <w:jc w:val="center"/>
              <w:rPr>
                <w:color w:val="auto"/>
                <w:szCs w:val="21"/>
                <w:highlight w:val="none"/>
              </w:rPr>
            </w:pPr>
          </w:p>
        </w:tc>
        <w:tc>
          <w:tcPr>
            <w:tcW w:w="1440" w:type="dxa"/>
          </w:tcPr>
          <w:p w14:paraId="629C5CE6">
            <w:pPr>
              <w:topLinePunct/>
              <w:spacing w:line="400" w:lineRule="atLeast"/>
              <w:jc w:val="center"/>
              <w:rPr>
                <w:color w:val="auto"/>
                <w:szCs w:val="21"/>
                <w:highlight w:val="none"/>
              </w:rPr>
            </w:pPr>
          </w:p>
        </w:tc>
        <w:tc>
          <w:tcPr>
            <w:tcW w:w="2160" w:type="dxa"/>
          </w:tcPr>
          <w:p w14:paraId="2F1CA5DC">
            <w:pPr>
              <w:topLinePunct/>
              <w:spacing w:line="400" w:lineRule="atLeast"/>
              <w:jc w:val="center"/>
              <w:rPr>
                <w:color w:val="auto"/>
                <w:szCs w:val="21"/>
                <w:highlight w:val="none"/>
              </w:rPr>
            </w:pPr>
          </w:p>
        </w:tc>
      </w:tr>
      <w:tr w14:paraId="2AAF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87B1766">
            <w:pPr>
              <w:topLinePunct/>
              <w:spacing w:line="400" w:lineRule="atLeast"/>
              <w:jc w:val="center"/>
              <w:rPr>
                <w:color w:val="auto"/>
                <w:szCs w:val="21"/>
                <w:highlight w:val="none"/>
              </w:rPr>
            </w:pPr>
          </w:p>
        </w:tc>
        <w:tc>
          <w:tcPr>
            <w:tcW w:w="2402" w:type="dxa"/>
          </w:tcPr>
          <w:p w14:paraId="760787BA">
            <w:pPr>
              <w:topLinePunct/>
              <w:spacing w:line="400" w:lineRule="atLeast"/>
              <w:jc w:val="center"/>
              <w:rPr>
                <w:color w:val="auto"/>
                <w:szCs w:val="21"/>
                <w:highlight w:val="none"/>
              </w:rPr>
            </w:pPr>
          </w:p>
        </w:tc>
        <w:tc>
          <w:tcPr>
            <w:tcW w:w="1800" w:type="dxa"/>
          </w:tcPr>
          <w:p w14:paraId="56E8BA71">
            <w:pPr>
              <w:topLinePunct/>
              <w:spacing w:line="400" w:lineRule="atLeast"/>
              <w:jc w:val="center"/>
              <w:rPr>
                <w:color w:val="auto"/>
                <w:szCs w:val="21"/>
                <w:highlight w:val="none"/>
              </w:rPr>
            </w:pPr>
          </w:p>
        </w:tc>
        <w:tc>
          <w:tcPr>
            <w:tcW w:w="1440" w:type="dxa"/>
          </w:tcPr>
          <w:p w14:paraId="0BAAC7AD">
            <w:pPr>
              <w:topLinePunct/>
              <w:spacing w:line="400" w:lineRule="atLeast"/>
              <w:jc w:val="center"/>
              <w:rPr>
                <w:color w:val="auto"/>
                <w:szCs w:val="21"/>
                <w:highlight w:val="none"/>
              </w:rPr>
            </w:pPr>
          </w:p>
        </w:tc>
        <w:tc>
          <w:tcPr>
            <w:tcW w:w="2160" w:type="dxa"/>
          </w:tcPr>
          <w:p w14:paraId="3C42DE83">
            <w:pPr>
              <w:topLinePunct/>
              <w:spacing w:line="400" w:lineRule="atLeast"/>
              <w:jc w:val="center"/>
              <w:rPr>
                <w:color w:val="auto"/>
                <w:szCs w:val="21"/>
                <w:highlight w:val="none"/>
              </w:rPr>
            </w:pPr>
          </w:p>
        </w:tc>
      </w:tr>
      <w:tr w14:paraId="306B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F90C045">
            <w:pPr>
              <w:topLinePunct/>
              <w:spacing w:line="400" w:lineRule="atLeast"/>
              <w:jc w:val="center"/>
              <w:rPr>
                <w:color w:val="auto"/>
                <w:szCs w:val="21"/>
                <w:highlight w:val="none"/>
              </w:rPr>
            </w:pPr>
          </w:p>
        </w:tc>
        <w:tc>
          <w:tcPr>
            <w:tcW w:w="2402" w:type="dxa"/>
          </w:tcPr>
          <w:p w14:paraId="33351AA2">
            <w:pPr>
              <w:topLinePunct/>
              <w:spacing w:line="400" w:lineRule="atLeast"/>
              <w:jc w:val="center"/>
              <w:rPr>
                <w:color w:val="auto"/>
                <w:szCs w:val="21"/>
                <w:highlight w:val="none"/>
              </w:rPr>
            </w:pPr>
          </w:p>
        </w:tc>
        <w:tc>
          <w:tcPr>
            <w:tcW w:w="1800" w:type="dxa"/>
          </w:tcPr>
          <w:p w14:paraId="01460AB3">
            <w:pPr>
              <w:topLinePunct/>
              <w:spacing w:line="400" w:lineRule="atLeast"/>
              <w:jc w:val="center"/>
              <w:rPr>
                <w:color w:val="auto"/>
                <w:szCs w:val="21"/>
                <w:highlight w:val="none"/>
              </w:rPr>
            </w:pPr>
          </w:p>
        </w:tc>
        <w:tc>
          <w:tcPr>
            <w:tcW w:w="1440" w:type="dxa"/>
          </w:tcPr>
          <w:p w14:paraId="463557F9">
            <w:pPr>
              <w:topLinePunct/>
              <w:spacing w:line="400" w:lineRule="atLeast"/>
              <w:jc w:val="center"/>
              <w:rPr>
                <w:color w:val="auto"/>
                <w:szCs w:val="21"/>
                <w:highlight w:val="none"/>
              </w:rPr>
            </w:pPr>
          </w:p>
        </w:tc>
        <w:tc>
          <w:tcPr>
            <w:tcW w:w="2160" w:type="dxa"/>
          </w:tcPr>
          <w:p w14:paraId="56CC9B0E">
            <w:pPr>
              <w:topLinePunct/>
              <w:spacing w:line="400" w:lineRule="atLeast"/>
              <w:jc w:val="center"/>
              <w:rPr>
                <w:color w:val="auto"/>
                <w:szCs w:val="21"/>
                <w:highlight w:val="none"/>
              </w:rPr>
            </w:pPr>
          </w:p>
        </w:tc>
      </w:tr>
      <w:tr w14:paraId="0A56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1B1099">
            <w:pPr>
              <w:topLinePunct/>
              <w:spacing w:line="400" w:lineRule="atLeast"/>
              <w:jc w:val="center"/>
              <w:rPr>
                <w:color w:val="auto"/>
                <w:szCs w:val="21"/>
                <w:highlight w:val="none"/>
              </w:rPr>
            </w:pPr>
          </w:p>
        </w:tc>
        <w:tc>
          <w:tcPr>
            <w:tcW w:w="2402" w:type="dxa"/>
          </w:tcPr>
          <w:p w14:paraId="38534760">
            <w:pPr>
              <w:topLinePunct/>
              <w:spacing w:line="400" w:lineRule="atLeast"/>
              <w:jc w:val="center"/>
              <w:rPr>
                <w:color w:val="auto"/>
                <w:szCs w:val="21"/>
                <w:highlight w:val="none"/>
              </w:rPr>
            </w:pPr>
          </w:p>
        </w:tc>
        <w:tc>
          <w:tcPr>
            <w:tcW w:w="1800" w:type="dxa"/>
          </w:tcPr>
          <w:p w14:paraId="3FAF8BD6">
            <w:pPr>
              <w:topLinePunct/>
              <w:spacing w:line="400" w:lineRule="atLeast"/>
              <w:jc w:val="center"/>
              <w:rPr>
                <w:color w:val="auto"/>
                <w:szCs w:val="21"/>
                <w:highlight w:val="none"/>
              </w:rPr>
            </w:pPr>
          </w:p>
        </w:tc>
        <w:tc>
          <w:tcPr>
            <w:tcW w:w="1440" w:type="dxa"/>
          </w:tcPr>
          <w:p w14:paraId="6E676E7C">
            <w:pPr>
              <w:topLinePunct/>
              <w:spacing w:line="400" w:lineRule="atLeast"/>
              <w:jc w:val="center"/>
              <w:rPr>
                <w:color w:val="auto"/>
                <w:szCs w:val="21"/>
                <w:highlight w:val="none"/>
              </w:rPr>
            </w:pPr>
          </w:p>
        </w:tc>
        <w:tc>
          <w:tcPr>
            <w:tcW w:w="2160" w:type="dxa"/>
          </w:tcPr>
          <w:p w14:paraId="1FA0FF0F">
            <w:pPr>
              <w:topLinePunct/>
              <w:spacing w:line="400" w:lineRule="atLeast"/>
              <w:jc w:val="center"/>
              <w:rPr>
                <w:color w:val="auto"/>
                <w:szCs w:val="21"/>
                <w:highlight w:val="none"/>
              </w:rPr>
            </w:pPr>
          </w:p>
        </w:tc>
      </w:tr>
      <w:tr w14:paraId="5A0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2BAA82F">
            <w:pPr>
              <w:topLinePunct/>
              <w:spacing w:line="400" w:lineRule="atLeast"/>
              <w:jc w:val="center"/>
              <w:rPr>
                <w:color w:val="auto"/>
                <w:szCs w:val="21"/>
                <w:highlight w:val="none"/>
              </w:rPr>
            </w:pPr>
          </w:p>
        </w:tc>
        <w:tc>
          <w:tcPr>
            <w:tcW w:w="2402" w:type="dxa"/>
          </w:tcPr>
          <w:p w14:paraId="269F277B">
            <w:pPr>
              <w:topLinePunct/>
              <w:spacing w:line="400" w:lineRule="atLeast"/>
              <w:jc w:val="center"/>
              <w:rPr>
                <w:color w:val="auto"/>
                <w:szCs w:val="21"/>
                <w:highlight w:val="none"/>
              </w:rPr>
            </w:pPr>
          </w:p>
        </w:tc>
        <w:tc>
          <w:tcPr>
            <w:tcW w:w="1800" w:type="dxa"/>
          </w:tcPr>
          <w:p w14:paraId="25C9C434">
            <w:pPr>
              <w:topLinePunct/>
              <w:spacing w:line="400" w:lineRule="atLeast"/>
              <w:jc w:val="center"/>
              <w:rPr>
                <w:color w:val="auto"/>
                <w:szCs w:val="21"/>
                <w:highlight w:val="none"/>
              </w:rPr>
            </w:pPr>
          </w:p>
        </w:tc>
        <w:tc>
          <w:tcPr>
            <w:tcW w:w="1440" w:type="dxa"/>
          </w:tcPr>
          <w:p w14:paraId="6C1BDBF5">
            <w:pPr>
              <w:topLinePunct/>
              <w:spacing w:line="400" w:lineRule="atLeast"/>
              <w:jc w:val="center"/>
              <w:rPr>
                <w:color w:val="auto"/>
                <w:szCs w:val="21"/>
                <w:highlight w:val="none"/>
              </w:rPr>
            </w:pPr>
          </w:p>
        </w:tc>
        <w:tc>
          <w:tcPr>
            <w:tcW w:w="2160" w:type="dxa"/>
          </w:tcPr>
          <w:p w14:paraId="5A26DE94">
            <w:pPr>
              <w:topLinePunct/>
              <w:spacing w:line="400" w:lineRule="atLeast"/>
              <w:jc w:val="center"/>
              <w:rPr>
                <w:color w:val="auto"/>
                <w:szCs w:val="21"/>
                <w:highlight w:val="none"/>
              </w:rPr>
            </w:pPr>
          </w:p>
        </w:tc>
      </w:tr>
      <w:tr w14:paraId="45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3209900">
            <w:pPr>
              <w:topLinePunct/>
              <w:spacing w:line="400" w:lineRule="atLeast"/>
              <w:jc w:val="center"/>
              <w:rPr>
                <w:color w:val="auto"/>
                <w:szCs w:val="21"/>
                <w:highlight w:val="none"/>
              </w:rPr>
            </w:pPr>
          </w:p>
        </w:tc>
        <w:tc>
          <w:tcPr>
            <w:tcW w:w="2402" w:type="dxa"/>
          </w:tcPr>
          <w:p w14:paraId="0B26FF7E">
            <w:pPr>
              <w:topLinePunct/>
              <w:spacing w:line="400" w:lineRule="atLeast"/>
              <w:jc w:val="center"/>
              <w:rPr>
                <w:color w:val="auto"/>
                <w:szCs w:val="21"/>
                <w:highlight w:val="none"/>
              </w:rPr>
            </w:pPr>
          </w:p>
        </w:tc>
        <w:tc>
          <w:tcPr>
            <w:tcW w:w="1800" w:type="dxa"/>
          </w:tcPr>
          <w:p w14:paraId="162342FA">
            <w:pPr>
              <w:topLinePunct/>
              <w:spacing w:line="400" w:lineRule="atLeast"/>
              <w:jc w:val="center"/>
              <w:rPr>
                <w:color w:val="auto"/>
                <w:szCs w:val="21"/>
                <w:highlight w:val="none"/>
              </w:rPr>
            </w:pPr>
          </w:p>
        </w:tc>
        <w:tc>
          <w:tcPr>
            <w:tcW w:w="1440" w:type="dxa"/>
          </w:tcPr>
          <w:p w14:paraId="35B88AA6">
            <w:pPr>
              <w:topLinePunct/>
              <w:spacing w:line="400" w:lineRule="atLeast"/>
              <w:jc w:val="center"/>
              <w:rPr>
                <w:color w:val="auto"/>
                <w:szCs w:val="21"/>
                <w:highlight w:val="none"/>
              </w:rPr>
            </w:pPr>
          </w:p>
        </w:tc>
        <w:tc>
          <w:tcPr>
            <w:tcW w:w="2160" w:type="dxa"/>
          </w:tcPr>
          <w:p w14:paraId="5D7FD362">
            <w:pPr>
              <w:topLinePunct/>
              <w:spacing w:line="400" w:lineRule="atLeast"/>
              <w:jc w:val="center"/>
              <w:rPr>
                <w:color w:val="auto"/>
                <w:szCs w:val="21"/>
                <w:highlight w:val="none"/>
              </w:rPr>
            </w:pPr>
          </w:p>
        </w:tc>
      </w:tr>
      <w:tr w14:paraId="704D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839D8FB">
            <w:pPr>
              <w:topLinePunct/>
              <w:spacing w:line="400" w:lineRule="atLeast"/>
              <w:jc w:val="center"/>
              <w:rPr>
                <w:color w:val="auto"/>
                <w:szCs w:val="21"/>
                <w:highlight w:val="none"/>
              </w:rPr>
            </w:pPr>
          </w:p>
        </w:tc>
        <w:tc>
          <w:tcPr>
            <w:tcW w:w="2402" w:type="dxa"/>
          </w:tcPr>
          <w:p w14:paraId="4E6B9181">
            <w:pPr>
              <w:topLinePunct/>
              <w:spacing w:line="400" w:lineRule="atLeast"/>
              <w:jc w:val="center"/>
              <w:rPr>
                <w:color w:val="auto"/>
                <w:szCs w:val="21"/>
                <w:highlight w:val="none"/>
              </w:rPr>
            </w:pPr>
          </w:p>
        </w:tc>
        <w:tc>
          <w:tcPr>
            <w:tcW w:w="1800" w:type="dxa"/>
          </w:tcPr>
          <w:p w14:paraId="4DFCCC4C">
            <w:pPr>
              <w:topLinePunct/>
              <w:spacing w:line="400" w:lineRule="atLeast"/>
              <w:jc w:val="center"/>
              <w:rPr>
                <w:color w:val="auto"/>
                <w:szCs w:val="21"/>
                <w:highlight w:val="none"/>
              </w:rPr>
            </w:pPr>
          </w:p>
        </w:tc>
        <w:tc>
          <w:tcPr>
            <w:tcW w:w="1440" w:type="dxa"/>
          </w:tcPr>
          <w:p w14:paraId="6CFDD22A">
            <w:pPr>
              <w:topLinePunct/>
              <w:spacing w:line="400" w:lineRule="atLeast"/>
              <w:jc w:val="center"/>
              <w:rPr>
                <w:color w:val="auto"/>
                <w:szCs w:val="21"/>
                <w:highlight w:val="none"/>
              </w:rPr>
            </w:pPr>
          </w:p>
        </w:tc>
        <w:tc>
          <w:tcPr>
            <w:tcW w:w="2160" w:type="dxa"/>
          </w:tcPr>
          <w:p w14:paraId="57AA4719">
            <w:pPr>
              <w:topLinePunct/>
              <w:spacing w:line="400" w:lineRule="atLeast"/>
              <w:jc w:val="center"/>
              <w:rPr>
                <w:color w:val="auto"/>
                <w:szCs w:val="21"/>
                <w:highlight w:val="none"/>
              </w:rPr>
            </w:pPr>
          </w:p>
        </w:tc>
      </w:tr>
      <w:tr w14:paraId="6AAB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8B50711">
            <w:pPr>
              <w:topLinePunct/>
              <w:spacing w:line="400" w:lineRule="atLeast"/>
              <w:jc w:val="center"/>
              <w:rPr>
                <w:color w:val="auto"/>
                <w:szCs w:val="21"/>
                <w:highlight w:val="none"/>
              </w:rPr>
            </w:pPr>
          </w:p>
        </w:tc>
        <w:tc>
          <w:tcPr>
            <w:tcW w:w="2402" w:type="dxa"/>
          </w:tcPr>
          <w:p w14:paraId="2229DA11">
            <w:pPr>
              <w:topLinePunct/>
              <w:spacing w:line="400" w:lineRule="atLeast"/>
              <w:jc w:val="center"/>
              <w:rPr>
                <w:color w:val="auto"/>
                <w:szCs w:val="21"/>
                <w:highlight w:val="none"/>
              </w:rPr>
            </w:pPr>
          </w:p>
        </w:tc>
        <w:tc>
          <w:tcPr>
            <w:tcW w:w="1800" w:type="dxa"/>
          </w:tcPr>
          <w:p w14:paraId="6BE58609">
            <w:pPr>
              <w:topLinePunct/>
              <w:spacing w:line="400" w:lineRule="atLeast"/>
              <w:jc w:val="center"/>
              <w:rPr>
                <w:color w:val="auto"/>
                <w:szCs w:val="21"/>
                <w:highlight w:val="none"/>
              </w:rPr>
            </w:pPr>
          </w:p>
        </w:tc>
        <w:tc>
          <w:tcPr>
            <w:tcW w:w="1440" w:type="dxa"/>
          </w:tcPr>
          <w:p w14:paraId="0AD70068">
            <w:pPr>
              <w:topLinePunct/>
              <w:spacing w:line="400" w:lineRule="atLeast"/>
              <w:jc w:val="center"/>
              <w:rPr>
                <w:color w:val="auto"/>
                <w:szCs w:val="21"/>
                <w:highlight w:val="none"/>
              </w:rPr>
            </w:pPr>
          </w:p>
        </w:tc>
        <w:tc>
          <w:tcPr>
            <w:tcW w:w="2160" w:type="dxa"/>
          </w:tcPr>
          <w:p w14:paraId="585B8324">
            <w:pPr>
              <w:topLinePunct/>
              <w:spacing w:line="400" w:lineRule="atLeast"/>
              <w:jc w:val="center"/>
              <w:rPr>
                <w:color w:val="auto"/>
                <w:szCs w:val="21"/>
                <w:highlight w:val="none"/>
              </w:rPr>
            </w:pPr>
          </w:p>
        </w:tc>
      </w:tr>
      <w:tr w14:paraId="509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C4A49CE">
            <w:pPr>
              <w:topLinePunct/>
              <w:spacing w:line="400" w:lineRule="atLeast"/>
              <w:jc w:val="center"/>
              <w:rPr>
                <w:color w:val="auto"/>
                <w:szCs w:val="21"/>
                <w:highlight w:val="none"/>
              </w:rPr>
            </w:pPr>
          </w:p>
        </w:tc>
        <w:tc>
          <w:tcPr>
            <w:tcW w:w="2402" w:type="dxa"/>
          </w:tcPr>
          <w:p w14:paraId="7DD0118B">
            <w:pPr>
              <w:topLinePunct/>
              <w:spacing w:line="400" w:lineRule="atLeast"/>
              <w:jc w:val="center"/>
              <w:rPr>
                <w:color w:val="auto"/>
                <w:szCs w:val="21"/>
                <w:highlight w:val="none"/>
              </w:rPr>
            </w:pPr>
          </w:p>
        </w:tc>
        <w:tc>
          <w:tcPr>
            <w:tcW w:w="1800" w:type="dxa"/>
          </w:tcPr>
          <w:p w14:paraId="00C593A5">
            <w:pPr>
              <w:topLinePunct/>
              <w:spacing w:line="400" w:lineRule="atLeast"/>
              <w:jc w:val="center"/>
              <w:rPr>
                <w:color w:val="auto"/>
                <w:szCs w:val="21"/>
                <w:highlight w:val="none"/>
              </w:rPr>
            </w:pPr>
          </w:p>
        </w:tc>
        <w:tc>
          <w:tcPr>
            <w:tcW w:w="1440" w:type="dxa"/>
          </w:tcPr>
          <w:p w14:paraId="26015880">
            <w:pPr>
              <w:topLinePunct/>
              <w:spacing w:line="400" w:lineRule="atLeast"/>
              <w:jc w:val="center"/>
              <w:rPr>
                <w:color w:val="auto"/>
                <w:szCs w:val="21"/>
                <w:highlight w:val="none"/>
              </w:rPr>
            </w:pPr>
          </w:p>
        </w:tc>
        <w:tc>
          <w:tcPr>
            <w:tcW w:w="2160" w:type="dxa"/>
          </w:tcPr>
          <w:p w14:paraId="2D8B81DB">
            <w:pPr>
              <w:topLinePunct/>
              <w:spacing w:line="400" w:lineRule="atLeast"/>
              <w:jc w:val="center"/>
              <w:rPr>
                <w:color w:val="auto"/>
                <w:szCs w:val="21"/>
                <w:highlight w:val="none"/>
              </w:rPr>
            </w:pPr>
          </w:p>
        </w:tc>
      </w:tr>
      <w:tr w14:paraId="3883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7E341CB">
            <w:pPr>
              <w:topLinePunct/>
              <w:spacing w:line="400" w:lineRule="atLeast"/>
              <w:jc w:val="center"/>
              <w:rPr>
                <w:color w:val="auto"/>
                <w:szCs w:val="21"/>
                <w:highlight w:val="none"/>
              </w:rPr>
            </w:pPr>
          </w:p>
        </w:tc>
        <w:tc>
          <w:tcPr>
            <w:tcW w:w="2402" w:type="dxa"/>
          </w:tcPr>
          <w:p w14:paraId="5332C716">
            <w:pPr>
              <w:topLinePunct/>
              <w:spacing w:line="400" w:lineRule="atLeast"/>
              <w:jc w:val="center"/>
              <w:rPr>
                <w:color w:val="auto"/>
                <w:szCs w:val="21"/>
                <w:highlight w:val="none"/>
              </w:rPr>
            </w:pPr>
          </w:p>
        </w:tc>
        <w:tc>
          <w:tcPr>
            <w:tcW w:w="1800" w:type="dxa"/>
          </w:tcPr>
          <w:p w14:paraId="72C71679">
            <w:pPr>
              <w:topLinePunct/>
              <w:spacing w:line="400" w:lineRule="atLeast"/>
              <w:jc w:val="center"/>
              <w:rPr>
                <w:color w:val="auto"/>
                <w:szCs w:val="21"/>
                <w:highlight w:val="none"/>
              </w:rPr>
            </w:pPr>
          </w:p>
        </w:tc>
        <w:tc>
          <w:tcPr>
            <w:tcW w:w="1440" w:type="dxa"/>
          </w:tcPr>
          <w:p w14:paraId="359812B4">
            <w:pPr>
              <w:topLinePunct/>
              <w:spacing w:line="400" w:lineRule="atLeast"/>
              <w:jc w:val="center"/>
              <w:rPr>
                <w:color w:val="auto"/>
                <w:szCs w:val="21"/>
                <w:highlight w:val="none"/>
              </w:rPr>
            </w:pPr>
          </w:p>
        </w:tc>
        <w:tc>
          <w:tcPr>
            <w:tcW w:w="2160" w:type="dxa"/>
          </w:tcPr>
          <w:p w14:paraId="53FAD156">
            <w:pPr>
              <w:topLinePunct/>
              <w:spacing w:line="400" w:lineRule="atLeast"/>
              <w:jc w:val="center"/>
              <w:rPr>
                <w:color w:val="auto"/>
                <w:szCs w:val="21"/>
                <w:highlight w:val="none"/>
              </w:rPr>
            </w:pPr>
          </w:p>
        </w:tc>
      </w:tr>
      <w:tr w14:paraId="7E22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11083DF">
            <w:pPr>
              <w:topLinePunct/>
              <w:spacing w:line="400" w:lineRule="atLeast"/>
              <w:jc w:val="center"/>
              <w:rPr>
                <w:color w:val="auto"/>
                <w:szCs w:val="21"/>
                <w:highlight w:val="none"/>
              </w:rPr>
            </w:pPr>
          </w:p>
        </w:tc>
        <w:tc>
          <w:tcPr>
            <w:tcW w:w="2402" w:type="dxa"/>
          </w:tcPr>
          <w:p w14:paraId="2CD4C069">
            <w:pPr>
              <w:topLinePunct/>
              <w:spacing w:line="400" w:lineRule="atLeast"/>
              <w:jc w:val="center"/>
              <w:rPr>
                <w:color w:val="auto"/>
                <w:szCs w:val="21"/>
                <w:highlight w:val="none"/>
              </w:rPr>
            </w:pPr>
          </w:p>
        </w:tc>
        <w:tc>
          <w:tcPr>
            <w:tcW w:w="1800" w:type="dxa"/>
          </w:tcPr>
          <w:p w14:paraId="2B7DBBF3">
            <w:pPr>
              <w:topLinePunct/>
              <w:spacing w:line="400" w:lineRule="atLeast"/>
              <w:jc w:val="center"/>
              <w:rPr>
                <w:color w:val="auto"/>
                <w:szCs w:val="21"/>
                <w:highlight w:val="none"/>
              </w:rPr>
            </w:pPr>
          </w:p>
        </w:tc>
        <w:tc>
          <w:tcPr>
            <w:tcW w:w="1440" w:type="dxa"/>
          </w:tcPr>
          <w:p w14:paraId="6D87D9D4">
            <w:pPr>
              <w:topLinePunct/>
              <w:spacing w:line="400" w:lineRule="atLeast"/>
              <w:jc w:val="center"/>
              <w:rPr>
                <w:color w:val="auto"/>
                <w:szCs w:val="21"/>
                <w:highlight w:val="none"/>
              </w:rPr>
            </w:pPr>
          </w:p>
        </w:tc>
        <w:tc>
          <w:tcPr>
            <w:tcW w:w="2160" w:type="dxa"/>
          </w:tcPr>
          <w:p w14:paraId="7B249B11">
            <w:pPr>
              <w:topLinePunct/>
              <w:spacing w:line="400" w:lineRule="atLeast"/>
              <w:jc w:val="center"/>
              <w:rPr>
                <w:color w:val="auto"/>
                <w:szCs w:val="21"/>
                <w:highlight w:val="none"/>
              </w:rPr>
            </w:pPr>
          </w:p>
        </w:tc>
      </w:tr>
      <w:tr w14:paraId="135B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8FA3E85">
            <w:pPr>
              <w:topLinePunct/>
              <w:spacing w:line="400" w:lineRule="atLeast"/>
              <w:jc w:val="center"/>
              <w:rPr>
                <w:color w:val="auto"/>
                <w:szCs w:val="21"/>
                <w:highlight w:val="none"/>
              </w:rPr>
            </w:pPr>
          </w:p>
        </w:tc>
        <w:tc>
          <w:tcPr>
            <w:tcW w:w="2402" w:type="dxa"/>
          </w:tcPr>
          <w:p w14:paraId="50C5DEBC">
            <w:pPr>
              <w:topLinePunct/>
              <w:spacing w:line="400" w:lineRule="atLeast"/>
              <w:jc w:val="center"/>
              <w:rPr>
                <w:color w:val="auto"/>
                <w:szCs w:val="21"/>
                <w:highlight w:val="none"/>
              </w:rPr>
            </w:pPr>
          </w:p>
        </w:tc>
        <w:tc>
          <w:tcPr>
            <w:tcW w:w="1800" w:type="dxa"/>
          </w:tcPr>
          <w:p w14:paraId="6D00946B">
            <w:pPr>
              <w:topLinePunct/>
              <w:spacing w:line="400" w:lineRule="atLeast"/>
              <w:jc w:val="center"/>
              <w:rPr>
                <w:color w:val="auto"/>
                <w:szCs w:val="21"/>
                <w:highlight w:val="none"/>
              </w:rPr>
            </w:pPr>
          </w:p>
        </w:tc>
        <w:tc>
          <w:tcPr>
            <w:tcW w:w="1440" w:type="dxa"/>
          </w:tcPr>
          <w:p w14:paraId="03BE343A">
            <w:pPr>
              <w:topLinePunct/>
              <w:spacing w:line="400" w:lineRule="atLeast"/>
              <w:jc w:val="center"/>
              <w:rPr>
                <w:color w:val="auto"/>
                <w:szCs w:val="21"/>
                <w:highlight w:val="none"/>
              </w:rPr>
            </w:pPr>
          </w:p>
        </w:tc>
        <w:tc>
          <w:tcPr>
            <w:tcW w:w="2160" w:type="dxa"/>
          </w:tcPr>
          <w:p w14:paraId="36B3C7D2">
            <w:pPr>
              <w:topLinePunct/>
              <w:spacing w:line="400" w:lineRule="atLeast"/>
              <w:jc w:val="center"/>
              <w:rPr>
                <w:color w:val="auto"/>
                <w:szCs w:val="21"/>
                <w:highlight w:val="none"/>
              </w:rPr>
            </w:pPr>
          </w:p>
        </w:tc>
      </w:tr>
    </w:tbl>
    <w:p w14:paraId="4C8460C5">
      <w:pPr>
        <w:spacing w:line="400" w:lineRule="atLeast"/>
        <w:ind w:left="840" w:hanging="840" w:hangingChars="40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1.本表后应附表彰文件、获奖证书及其他证明材料等的</w:t>
      </w:r>
      <w:r>
        <w:rPr>
          <w:rFonts w:hint="eastAsia" w:ascii="宋体" w:hAnsi="宋体"/>
          <w:color w:val="auto"/>
          <w:szCs w:val="21"/>
          <w:highlight w:val="none"/>
        </w:rPr>
        <w:t>证明材料</w:t>
      </w:r>
      <w:r>
        <w:rPr>
          <w:rFonts w:hint="eastAsia"/>
          <w:color w:val="auto"/>
          <w:szCs w:val="21"/>
          <w:highlight w:val="none"/>
        </w:rPr>
        <w:t>。以表彰文件、获奖证书的颁发时间为准。</w:t>
      </w:r>
    </w:p>
    <w:p w14:paraId="63B5EDB2">
      <w:pPr>
        <w:spacing w:line="400" w:lineRule="atLeast"/>
        <w:ind w:left="630" w:leftChars="300"/>
        <w:rPr>
          <w:color w:val="auto"/>
          <w:szCs w:val="21"/>
          <w:highlight w:val="none"/>
        </w:rPr>
      </w:pPr>
      <w:r>
        <w:rPr>
          <w:color w:val="auto"/>
          <w:szCs w:val="21"/>
          <w:highlight w:val="none"/>
        </w:rPr>
        <w:t>2</w:t>
      </w:r>
      <w:r>
        <w:rPr>
          <w:rFonts w:hint="eastAsia"/>
          <w:color w:val="auto"/>
          <w:szCs w:val="21"/>
          <w:highlight w:val="none"/>
        </w:rPr>
        <w:t>.颁奖单位应当是国家机关或民政部门注册登记的合法颁奖单位。</w:t>
      </w:r>
    </w:p>
    <w:p w14:paraId="3EFD7239">
      <w:pPr>
        <w:rPr>
          <w:color w:val="auto"/>
          <w:highlight w:val="none"/>
        </w:rPr>
        <w:sectPr>
          <w:footerReference r:id="rId4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3703B56">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298" w:name="_Toc122603102"/>
      <w:bookmarkStart w:id="2299" w:name="_Toc256000233"/>
      <w:r>
        <w:rPr>
          <w:rFonts w:hint="default"/>
          <w:color w:val="auto"/>
          <w:szCs w:val="24"/>
          <w:highlight w:val="none"/>
        </w:rPr>
        <w:t>5-4</w:t>
      </w:r>
      <w:r>
        <w:rPr>
          <w:rFonts w:hint="eastAsia"/>
          <w:color w:val="auto"/>
          <w:szCs w:val="24"/>
          <w:highlight w:val="none"/>
        </w:rPr>
        <w:t xml:space="preserve"> 近年项目经理工程获奖</w:t>
      </w:r>
      <w:r>
        <w:rPr>
          <w:color w:val="auto"/>
          <w:szCs w:val="24"/>
          <w:highlight w:val="none"/>
        </w:rPr>
        <w:t>情况表</w:t>
      </w:r>
      <w:bookmarkEnd w:id="2298"/>
      <w:bookmarkEnd w:id="2299"/>
    </w:p>
    <w:tbl>
      <w:tblPr>
        <w:tblStyle w:val="2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0B4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513F8245">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02" w:type="dxa"/>
            <w:noWrap w:val="0"/>
            <w:vAlign w:val="top"/>
          </w:tcPr>
          <w:p w14:paraId="6830DA8E">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00" w:type="dxa"/>
            <w:noWrap w:val="0"/>
            <w:vAlign w:val="top"/>
          </w:tcPr>
          <w:p w14:paraId="5EBED5BB">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40" w:type="dxa"/>
            <w:noWrap w:val="0"/>
            <w:vAlign w:val="top"/>
          </w:tcPr>
          <w:p w14:paraId="6D0D5630">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60" w:type="dxa"/>
            <w:noWrap w:val="0"/>
            <w:vAlign w:val="top"/>
          </w:tcPr>
          <w:p w14:paraId="26A8BA19">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2F3D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E68166E">
            <w:pPr>
              <w:topLinePunct/>
              <w:spacing w:line="400" w:lineRule="atLeast"/>
              <w:jc w:val="center"/>
              <w:rPr>
                <w:color w:val="auto"/>
                <w:szCs w:val="21"/>
                <w:highlight w:val="none"/>
              </w:rPr>
            </w:pPr>
          </w:p>
        </w:tc>
        <w:tc>
          <w:tcPr>
            <w:tcW w:w="2402" w:type="dxa"/>
            <w:noWrap w:val="0"/>
            <w:vAlign w:val="top"/>
          </w:tcPr>
          <w:p w14:paraId="2758FC0B">
            <w:pPr>
              <w:topLinePunct/>
              <w:spacing w:line="400" w:lineRule="atLeast"/>
              <w:jc w:val="center"/>
              <w:rPr>
                <w:color w:val="auto"/>
                <w:szCs w:val="21"/>
                <w:highlight w:val="none"/>
              </w:rPr>
            </w:pPr>
          </w:p>
        </w:tc>
        <w:tc>
          <w:tcPr>
            <w:tcW w:w="1800" w:type="dxa"/>
            <w:noWrap w:val="0"/>
            <w:vAlign w:val="top"/>
          </w:tcPr>
          <w:p w14:paraId="41AC3451">
            <w:pPr>
              <w:topLinePunct/>
              <w:spacing w:line="400" w:lineRule="atLeast"/>
              <w:jc w:val="center"/>
              <w:rPr>
                <w:color w:val="auto"/>
                <w:szCs w:val="21"/>
                <w:highlight w:val="none"/>
              </w:rPr>
            </w:pPr>
          </w:p>
        </w:tc>
        <w:tc>
          <w:tcPr>
            <w:tcW w:w="1440" w:type="dxa"/>
            <w:noWrap w:val="0"/>
            <w:vAlign w:val="top"/>
          </w:tcPr>
          <w:p w14:paraId="1CC573C2">
            <w:pPr>
              <w:topLinePunct/>
              <w:spacing w:line="400" w:lineRule="atLeast"/>
              <w:jc w:val="center"/>
              <w:rPr>
                <w:color w:val="auto"/>
                <w:szCs w:val="21"/>
                <w:highlight w:val="none"/>
              </w:rPr>
            </w:pPr>
          </w:p>
        </w:tc>
        <w:tc>
          <w:tcPr>
            <w:tcW w:w="2160" w:type="dxa"/>
            <w:noWrap w:val="0"/>
            <w:vAlign w:val="top"/>
          </w:tcPr>
          <w:p w14:paraId="09D0B504">
            <w:pPr>
              <w:topLinePunct/>
              <w:spacing w:line="400" w:lineRule="atLeast"/>
              <w:jc w:val="center"/>
              <w:rPr>
                <w:color w:val="auto"/>
                <w:szCs w:val="21"/>
                <w:highlight w:val="none"/>
              </w:rPr>
            </w:pPr>
          </w:p>
        </w:tc>
      </w:tr>
      <w:tr w14:paraId="660F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2334BAE">
            <w:pPr>
              <w:topLinePunct/>
              <w:spacing w:line="400" w:lineRule="atLeast"/>
              <w:jc w:val="center"/>
              <w:rPr>
                <w:color w:val="auto"/>
                <w:szCs w:val="21"/>
                <w:highlight w:val="none"/>
              </w:rPr>
            </w:pPr>
          </w:p>
        </w:tc>
        <w:tc>
          <w:tcPr>
            <w:tcW w:w="2402" w:type="dxa"/>
            <w:noWrap w:val="0"/>
            <w:vAlign w:val="top"/>
          </w:tcPr>
          <w:p w14:paraId="096984D0">
            <w:pPr>
              <w:topLinePunct/>
              <w:spacing w:line="400" w:lineRule="atLeast"/>
              <w:jc w:val="center"/>
              <w:rPr>
                <w:color w:val="auto"/>
                <w:szCs w:val="21"/>
                <w:highlight w:val="none"/>
              </w:rPr>
            </w:pPr>
          </w:p>
        </w:tc>
        <w:tc>
          <w:tcPr>
            <w:tcW w:w="1800" w:type="dxa"/>
            <w:noWrap w:val="0"/>
            <w:vAlign w:val="top"/>
          </w:tcPr>
          <w:p w14:paraId="6E070813">
            <w:pPr>
              <w:topLinePunct/>
              <w:spacing w:line="400" w:lineRule="atLeast"/>
              <w:jc w:val="center"/>
              <w:rPr>
                <w:color w:val="auto"/>
                <w:szCs w:val="21"/>
                <w:highlight w:val="none"/>
              </w:rPr>
            </w:pPr>
          </w:p>
        </w:tc>
        <w:tc>
          <w:tcPr>
            <w:tcW w:w="1440" w:type="dxa"/>
            <w:noWrap w:val="0"/>
            <w:vAlign w:val="top"/>
          </w:tcPr>
          <w:p w14:paraId="363E9BA6">
            <w:pPr>
              <w:topLinePunct/>
              <w:spacing w:line="400" w:lineRule="atLeast"/>
              <w:jc w:val="center"/>
              <w:rPr>
                <w:color w:val="auto"/>
                <w:szCs w:val="21"/>
                <w:highlight w:val="none"/>
              </w:rPr>
            </w:pPr>
          </w:p>
        </w:tc>
        <w:tc>
          <w:tcPr>
            <w:tcW w:w="2160" w:type="dxa"/>
            <w:noWrap w:val="0"/>
            <w:vAlign w:val="top"/>
          </w:tcPr>
          <w:p w14:paraId="1205F820">
            <w:pPr>
              <w:topLinePunct/>
              <w:spacing w:line="400" w:lineRule="atLeast"/>
              <w:jc w:val="center"/>
              <w:rPr>
                <w:color w:val="auto"/>
                <w:szCs w:val="21"/>
                <w:highlight w:val="none"/>
              </w:rPr>
            </w:pPr>
          </w:p>
        </w:tc>
      </w:tr>
      <w:tr w14:paraId="0FCA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479E309">
            <w:pPr>
              <w:topLinePunct/>
              <w:spacing w:line="400" w:lineRule="atLeast"/>
              <w:jc w:val="center"/>
              <w:rPr>
                <w:color w:val="auto"/>
                <w:szCs w:val="21"/>
                <w:highlight w:val="none"/>
              </w:rPr>
            </w:pPr>
          </w:p>
        </w:tc>
        <w:tc>
          <w:tcPr>
            <w:tcW w:w="2402" w:type="dxa"/>
            <w:noWrap w:val="0"/>
            <w:vAlign w:val="top"/>
          </w:tcPr>
          <w:p w14:paraId="7557126E">
            <w:pPr>
              <w:topLinePunct/>
              <w:spacing w:line="400" w:lineRule="atLeast"/>
              <w:jc w:val="center"/>
              <w:rPr>
                <w:color w:val="auto"/>
                <w:szCs w:val="21"/>
                <w:highlight w:val="none"/>
              </w:rPr>
            </w:pPr>
          </w:p>
        </w:tc>
        <w:tc>
          <w:tcPr>
            <w:tcW w:w="1800" w:type="dxa"/>
            <w:noWrap w:val="0"/>
            <w:vAlign w:val="top"/>
          </w:tcPr>
          <w:p w14:paraId="1F87805C">
            <w:pPr>
              <w:topLinePunct/>
              <w:spacing w:line="400" w:lineRule="atLeast"/>
              <w:jc w:val="center"/>
              <w:rPr>
                <w:color w:val="auto"/>
                <w:szCs w:val="21"/>
                <w:highlight w:val="none"/>
              </w:rPr>
            </w:pPr>
          </w:p>
        </w:tc>
        <w:tc>
          <w:tcPr>
            <w:tcW w:w="1440" w:type="dxa"/>
            <w:noWrap w:val="0"/>
            <w:vAlign w:val="top"/>
          </w:tcPr>
          <w:p w14:paraId="2D7715E6">
            <w:pPr>
              <w:topLinePunct/>
              <w:spacing w:line="400" w:lineRule="atLeast"/>
              <w:jc w:val="center"/>
              <w:rPr>
                <w:color w:val="auto"/>
                <w:szCs w:val="21"/>
                <w:highlight w:val="none"/>
              </w:rPr>
            </w:pPr>
          </w:p>
        </w:tc>
        <w:tc>
          <w:tcPr>
            <w:tcW w:w="2160" w:type="dxa"/>
            <w:noWrap w:val="0"/>
            <w:vAlign w:val="top"/>
          </w:tcPr>
          <w:p w14:paraId="0E8CB11A">
            <w:pPr>
              <w:topLinePunct/>
              <w:spacing w:line="400" w:lineRule="atLeast"/>
              <w:jc w:val="center"/>
              <w:rPr>
                <w:color w:val="auto"/>
                <w:szCs w:val="21"/>
                <w:highlight w:val="none"/>
              </w:rPr>
            </w:pPr>
          </w:p>
        </w:tc>
      </w:tr>
      <w:tr w14:paraId="37A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52DF1BC">
            <w:pPr>
              <w:topLinePunct/>
              <w:spacing w:line="400" w:lineRule="atLeast"/>
              <w:jc w:val="center"/>
              <w:rPr>
                <w:color w:val="auto"/>
                <w:szCs w:val="21"/>
                <w:highlight w:val="none"/>
              </w:rPr>
            </w:pPr>
          </w:p>
        </w:tc>
        <w:tc>
          <w:tcPr>
            <w:tcW w:w="2402" w:type="dxa"/>
            <w:noWrap w:val="0"/>
            <w:vAlign w:val="top"/>
          </w:tcPr>
          <w:p w14:paraId="0266EEA4">
            <w:pPr>
              <w:topLinePunct/>
              <w:spacing w:line="400" w:lineRule="atLeast"/>
              <w:jc w:val="center"/>
              <w:rPr>
                <w:color w:val="auto"/>
                <w:szCs w:val="21"/>
                <w:highlight w:val="none"/>
              </w:rPr>
            </w:pPr>
          </w:p>
        </w:tc>
        <w:tc>
          <w:tcPr>
            <w:tcW w:w="1800" w:type="dxa"/>
            <w:noWrap w:val="0"/>
            <w:vAlign w:val="top"/>
          </w:tcPr>
          <w:p w14:paraId="4B123FB0">
            <w:pPr>
              <w:topLinePunct/>
              <w:spacing w:line="400" w:lineRule="atLeast"/>
              <w:jc w:val="center"/>
              <w:rPr>
                <w:color w:val="auto"/>
                <w:szCs w:val="21"/>
                <w:highlight w:val="none"/>
              </w:rPr>
            </w:pPr>
          </w:p>
        </w:tc>
        <w:tc>
          <w:tcPr>
            <w:tcW w:w="1440" w:type="dxa"/>
            <w:noWrap w:val="0"/>
            <w:vAlign w:val="top"/>
          </w:tcPr>
          <w:p w14:paraId="5BCE83C7">
            <w:pPr>
              <w:topLinePunct/>
              <w:spacing w:line="400" w:lineRule="atLeast"/>
              <w:jc w:val="center"/>
              <w:rPr>
                <w:color w:val="auto"/>
                <w:szCs w:val="21"/>
                <w:highlight w:val="none"/>
              </w:rPr>
            </w:pPr>
          </w:p>
        </w:tc>
        <w:tc>
          <w:tcPr>
            <w:tcW w:w="2160" w:type="dxa"/>
            <w:noWrap w:val="0"/>
            <w:vAlign w:val="top"/>
          </w:tcPr>
          <w:p w14:paraId="7DBE9AB4">
            <w:pPr>
              <w:topLinePunct/>
              <w:spacing w:line="400" w:lineRule="atLeast"/>
              <w:jc w:val="center"/>
              <w:rPr>
                <w:color w:val="auto"/>
                <w:szCs w:val="21"/>
                <w:highlight w:val="none"/>
              </w:rPr>
            </w:pPr>
          </w:p>
        </w:tc>
      </w:tr>
      <w:tr w14:paraId="522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B378954">
            <w:pPr>
              <w:topLinePunct/>
              <w:spacing w:line="400" w:lineRule="atLeast"/>
              <w:jc w:val="center"/>
              <w:rPr>
                <w:color w:val="auto"/>
                <w:szCs w:val="21"/>
                <w:highlight w:val="none"/>
              </w:rPr>
            </w:pPr>
          </w:p>
        </w:tc>
        <w:tc>
          <w:tcPr>
            <w:tcW w:w="2402" w:type="dxa"/>
            <w:noWrap w:val="0"/>
            <w:vAlign w:val="top"/>
          </w:tcPr>
          <w:p w14:paraId="1295C61B">
            <w:pPr>
              <w:topLinePunct/>
              <w:spacing w:line="400" w:lineRule="atLeast"/>
              <w:jc w:val="center"/>
              <w:rPr>
                <w:color w:val="auto"/>
                <w:szCs w:val="21"/>
                <w:highlight w:val="none"/>
              </w:rPr>
            </w:pPr>
          </w:p>
        </w:tc>
        <w:tc>
          <w:tcPr>
            <w:tcW w:w="1800" w:type="dxa"/>
            <w:noWrap w:val="0"/>
            <w:vAlign w:val="top"/>
          </w:tcPr>
          <w:p w14:paraId="522C40FE">
            <w:pPr>
              <w:topLinePunct/>
              <w:spacing w:line="400" w:lineRule="atLeast"/>
              <w:jc w:val="center"/>
              <w:rPr>
                <w:color w:val="auto"/>
                <w:szCs w:val="21"/>
                <w:highlight w:val="none"/>
              </w:rPr>
            </w:pPr>
          </w:p>
        </w:tc>
        <w:tc>
          <w:tcPr>
            <w:tcW w:w="1440" w:type="dxa"/>
            <w:noWrap w:val="0"/>
            <w:vAlign w:val="top"/>
          </w:tcPr>
          <w:p w14:paraId="7D867325">
            <w:pPr>
              <w:topLinePunct/>
              <w:spacing w:line="400" w:lineRule="atLeast"/>
              <w:jc w:val="center"/>
              <w:rPr>
                <w:color w:val="auto"/>
                <w:szCs w:val="21"/>
                <w:highlight w:val="none"/>
              </w:rPr>
            </w:pPr>
          </w:p>
        </w:tc>
        <w:tc>
          <w:tcPr>
            <w:tcW w:w="2160" w:type="dxa"/>
            <w:noWrap w:val="0"/>
            <w:vAlign w:val="top"/>
          </w:tcPr>
          <w:p w14:paraId="71DF01BC">
            <w:pPr>
              <w:topLinePunct/>
              <w:spacing w:line="400" w:lineRule="atLeast"/>
              <w:jc w:val="center"/>
              <w:rPr>
                <w:color w:val="auto"/>
                <w:szCs w:val="21"/>
                <w:highlight w:val="none"/>
              </w:rPr>
            </w:pPr>
          </w:p>
        </w:tc>
      </w:tr>
      <w:tr w14:paraId="2918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B4812D3">
            <w:pPr>
              <w:topLinePunct/>
              <w:spacing w:line="400" w:lineRule="atLeast"/>
              <w:jc w:val="center"/>
              <w:rPr>
                <w:color w:val="auto"/>
                <w:szCs w:val="21"/>
                <w:highlight w:val="none"/>
              </w:rPr>
            </w:pPr>
          </w:p>
        </w:tc>
        <w:tc>
          <w:tcPr>
            <w:tcW w:w="2402" w:type="dxa"/>
            <w:noWrap w:val="0"/>
            <w:vAlign w:val="top"/>
          </w:tcPr>
          <w:p w14:paraId="1650EC05">
            <w:pPr>
              <w:topLinePunct/>
              <w:spacing w:line="400" w:lineRule="atLeast"/>
              <w:jc w:val="center"/>
              <w:rPr>
                <w:color w:val="auto"/>
                <w:szCs w:val="21"/>
                <w:highlight w:val="none"/>
              </w:rPr>
            </w:pPr>
          </w:p>
        </w:tc>
        <w:tc>
          <w:tcPr>
            <w:tcW w:w="1800" w:type="dxa"/>
            <w:noWrap w:val="0"/>
            <w:vAlign w:val="top"/>
          </w:tcPr>
          <w:p w14:paraId="0BA44630">
            <w:pPr>
              <w:topLinePunct/>
              <w:spacing w:line="400" w:lineRule="atLeast"/>
              <w:jc w:val="center"/>
              <w:rPr>
                <w:color w:val="auto"/>
                <w:szCs w:val="21"/>
                <w:highlight w:val="none"/>
              </w:rPr>
            </w:pPr>
          </w:p>
        </w:tc>
        <w:tc>
          <w:tcPr>
            <w:tcW w:w="1440" w:type="dxa"/>
            <w:noWrap w:val="0"/>
            <w:vAlign w:val="top"/>
          </w:tcPr>
          <w:p w14:paraId="0F1B2647">
            <w:pPr>
              <w:topLinePunct/>
              <w:spacing w:line="400" w:lineRule="atLeast"/>
              <w:jc w:val="center"/>
              <w:rPr>
                <w:color w:val="auto"/>
                <w:szCs w:val="21"/>
                <w:highlight w:val="none"/>
              </w:rPr>
            </w:pPr>
          </w:p>
        </w:tc>
        <w:tc>
          <w:tcPr>
            <w:tcW w:w="2160" w:type="dxa"/>
            <w:noWrap w:val="0"/>
            <w:vAlign w:val="top"/>
          </w:tcPr>
          <w:p w14:paraId="596132A1">
            <w:pPr>
              <w:topLinePunct/>
              <w:spacing w:line="400" w:lineRule="atLeast"/>
              <w:jc w:val="center"/>
              <w:rPr>
                <w:color w:val="auto"/>
                <w:szCs w:val="21"/>
                <w:highlight w:val="none"/>
              </w:rPr>
            </w:pPr>
          </w:p>
        </w:tc>
      </w:tr>
      <w:tr w14:paraId="65D7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8A61428">
            <w:pPr>
              <w:topLinePunct/>
              <w:spacing w:line="400" w:lineRule="atLeast"/>
              <w:jc w:val="center"/>
              <w:rPr>
                <w:color w:val="auto"/>
                <w:szCs w:val="21"/>
                <w:highlight w:val="none"/>
              </w:rPr>
            </w:pPr>
          </w:p>
        </w:tc>
        <w:tc>
          <w:tcPr>
            <w:tcW w:w="2402" w:type="dxa"/>
            <w:noWrap w:val="0"/>
            <w:vAlign w:val="top"/>
          </w:tcPr>
          <w:p w14:paraId="131A6044">
            <w:pPr>
              <w:topLinePunct/>
              <w:spacing w:line="400" w:lineRule="atLeast"/>
              <w:jc w:val="center"/>
              <w:rPr>
                <w:color w:val="auto"/>
                <w:szCs w:val="21"/>
                <w:highlight w:val="none"/>
              </w:rPr>
            </w:pPr>
          </w:p>
        </w:tc>
        <w:tc>
          <w:tcPr>
            <w:tcW w:w="1800" w:type="dxa"/>
            <w:noWrap w:val="0"/>
            <w:vAlign w:val="top"/>
          </w:tcPr>
          <w:p w14:paraId="1B17B06E">
            <w:pPr>
              <w:topLinePunct/>
              <w:spacing w:line="400" w:lineRule="atLeast"/>
              <w:jc w:val="center"/>
              <w:rPr>
                <w:color w:val="auto"/>
                <w:szCs w:val="21"/>
                <w:highlight w:val="none"/>
              </w:rPr>
            </w:pPr>
          </w:p>
        </w:tc>
        <w:tc>
          <w:tcPr>
            <w:tcW w:w="1440" w:type="dxa"/>
            <w:noWrap w:val="0"/>
            <w:vAlign w:val="top"/>
          </w:tcPr>
          <w:p w14:paraId="4C07FC4A">
            <w:pPr>
              <w:topLinePunct/>
              <w:spacing w:line="400" w:lineRule="atLeast"/>
              <w:jc w:val="center"/>
              <w:rPr>
                <w:color w:val="auto"/>
                <w:szCs w:val="21"/>
                <w:highlight w:val="none"/>
              </w:rPr>
            </w:pPr>
          </w:p>
        </w:tc>
        <w:tc>
          <w:tcPr>
            <w:tcW w:w="2160" w:type="dxa"/>
            <w:noWrap w:val="0"/>
            <w:vAlign w:val="top"/>
          </w:tcPr>
          <w:p w14:paraId="3D377F10">
            <w:pPr>
              <w:topLinePunct/>
              <w:spacing w:line="400" w:lineRule="atLeast"/>
              <w:jc w:val="center"/>
              <w:rPr>
                <w:color w:val="auto"/>
                <w:szCs w:val="21"/>
                <w:highlight w:val="none"/>
              </w:rPr>
            </w:pPr>
          </w:p>
        </w:tc>
      </w:tr>
      <w:tr w14:paraId="7CFC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C5C23CD">
            <w:pPr>
              <w:topLinePunct/>
              <w:spacing w:line="400" w:lineRule="atLeast"/>
              <w:jc w:val="center"/>
              <w:rPr>
                <w:color w:val="auto"/>
                <w:szCs w:val="21"/>
                <w:highlight w:val="none"/>
              </w:rPr>
            </w:pPr>
          </w:p>
        </w:tc>
        <w:tc>
          <w:tcPr>
            <w:tcW w:w="2402" w:type="dxa"/>
            <w:noWrap w:val="0"/>
            <w:vAlign w:val="top"/>
          </w:tcPr>
          <w:p w14:paraId="6EB70608">
            <w:pPr>
              <w:topLinePunct/>
              <w:spacing w:line="400" w:lineRule="atLeast"/>
              <w:jc w:val="center"/>
              <w:rPr>
                <w:color w:val="auto"/>
                <w:szCs w:val="21"/>
                <w:highlight w:val="none"/>
              </w:rPr>
            </w:pPr>
          </w:p>
        </w:tc>
        <w:tc>
          <w:tcPr>
            <w:tcW w:w="1800" w:type="dxa"/>
            <w:noWrap w:val="0"/>
            <w:vAlign w:val="top"/>
          </w:tcPr>
          <w:p w14:paraId="3B5E9B18">
            <w:pPr>
              <w:topLinePunct/>
              <w:spacing w:line="400" w:lineRule="atLeast"/>
              <w:jc w:val="center"/>
              <w:rPr>
                <w:color w:val="auto"/>
                <w:szCs w:val="21"/>
                <w:highlight w:val="none"/>
              </w:rPr>
            </w:pPr>
          </w:p>
        </w:tc>
        <w:tc>
          <w:tcPr>
            <w:tcW w:w="1440" w:type="dxa"/>
            <w:noWrap w:val="0"/>
            <w:vAlign w:val="top"/>
          </w:tcPr>
          <w:p w14:paraId="7FC7516B">
            <w:pPr>
              <w:topLinePunct/>
              <w:spacing w:line="400" w:lineRule="atLeast"/>
              <w:jc w:val="center"/>
              <w:rPr>
                <w:color w:val="auto"/>
                <w:szCs w:val="21"/>
                <w:highlight w:val="none"/>
              </w:rPr>
            </w:pPr>
          </w:p>
        </w:tc>
        <w:tc>
          <w:tcPr>
            <w:tcW w:w="2160" w:type="dxa"/>
            <w:noWrap w:val="0"/>
            <w:vAlign w:val="top"/>
          </w:tcPr>
          <w:p w14:paraId="1CF66C9B">
            <w:pPr>
              <w:topLinePunct/>
              <w:spacing w:line="400" w:lineRule="atLeast"/>
              <w:jc w:val="center"/>
              <w:rPr>
                <w:color w:val="auto"/>
                <w:szCs w:val="21"/>
                <w:highlight w:val="none"/>
              </w:rPr>
            </w:pPr>
          </w:p>
        </w:tc>
      </w:tr>
      <w:tr w14:paraId="5656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6E13A56">
            <w:pPr>
              <w:topLinePunct/>
              <w:spacing w:line="400" w:lineRule="atLeast"/>
              <w:jc w:val="center"/>
              <w:rPr>
                <w:color w:val="auto"/>
                <w:szCs w:val="21"/>
                <w:highlight w:val="none"/>
              </w:rPr>
            </w:pPr>
          </w:p>
        </w:tc>
        <w:tc>
          <w:tcPr>
            <w:tcW w:w="2402" w:type="dxa"/>
            <w:noWrap w:val="0"/>
            <w:vAlign w:val="top"/>
          </w:tcPr>
          <w:p w14:paraId="7BE23446">
            <w:pPr>
              <w:topLinePunct/>
              <w:spacing w:line="400" w:lineRule="atLeast"/>
              <w:jc w:val="center"/>
              <w:rPr>
                <w:color w:val="auto"/>
                <w:szCs w:val="21"/>
                <w:highlight w:val="none"/>
              </w:rPr>
            </w:pPr>
          </w:p>
        </w:tc>
        <w:tc>
          <w:tcPr>
            <w:tcW w:w="1800" w:type="dxa"/>
            <w:noWrap w:val="0"/>
            <w:vAlign w:val="top"/>
          </w:tcPr>
          <w:p w14:paraId="3A224169">
            <w:pPr>
              <w:topLinePunct/>
              <w:spacing w:line="400" w:lineRule="atLeast"/>
              <w:jc w:val="center"/>
              <w:rPr>
                <w:color w:val="auto"/>
                <w:szCs w:val="21"/>
                <w:highlight w:val="none"/>
              </w:rPr>
            </w:pPr>
          </w:p>
        </w:tc>
        <w:tc>
          <w:tcPr>
            <w:tcW w:w="1440" w:type="dxa"/>
            <w:noWrap w:val="0"/>
            <w:vAlign w:val="top"/>
          </w:tcPr>
          <w:p w14:paraId="64F01183">
            <w:pPr>
              <w:topLinePunct/>
              <w:spacing w:line="400" w:lineRule="atLeast"/>
              <w:jc w:val="center"/>
              <w:rPr>
                <w:color w:val="auto"/>
                <w:szCs w:val="21"/>
                <w:highlight w:val="none"/>
              </w:rPr>
            </w:pPr>
          </w:p>
        </w:tc>
        <w:tc>
          <w:tcPr>
            <w:tcW w:w="2160" w:type="dxa"/>
            <w:noWrap w:val="0"/>
            <w:vAlign w:val="top"/>
          </w:tcPr>
          <w:p w14:paraId="345CE017">
            <w:pPr>
              <w:topLinePunct/>
              <w:spacing w:line="400" w:lineRule="atLeast"/>
              <w:jc w:val="center"/>
              <w:rPr>
                <w:color w:val="auto"/>
                <w:szCs w:val="21"/>
                <w:highlight w:val="none"/>
              </w:rPr>
            </w:pPr>
          </w:p>
        </w:tc>
      </w:tr>
      <w:tr w14:paraId="0336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F6F1FA6">
            <w:pPr>
              <w:topLinePunct/>
              <w:spacing w:line="400" w:lineRule="atLeast"/>
              <w:jc w:val="center"/>
              <w:rPr>
                <w:color w:val="auto"/>
                <w:szCs w:val="21"/>
                <w:highlight w:val="none"/>
              </w:rPr>
            </w:pPr>
          </w:p>
        </w:tc>
        <w:tc>
          <w:tcPr>
            <w:tcW w:w="2402" w:type="dxa"/>
            <w:noWrap w:val="0"/>
            <w:vAlign w:val="top"/>
          </w:tcPr>
          <w:p w14:paraId="1D7C9253">
            <w:pPr>
              <w:topLinePunct/>
              <w:spacing w:line="400" w:lineRule="atLeast"/>
              <w:jc w:val="center"/>
              <w:rPr>
                <w:color w:val="auto"/>
                <w:szCs w:val="21"/>
                <w:highlight w:val="none"/>
              </w:rPr>
            </w:pPr>
          </w:p>
        </w:tc>
        <w:tc>
          <w:tcPr>
            <w:tcW w:w="1800" w:type="dxa"/>
            <w:noWrap w:val="0"/>
            <w:vAlign w:val="top"/>
          </w:tcPr>
          <w:p w14:paraId="4B5C13EE">
            <w:pPr>
              <w:topLinePunct/>
              <w:spacing w:line="400" w:lineRule="atLeast"/>
              <w:jc w:val="center"/>
              <w:rPr>
                <w:color w:val="auto"/>
                <w:szCs w:val="21"/>
                <w:highlight w:val="none"/>
              </w:rPr>
            </w:pPr>
          </w:p>
        </w:tc>
        <w:tc>
          <w:tcPr>
            <w:tcW w:w="1440" w:type="dxa"/>
            <w:noWrap w:val="0"/>
            <w:vAlign w:val="top"/>
          </w:tcPr>
          <w:p w14:paraId="797F085A">
            <w:pPr>
              <w:topLinePunct/>
              <w:spacing w:line="400" w:lineRule="atLeast"/>
              <w:jc w:val="center"/>
              <w:rPr>
                <w:color w:val="auto"/>
                <w:szCs w:val="21"/>
                <w:highlight w:val="none"/>
              </w:rPr>
            </w:pPr>
          </w:p>
        </w:tc>
        <w:tc>
          <w:tcPr>
            <w:tcW w:w="2160" w:type="dxa"/>
            <w:noWrap w:val="0"/>
            <w:vAlign w:val="top"/>
          </w:tcPr>
          <w:p w14:paraId="5722FAA5">
            <w:pPr>
              <w:topLinePunct/>
              <w:spacing w:line="400" w:lineRule="atLeast"/>
              <w:jc w:val="center"/>
              <w:rPr>
                <w:color w:val="auto"/>
                <w:szCs w:val="21"/>
                <w:highlight w:val="none"/>
              </w:rPr>
            </w:pPr>
          </w:p>
        </w:tc>
      </w:tr>
      <w:tr w14:paraId="082F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5174976">
            <w:pPr>
              <w:topLinePunct/>
              <w:spacing w:line="400" w:lineRule="atLeast"/>
              <w:jc w:val="center"/>
              <w:rPr>
                <w:color w:val="auto"/>
                <w:szCs w:val="21"/>
                <w:highlight w:val="none"/>
              </w:rPr>
            </w:pPr>
          </w:p>
        </w:tc>
        <w:tc>
          <w:tcPr>
            <w:tcW w:w="2402" w:type="dxa"/>
            <w:noWrap w:val="0"/>
            <w:vAlign w:val="top"/>
          </w:tcPr>
          <w:p w14:paraId="7383A084">
            <w:pPr>
              <w:topLinePunct/>
              <w:spacing w:line="400" w:lineRule="atLeast"/>
              <w:jc w:val="center"/>
              <w:rPr>
                <w:color w:val="auto"/>
                <w:szCs w:val="21"/>
                <w:highlight w:val="none"/>
              </w:rPr>
            </w:pPr>
          </w:p>
        </w:tc>
        <w:tc>
          <w:tcPr>
            <w:tcW w:w="1800" w:type="dxa"/>
            <w:noWrap w:val="0"/>
            <w:vAlign w:val="top"/>
          </w:tcPr>
          <w:p w14:paraId="6DDE004F">
            <w:pPr>
              <w:topLinePunct/>
              <w:spacing w:line="400" w:lineRule="atLeast"/>
              <w:jc w:val="center"/>
              <w:rPr>
                <w:color w:val="auto"/>
                <w:szCs w:val="21"/>
                <w:highlight w:val="none"/>
              </w:rPr>
            </w:pPr>
          </w:p>
        </w:tc>
        <w:tc>
          <w:tcPr>
            <w:tcW w:w="1440" w:type="dxa"/>
            <w:noWrap w:val="0"/>
            <w:vAlign w:val="top"/>
          </w:tcPr>
          <w:p w14:paraId="6A31F036">
            <w:pPr>
              <w:topLinePunct/>
              <w:spacing w:line="400" w:lineRule="atLeast"/>
              <w:jc w:val="center"/>
              <w:rPr>
                <w:color w:val="auto"/>
                <w:szCs w:val="21"/>
                <w:highlight w:val="none"/>
              </w:rPr>
            </w:pPr>
          </w:p>
        </w:tc>
        <w:tc>
          <w:tcPr>
            <w:tcW w:w="2160" w:type="dxa"/>
            <w:noWrap w:val="0"/>
            <w:vAlign w:val="top"/>
          </w:tcPr>
          <w:p w14:paraId="18F74620">
            <w:pPr>
              <w:topLinePunct/>
              <w:spacing w:line="400" w:lineRule="atLeast"/>
              <w:jc w:val="center"/>
              <w:rPr>
                <w:color w:val="auto"/>
                <w:szCs w:val="21"/>
                <w:highlight w:val="none"/>
              </w:rPr>
            </w:pPr>
          </w:p>
        </w:tc>
      </w:tr>
      <w:tr w14:paraId="2358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BF82898">
            <w:pPr>
              <w:topLinePunct/>
              <w:spacing w:line="400" w:lineRule="atLeast"/>
              <w:jc w:val="center"/>
              <w:rPr>
                <w:color w:val="auto"/>
                <w:szCs w:val="21"/>
                <w:highlight w:val="none"/>
              </w:rPr>
            </w:pPr>
          </w:p>
        </w:tc>
        <w:tc>
          <w:tcPr>
            <w:tcW w:w="2402" w:type="dxa"/>
            <w:noWrap w:val="0"/>
            <w:vAlign w:val="top"/>
          </w:tcPr>
          <w:p w14:paraId="77491345">
            <w:pPr>
              <w:topLinePunct/>
              <w:spacing w:line="400" w:lineRule="atLeast"/>
              <w:jc w:val="center"/>
              <w:rPr>
                <w:color w:val="auto"/>
                <w:szCs w:val="21"/>
                <w:highlight w:val="none"/>
              </w:rPr>
            </w:pPr>
          </w:p>
        </w:tc>
        <w:tc>
          <w:tcPr>
            <w:tcW w:w="1800" w:type="dxa"/>
            <w:noWrap w:val="0"/>
            <w:vAlign w:val="top"/>
          </w:tcPr>
          <w:p w14:paraId="7E489F93">
            <w:pPr>
              <w:topLinePunct/>
              <w:spacing w:line="400" w:lineRule="atLeast"/>
              <w:jc w:val="center"/>
              <w:rPr>
                <w:color w:val="auto"/>
                <w:szCs w:val="21"/>
                <w:highlight w:val="none"/>
              </w:rPr>
            </w:pPr>
          </w:p>
        </w:tc>
        <w:tc>
          <w:tcPr>
            <w:tcW w:w="1440" w:type="dxa"/>
            <w:noWrap w:val="0"/>
            <w:vAlign w:val="top"/>
          </w:tcPr>
          <w:p w14:paraId="1CD758D9">
            <w:pPr>
              <w:topLinePunct/>
              <w:spacing w:line="400" w:lineRule="atLeast"/>
              <w:jc w:val="center"/>
              <w:rPr>
                <w:color w:val="auto"/>
                <w:szCs w:val="21"/>
                <w:highlight w:val="none"/>
              </w:rPr>
            </w:pPr>
          </w:p>
        </w:tc>
        <w:tc>
          <w:tcPr>
            <w:tcW w:w="2160" w:type="dxa"/>
            <w:noWrap w:val="0"/>
            <w:vAlign w:val="top"/>
          </w:tcPr>
          <w:p w14:paraId="21EEA415">
            <w:pPr>
              <w:topLinePunct/>
              <w:spacing w:line="400" w:lineRule="atLeast"/>
              <w:jc w:val="center"/>
              <w:rPr>
                <w:color w:val="auto"/>
                <w:szCs w:val="21"/>
                <w:highlight w:val="none"/>
              </w:rPr>
            </w:pPr>
          </w:p>
        </w:tc>
      </w:tr>
      <w:tr w14:paraId="0A44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26228A1">
            <w:pPr>
              <w:topLinePunct/>
              <w:spacing w:line="400" w:lineRule="atLeast"/>
              <w:jc w:val="center"/>
              <w:rPr>
                <w:color w:val="auto"/>
                <w:szCs w:val="21"/>
                <w:highlight w:val="none"/>
              </w:rPr>
            </w:pPr>
          </w:p>
        </w:tc>
        <w:tc>
          <w:tcPr>
            <w:tcW w:w="2402" w:type="dxa"/>
            <w:noWrap w:val="0"/>
            <w:vAlign w:val="top"/>
          </w:tcPr>
          <w:p w14:paraId="5BD4EC6B">
            <w:pPr>
              <w:topLinePunct/>
              <w:spacing w:line="400" w:lineRule="atLeast"/>
              <w:jc w:val="center"/>
              <w:rPr>
                <w:color w:val="auto"/>
                <w:szCs w:val="21"/>
                <w:highlight w:val="none"/>
              </w:rPr>
            </w:pPr>
          </w:p>
        </w:tc>
        <w:tc>
          <w:tcPr>
            <w:tcW w:w="1800" w:type="dxa"/>
            <w:noWrap w:val="0"/>
            <w:vAlign w:val="top"/>
          </w:tcPr>
          <w:p w14:paraId="5904A4BD">
            <w:pPr>
              <w:topLinePunct/>
              <w:spacing w:line="400" w:lineRule="atLeast"/>
              <w:jc w:val="center"/>
              <w:rPr>
                <w:color w:val="auto"/>
                <w:szCs w:val="21"/>
                <w:highlight w:val="none"/>
              </w:rPr>
            </w:pPr>
          </w:p>
        </w:tc>
        <w:tc>
          <w:tcPr>
            <w:tcW w:w="1440" w:type="dxa"/>
            <w:noWrap w:val="0"/>
            <w:vAlign w:val="top"/>
          </w:tcPr>
          <w:p w14:paraId="348D5A88">
            <w:pPr>
              <w:topLinePunct/>
              <w:spacing w:line="400" w:lineRule="atLeast"/>
              <w:jc w:val="center"/>
              <w:rPr>
                <w:color w:val="auto"/>
                <w:szCs w:val="21"/>
                <w:highlight w:val="none"/>
              </w:rPr>
            </w:pPr>
          </w:p>
        </w:tc>
        <w:tc>
          <w:tcPr>
            <w:tcW w:w="2160" w:type="dxa"/>
            <w:noWrap w:val="0"/>
            <w:vAlign w:val="top"/>
          </w:tcPr>
          <w:p w14:paraId="00651458">
            <w:pPr>
              <w:topLinePunct/>
              <w:spacing w:line="400" w:lineRule="atLeast"/>
              <w:jc w:val="center"/>
              <w:rPr>
                <w:color w:val="auto"/>
                <w:szCs w:val="21"/>
                <w:highlight w:val="none"/>
              </w:rPr>
            </w:pPr>
          </w:p>
        </w:tc>
      </w:tr>
    </w:tbl>
    <w:p w14:paraId="58A269CA">
      <w:pPr>
        <w:ind w:left="945" w:hanging="945" w:hangingChars="45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本表后应附表彰文件、获奖证书及其他证明材料等的</w:t>
      </w:r>
      <w:r>
        <w:rPr>
          <w:rFonts w:hint="eastAsia" w:ascii="宋体" w:hAnsi="宋体"/>
          <w:color w:val="auto"/>
          <w:szCs w:val="21"/>
          <w:highlight w:val="none"/>
        </w:rPr>
        <w:t>证明材料</w:t>
      </w:r>
      <w:r>
        <w:rPr>
          <w:rFonts w:hint="eastAsia"/>
          <w:color w:val="auto"/>
          <w:szCs w:val="21"/>
          <w:highlight w:val="none"/>
        </w:rPr>
        <w:t>。</w:t>
      </w:r>
    </w:p>
    <w:p w14:paraId="1BA803B7">
      <w:pPr>
        <w:spacing w:line="400" w:lineRule="atLeast"/>
        <w:ind w:left="840" w:leftChars="300" w:hanging="210" w:hangingChars="100"/>
        <w:rPr>
          <w:rFonts w:hint="eastAsia"/>
          <w:color w:val="auto"/>
          <w:szCs w:val="21"/>
          <w:highlight w:val="none"/>
        </w:rPr>
      </w:pPr>
      <w:r>
        <w:rPr>
          <w:color w:val="auto"/>
          <w:szCs w:val="21"/>
          <w:highlight w:val="none"/>
        </w:rPr>
        <w:t>2</w:t>
      </w:r>
      <w:r>
        <w:rPr>
          <w:rFonts w:hint="eastAsia"/>
          <w:color w:val="auto"/>
          <w:szCs w:val="21"/>
          <w:highlight w:val="none"/>
          <w:lang w:val="en-US" w:eastAsia="zh-CN"/>
        </w:rPr>
        <w:t>.</w:t>
      </w:r>
      <w:r>
        <w:rPr>
          <w:rFonts w:hint="eastAsia"/>
          <w:color w:val="auto"/>
          <w:szCs w:val="21"/>
          <w:highlight w:val="none"/>
        </w:rPr>
        <w:t>颁奖单位应当是国家机关或民政部门注册登记的合法颁奖单位。</w:t>
      </w:r>
    </w:p>
    <w:p w14:paraId="2E384825">
      <w:pPr>
        <w:rPr>
          <w:color w:val="auto"/>
          <w:highlight w:val="none"/>
        </w:rPr>
        <w:sectPr>
          <w:footerReference r:id="rId4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824BAD2">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300" w:name="_Toc256000234"/>
      <w:bookmarkStart w:id="2301" w:name="_Toc122603103"/>
      <w:r>
        <w:rPr>
          <w:rFonts w:hint="default"/>
          <w:color w:val="auto"/>
          <w:szCs w:val="24"/>
          <w:highlight w:val="none"/>
        </w:rPr>
        <w:t>5-5</w:t>
      </w:r>
      <w:r>
        <w:rPr>
          <w:rFonts w:hint="eastAsia"/>
          <w:color w:val="auto"/>
          <w:szCs w:val="24"/>
          <w:highlight w:val="none"/>
        </w:rPr>
        <w:t xml:space="preserve"> 近年项目经理获表彰</w:t>
      </w:r>
      <w:r>
        <w:rPr>
          <w:color w:val="auto"/>
          <w:szCs w:val="24"/>
          <w:highlight w:val="none"/>
        </w:rPr>
        <w:t>情况表</w:t>
      </w:r>
      <w:bookmarkEnd w:id="2300"/>
      <w:bookmarkEnd w:id="2301"/>
    </w:p>
    <w:tbl>
      <w:tblPr>
        <w:tblStyle w:val="2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2B2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1B968C00">
            <w:pPr>
              <w:topLinePunct/>
              <w:spacing w:line="400" w:lineRule="atLeast"/>
              <w:jc w:val="center"/>
              <w:rPr>
                <w:rFonts w:hint="eastAsia"/>
                <w:color w:val="auto"/>
                <w:szCs w:val="21"/>
                <w:highlight w:val="none"/>
              </w:rPr>
            </w:pPr>
            <w:r>
              <w:rPr>
                <w:rFonts w:hint="eastAsia"/>
                <w:color w:val="auto"/>
                <w:szCs w:val="21"/>
                <w:highlight w:val="none"/>
              </w:rPr>
              <w:t>序号</w:t>
            </w:r>
          </w:p>
        </w:tc>
        <w:tc>
          <w:tcPr>
            <w:tcW w:w="3482" w:type="dxa"/>
            <w:noWrap w:val="0"/>
            <w:vAlign w:val="top"/>
          </w:tcPr>
          <w:p w14:paraId="46151440">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800" w:type="dxa"/>
            <w:noWrap w:val="0"/>
            <w:vAlign w:val="top"/>
          </w:tcPr>
          <w:p w14:paraId="7FC5A047">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520" w:type="dxa"/>
            <w:noWrap w:val="0"/>
            <w:vAlign w:val="top"/>
          </w:tcPr>
          <w:p w14:paraId="31094B11">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3B7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1313D494">
            <w:pPr>
              <w:topLinePunct/>
              <w:spacing w:line="400" w:lineRule="atLeast"/>
              <w:jc w:val="center"/>
              <w:rPr>
                <w:color w:val="auto"/>
                <w:szCs w:val="21"/>
                <w:highlight w:val="none"/>
              </w:rPr>
            </w:pPr>
          </w:p>
        </w:tc>
        <w:tc>
          <w:tcPr>
            <w:tcW w:w="3482" w:type="dxa"/>
            <w:noWrap w:val="0"/>
            <w:vAlign w:val="top"/>
          </w:tcPr>
          <w:p w14:paraId="4275D42F">
            <w:pPr>
              <w:topLinePunct/>
              <w:spacing w:line="400" w:lineRule="atLeast"/>
              <w:jc w:val="center"/>
              <w:rPr>
                <w:color w:val="auto"/>
                <w:szCs w:val="21"/>
                <w:highlight w:val="none"/>
              </w:rPr>
            </w:pPr>
          </w:p>
        </w:tc>
        <w:tc>
          <w:tcPr>
            <w:tcW w:w="1800" w:type="dxa"/>
            <w:noWrap w:val="0"/>
            <w:vAlign w:val="top"/>
          </w:tcPr>
          <w:p w14:paraId="36D4EFE4">
            <w:pPr>
              <w:topLinePunct/>
              <w:spacing w:line="400" w:lineRule="atLeast"/>
              <w:jc w:val="center"/>
              <w:rPr>
                <w:color w:val="auto"/>
                <w:szCs w:val="21"/>
                <w:highlight w:val="none"/>
              </w:rPr>
            </w:pPr>
          </w:p>
        </w:tc>
        <w:tc>
          <w:tcPr>
            <w:tcW w:w="2520" w:type="dxa"/>
            <w:noWrap w:val="0"/>
            <w:vAlign w:val="top"/>
          </w:tcPr>
          <w:p w14:paraId="1C34D79F">
            <w:pPr>
              <w:topLinePunct/>
              <w:spacing w:line="400" w:lineRule="atLeast"/>
              <w:jc w:val="center"/>
              <w:rPr>
                <w:color w:val="auto"/>
                <w:szCs w:val="21"/>
                <w:highlight w:val="none"/>
              </w:rPr>
            </w:pPr>
          </w:p>
        </w:tc>
      </w:tr>
      <w:tr w14:paraId="396E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14416DBC">
            <w:pPr>
              <w:topLinePunct/>
              <w:spacing w:line="400" w:lineRule="atLeast"/>
              <w:jc w:val="center"/>
              <w:rPr>
                <w:color w:val="auto"/>
                <w:szCs w:val="21"/>
                <w:highlight w:val="none"/>
              </w:rPr>
            </w:pPr>
          </w:p>
        </w:tc>
        <w:tc>
          <w:tcPr>
            <w:tcW w:w="3482" w:type="dxa"/>
            <w:noWrap w:val="0"/>
            <w:vAlign w:val="top"/>
          </w:tcPr>
          <w:p w14:paraId="3CB94E1A">
            <w:pPr>
              <w:topLinePunct/>
              <w:spacing w:line="400" w:lineRule="atLeast"/>
              <w:jc w:val="center"/>
              <w:rPr>
                <w:color w:val="auto"/>
                <w:szCs w:val="21"/>
                <w:highlight w:val="none"/>
              </w:rPr>
            </w:pPr>
          </w:p>
        </w:tc>
        <w:tc>
          <w:tcPr>
            <w:tcW w:w="1800" w:type="dxa"/>
            <w:noWrap w:val="0"/>
            <w:vAlign w:val="top"/>
          </w:tcPr>
          <w:p w14:paraId="0DAA4F79">
            <w:pPr>
              <w:topLinePunct/>
              <w:spacing w:line="400" w:lineRule="atLeast"/>
              <w:jc w:val="center"/>
              <w:rPr>
                <w:color w:val="auto"/>
                <w:szCs w:val="21"/>
                <w:highlight w:val="none"/>
              </w:rPr>
            </w:pPr>
          </w:p>
        </w:tc>
        <w:tc>
          <w:tcPr>
            <w:tcW w:w="2520" w:type="dxa"/>
            <w:noWrap w:val="0"/>
            <w:vAlign w:val="top"/>
          </w:tcPr>
          <w:p w14:paraId="2959AE88">
            <w:pPr>
              <w:topLinePunct/>
              <w:spacing w:line="400" w:lineRule="atLeast"/>
              <w:jc w:val="center"/>
              <w:rPr>
                <w:color w:val="auto"/>
                <w:szCs w:val="21"/>
                <w:highlight w:val="none"/>
              </w:rPr>
            </w:pPr>
          </w:p>
        </w:tc>
      </w:tr>
      <w:tr w14:paraId="7B7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DDA0844">
            <w:pPr>
              <w:topLinePunct/>
              <w:spacing w:line="400" w:lineRule="atLeast"/>
              <w:jc w:val="center"/>
              <w:rPr>
                <w:color w:val="auto"/>
                <w:szCs w:val="21"/>
                <w:highlight w:val="none"/>
              </w:rPr>
            </w:pPr>
          </w:p>
        </w:tc>
        <w:tc>
          <w:tcPr>
            <w:tcW w:w="3482" w:type="dxa"/>
            <w:noWrap w:val="0"/>
            <w:vAlign w:val="top"/>
          </w:tcPr>
          <w:p w14:paraId="7EB72F25">
            <w:pPr>
              <w:topLinePunct/>
              <w:spacing w:line="400" w:lineRule="atLeast"/>
              <w:jc w:val="center"/>
              <w:rPr>
                <w:color w:val="auto"/>
                <w:szCs w:val="21"/>
                <w:highlight w:val="none"/>
              </w:rPr>
            </w:pPr>
          </w:p>
        </w:tc>
        <w:tc>
          <w:tcPr>
            <w:tcW w:w="1800" w:type="dxa"/>
            <w:noWrap w:val="0"/>
            <w:vAlign w:val="top"/>
          </w:tcPr>
          <w:p w14:paraId="79C76449">
            <w:pPr>
              <w:topLinePunct/>
              <w:spacing w:line="400" w:lineRule="atLeast"/>
              <w:jc w:val="center"/>
              <w:rPr>
                <w:color w:val="auto"/>
                <w:szCs w:val="21"/>
                <w:highlight w:val="none"/>
              </w:rPr>
            </w:pPr>
          </w:p>
        </w:tc>
        <w:tc>
          <w:tcPr>
            <w:tcW w:w="2520" w:type="dxa"/>
            <w:noWrap w:val="0"/>
            <w:vAlign w:val="top"/>
          </w:tcPr>
          <w:p w14:paraId="4E168A31">
            <w:pPr>
              <w:topLinePunct/>
              <w:spacing w:line="400" w:lineRule="atLeast"/>
              <w:jc w:val="center"/>
              <w:rPr>
                <w:color w:val="auto"/>
                <w:szCs w:val="21"/>
                <w:highlight w:val="none"/>
              </w:rPr>
            </w:pPr>
          </w:p>
        </w:tc>
      </w:tr>
      <w:tr w14:paraId="1195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4F61EC23">
            <w:pPr>
              <w:topLinePunct/>
              <w:spacing w:line="400" w:lineRule="atLeast"/>
              <w:jc w:val="center"/>
              <w:rPr>
                <w:color w:val="auto"/>
                <w:szCs w:val="21"/>
                <w:highlight w:val="none"/>
              </w:rPr>
            </w:pPr>
          </w:p>
        </w:tc>
        <w:tc>
          <w:tcPr>
            <w:tcW w:w="3482" w:type="dxa"/>
            <w:noWrap w:val="0"/>
            <w:vAlign w:val="top"/>
          </w:tcPr>
          <w:p w14:paraId="5DC1E673">
            <w:pPr>
              <w:topLinePunct/>
              <w:spacing w:line="400" w:lineRule="atLeast"/>
              <w:jc w:val="center"/>
              <w:rPr>
                <w:color w:val="auto"/>
                <w:szCs w:val="21"/>
                <w:highlight w:val="none"/>
              </w:rPr>
            </w:pPr>
          </w:p>
        </w:tc>
        <w:tc>
          <w:tcPr>
            <w:tcW w:w="1800" w:type="dxa"/>
            <w:noWrap w:val="0"/>
            <w:vAlign w:val="top"/>
          </w:tcPr>
          <w:p w14:paraId="333A8133">
            <w:pPr>
              <w:topLinePunct/>
              <w:spacing w:line="400" w:lineRule="atLeast"/>
              <w:jc w:val="center"/>
              <w:rPr>
                <w:color w:val="auto"/>
                <w:szCs w:val="21"/>
                <w:highlight w:val="none"/>
              </w:rPr>
            </w:pPr>
          </w:p>
        </w:tc>
        <w:tc>
          <w:tcPr>
            <w:tcW w:w="2520" w:type="dxa"/>
            <w:noWrap w:val="0"/>
            <w:vAlign w:val="top"/>
          </w:tcPr>
          <w:p w14:paraId="507F4337">
            <w:pPr>
              <w:topLinePunct/>
              <w:spacing w:line="400" w:lineRule="atLeast"/>
              <w:jc w:val="center"/>
              <w:rPr>
                <w:color w:val="auto"/>
                <w:szCs w:val="21"/>
                <w:highlight w:val="none"/>
              </w:rPr>
            </w:pPr>
          </w:p>
        </w:tc>
      </w:tr>
      <w:tr w14:paraId="048D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0748B440">
            <w:pPr>
              <w:topLinePunct/>
              <w:spacing w:line="400" w:lineRule="atLeast"/>
              <w:jc w:val="center"/>
              <w:rPr>
                <w:color w:val="auto"/>
                <w:szCs w:val="21"/>
                <w:highlight w:val="none"/>
              </w:rPr>
            </w:pPr>
          </w:p>
        </w:tc>
        <w:tc>
          <w:tcPr>
            <w:tcW w:w="3482" w:type="dxa"/>
            <w:noWrap w:val="0"/>
            <w:vAlign w:val="top"/>
          </w:tcPr>
          <w:p w14:paraId="53258AC2">
            <w:pPr>
              <w:topLinePunct/>
              <w:spacing w:line="400" w:lineRule="atLeast"/>
              <w:jc w:val="center"/>
              <w:rPr>
                <w:color w:val="auto"/>
                <w:szCs w:val="21"/>
                <w:highlight w:val="none"/>
              </w:rPr>
            </w:pPr>
          </w:p>
        </w:tc>
        <w:tc>
          <w:tcPr>
            <w:tcW w:w="1800" w:type="dxa"/>
            <w:noWrap w:val="0"/>
            <w:vAlign w:val="top"/>
          </w:tcPr>
          <w:p w14:paraId="42E63F1F">
            <w:pPr>
              <w:topLinePunct/>
              <w:spacing w:line="400" w:lineRule="atLeast"/>
              <w:jc w:val="center"/>
              <w:rPr>
                <w:color w:val="auto"/>
                <w:szCs w:val="21"/>
                <w:highlight w:val="none"/>
              </w:rPr>
            </w:pPr>
          </w:p>
        </w:tc>
        <w:tc>
          <w:tcPr>
            <w:tcW w:w="2520" w:type="dxa"/>
            <w:noWrap w:val="0"/>
            <w:vAlign w:val="top"/>
          </w:tcPr>
          <w:p w14:paraId="2A8AF175">
            <w:pPr>
              <w:topLinePunct/>
              <w:spacing w:line="400" w:lineRule="atLeast"/>
              <w:jc w:val="center"/>
              <w:rPr>
                <w:color w:val="auto"/>
                <w:szCs w:val="21"/>
                <w:highlight w:val="none"/>
              </w:rPr>
            </w:pPr>
          </w:p>
        </w:tc>
      </w:tr>
      <w:tr w14:paraId="4739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718CD0F7">
            <w:pPr>
              <w:topLinePunct/>
              <w:spacing w:line="400" w:lineRule="atLeast"/>
              <w:jc w:val="center"/>
              <w:rPr>
                <w:color w:val="auto"/>
                <w:szCs w:val="21"/>
                <w:highlight w:val="none"/>
              </w:rPr>
            </w:pPr>
          </w:p>
        </w:tc>
        <w:tc>
          <w:tcPr>
            <w:tcW w:w="3482" w:type="dxa"/>
            <w:noWrap w:val="0"/>
            <w:vAlign w:val="top"/>
          </w:tcPr>
          <w:p w14:paraId="15B1F6D4">
            <w:pPr>
              <w:topLinePunct/>
              <w:spacing w:line="400" w:lineRule="atLeast"/>
              <w:jc w:val="center"/>
              <w:rPr>
                <w:color w:val="auto"/>
                <w:szCs w:val="21"/>
                <w:highlight w:val="none"/>
              </w:rPr>
            </w:pPr>
          </w:p>
        </w:tc>
        <w:tc>
          <w:tcPr>
            <w:tcW w:w="1800" w:type="dxa"/>
            <w:noWrap w:val="0"/>
            <w:vAlign w:val="top"/>
          </w:tcPr>
          <w:p w14:paraId="0CC6E933">
            <w:pPr>
              <w:topLinePunct/>
              <w:spacing w:line="400" w:lineRule="atLeast"/>
              <w:jc w:val="center"/>
              <w:rPr>
                <w:color w:val="auto"/>
                <w:szCs w:val="21"/>
                <w:highlight w:val="none"/>
              </w:rPr>
            </w:pPr>
          </w:p>
        </w:tc>
        <w:tc>
          <w:tcPr>
            <w:tcW w:w="2520" w:type="dxa"/>
            <w:noWrap w:val="0"/>
            <w:vAlign w:val="top"/>
          </w:tcPr>
          <w:p w14:paraId="144B092D">
            <w:pPr>
              <w:topLinePunct/>
              <w:spacing w:line="400" w:lineRule="atLeast"/>
              <w:jc w:val="center"/>
              <w:rPr>
                <w:color w:val="auto"/>
                <w:szCs w:val="21"/>
                <w:highlight w:val="none"/>
              </w:rPr>
            </w:pPr>
          </w:p>
        </w:tc>
      </w:tr>
      <w:tr w14:paraId="5323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08057BB">
            <w:pPr>
              <w:topLinePunct/>
              <w:spacing w:line="400" w:lineRule="atLeast"/>
              <w:jc w:val="center"/>
              <w:rPr>
                <w:color w:val="auto"/>
                <w:szCs w:val="21"/>
                <w:highlight w:val="none"/>
              </w:rPr>
            </w:pPr>
          </w:p>
        </w:tc>
        <w:tc>
          <w:tcPr>
            <w:tcW w:w="3482" w:type="dxa"/>
            <w:noWrap w:val="0"/>
            <w:vAlign w:val="top"/>
          </w:tcPr>
          <w:p w14:paraId="6396C002">
            <w:pPr>
              <w:topLinePunct/>
              <w:spacing w:line="400" w:lineRule="atLeast"/>
              <w:jc w:val="center"/>
              <w:rPr>
                <w:color w:val="auto"/>
                <w:szCs w:val="21"/>
                <w:highlight w:val="none"/>
              </w:rPr>
            </w:pPr>
          </w:p>
        </w:tc>
        <w:tc>
          <w:tcPr>
            <w:tcW w:w="1800" w:type="dxa"/>
            <w:noWrap w:val="0"/>
            <w:vAlign w:val="top"/>
          </w:tcPr>
          <w:p w14:paraId="467D5740">
            <w:pPr>
              <w:topLinePunct/>
              <w:spacing w:line="400" w:lineRule="atLeast"/>
              <w:jc w:val="center"/>
              <w:rPr>
                <w:color w:val="auto"/>
                <w:szCs w:val="21"/>
                <w:highlight w:val="none"/>
              </w:rPr>
            </w:pPr>
          </w:p>
        </w:tc>
        <w:tc>
          <w:tcPr>
            <w:tcW w:w="2520" w:type="dxa"/>
            <w:noWrap w:val="0"/>
            <w:vAlign w:val="top"/>
          </w:tcPr>
          <w:p w14:paraId="3C1953D5">
            <w:pPr>
              <w:topLinePunct/>
              <w:spacing w:line="400" w:lineRule="atLeast"/>
              <w:jc w:val="center"/>
              <w:rPr>
                <w:color w:val="auto"/>
                <w:szCs w:val="21"/>
                <w:highlight w:val="none"/>
              </w:rPr>
            </w:pPr>
          </w:p>
        </w:tc>
      </w:tr>
      <w:tr w14:paraId="5F20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63D3FE4">
            <w:pPr>
              <w:topLinePunct/>
              <w:spacing w:line="400" w:lineRule="atLeast"/>
              <w:jc w:val="center"/>
              <w:rPr>
                <w:color w:val="auto"/>
                <w:szCs w:val="21"/>
                <w:highlight w:val="none"/>
              </w:rPr>
            </w:pPr>
          </w:p>
        </w:tc>
        <w:tc>
          <w:tcPr>
            <w:tcW w:w="3482" w:type="dxa"/>
            <w:noWrap w:val="0"/>
            <w:vAlign w:val="top"/>
          </w:tcPr>
          <w:p w14:paraId="374C8BDC">
            <w:pPr>
              <w:topLinePunct/>
              <w:spacing w:line="400" w:lineRule="atLeast"/>
              <w:jc w:val="center"/>
              <w:rPr>
                <w:color w:val="auto"/>
                <w:szCs w:val="21"/>
                <w:highlight w:val="none"/>
              </w:rPr>
            </w:pPr>
          </w:p>
        </w:tc>
        <w:tc>
          <w:tcPr>
            <w:tcW w:w="1800" w:type="dxa"/>
            <w:noWrap w:val="0"/>
            <w:vAlign w:val="top"/>
          </w:tcPr>
          <w:p w14:paraId="61219410">
            <w:pPr>
              <w:topLinePunct/>
              <w:spacing w:line="400" w:lineRule="atLeast"/>
              <w:jc w:val="center"/>
              <w:rPr>
                <w:color w:val="auto"/>
                <w:szCs w:val="21"/>
                <w:highlight w:val="none"/>
              </w:rPr>
            </w:pPr>
          </w:p>
        </w:tc>
        <w:tc>
          <w:tcPr>
            <w:tcW w:w="2520" w:type="dxa"/>
            <w:noWrap w:val="0"/>
            <w:vAlign w:val="top"/>
          </w:tcPr>
          <w:p w14:paraId="0FBB36D6">
            <w:pPr>
              <w:topLinePunct/>
              <w:spacing w:line="400" w:lineRule="atLeast"/>
              <w:jc w:val="center"/>
              <w:rPr>
                <w:color w:val="auto"/>
                <w:szCs w:val="21"/>
                <w:highlight w:val="none"/>
              </w:rPr>
            </w:pPr>
          </w:p>
        </w:tc>
      </w:tr>
      <w:tr w14:paraId="791F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F0DAE59">
            <w:pPr>
              <w:topLinePunct/>
              <w:spacing w:line="400" w:lineRule="atLeast"/>
              <w:jc w:val="center"/>
              <w:rPr>
                <w:color w:val="auto"/>
                <w:szCs w:val="21"/>
                <w:highlight w:val="none"/>
              </w:rPr>
            </w:pPr>
          </w:p>
        </w:tc>
        <w:tc>
          <w:tcPr>
            <w:tcW w:w="3482" w:type="dxa"/>
            <w:noWrap w:val="0"/>
            <w:vAlign w:val="top"/>
          </w:tcPr>
          <w:p w14:paraId="19D89D7D">
            <w:pPr>
              <w:topLinePunct/>
              <w:spacing w:line="400" w:lineRule="atLeast"/>
              <w:jc w:val="center"/>
              <w:rPr>
                <w:color w:val="auto"/>
                <w:szCs w:val="21"/>
                <w:highlight w:val="none"/>
              </w:rPr>
            </w:pPr>
          </w:p>
        </w:tc>
        <w:tc>
          <w:tcPr>
            <w:tcW w:w="1800" w:type="dxa"/>
            <w:noWrap w:val="0"/>
            <w:vAlign w:val="top"/>
          </w:tcPr>
          <w:p w14:paraId="29A31EA3">
            <w:pPr>
              <w:topLinePunct/>
              <w:spacing w:line="400" w:lineRule="atLeast"/>
              <w:jc w:val="center"/>
              <w:rPr>
                <w:color w:val="auto"/>
                <w:szCs w:val="21"/>
                <w:highlight w:val="none"/>
              </w:rPr>
            </w:pPr>
          </w:p>
        </w:tc>
        <w:tc>
          <w:tcPr>
            <w:tcW w:w="2520" w:type="dxa"/>
            <w:noWrap w:val="0"/>
            <w:vAlign w:val="top"/>
          </w:tcPr>
          <w:p w14:paraId="4EB701AC">
            <w:pPr>
              <w:topLinePunct/>
              <w:spacing w:line="400" w:lineRule="atLeast"/>
              <w:jc w:val="center"/>
              <w:rPr>
                <w:color w:val="auto"/>
                <w:szCs w:val="21"/>
                <w:highlight w:val="none"/>
              </w:rPr>
            </w:pPr>
          </w:p>
        </w:tc>
      </w:tr>
    </w:tbl>
    <w:p w14:paraId="0318B909">
      <w:pPr>
        <w:spacing w:line="400" w:lineRule="atLeast"/>
        <w:ind w:left="840" w:hanging="840" w:hangingChars="40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本表后应附表彰文件、获奖证书及其他证明材料等。</w:t>
      </w:r>
    </w:p>
    <w:p w14:paraId="0745297A">
      <w:pPr>
        <w:ind w:firstLine="630" w:firstLineChars="300"/>
        <w:rPr>
          <w:color w:val="auto"/>
          <w:highlight w:val="none"/>
        </w:rPr>
        <w:sectPr>
          <w:headerReference r:id="rId49" w:type="default"/>
          <w:footerReference r:id="rId5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szCs w:val="21"/>
          <w:highlight w:val="none"/>
        </w:rPr>
        <w:t>2</w:t>
      </w:r>
      <w:r>
        <w:rPr>
          <w:rFonts w:hint="eastAsia"/>
          <w:color w:val="auto"/>
          <w:szCs w:val="21"/>
          <w:highlight w:val="none"/>
          <w:lang w:val="en-US" w:eastAsia="zh-CN"/>
        </w:rPr>
        <w:t>.</w:t>
      </w:r>
      <w:r>
        <w:rPr>
          <w:rFonts w:hint="eastAsia"/>
          <w:color w:val="auto"/>
          <w:szCs w:val="21"/>
          <w:highlight w:val="none"/>
        </w:rPr>
        <w:t>颁奖单位应当是国家机关或民政部门注册登记的合法颁奖单位。</w:t>
      </w:r>
    </w:p>
    <w:p w14:paraId="325C7D5E">
      <w:pPr>
        <w:pStyle w:val="3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highlight w:val="none"/>
          <w:u w:val="single"/>
        </w:rPr>
      </w:pPr>
      <w:bookmarkStart w:id="2302" w:name="_Toc122603082"/>
      <w:bookmarkStart w:id="2303" w:name="_Toc256000235"/>
      <w:r>
        <w:rPr>
          <w:rFonts w:hint="eastAsia"/>
          <w:color w:val="auto"/>
          <w:sz w:val="28"/>
          <w:szCs w:val="28"/>
          <w:highlight w:val="none"/>
          <w:lang w:eastAsia="zh-CN"/>
        </w:rPr>
        <w:t>（</w:t>
      </w:r>
      <w:r>
        <w:rPr>
          <w:rFonts w:hint="default"/>
          <w:color w:val="auto"/>
          <w:sz w:val="28"/>
          <w:szCs w:val="28"/>
          <w:highlight w:val="none"/>
        </w:rPr>
        <w:t>六</w:t>
      </w:r>
      <w:r>
        <w:rPr>
          <w:rFonts w:hint="eastAsia"/>
          <w:color w:val="auto"/>
          <w:sz w:val="28"/>
          <w:szCs w:val="28"/>
          <w:highlight w:val="none"/>
          <w:lang w:eastAsia="zh-CN"/>
        </w:rPr>
        <w:t>）</w:t>
      </w:r>
      <w:r>
        <w:rPr>
          <w:rFonts w:hint="eastAsia"/>
          <w:color w:val="auto"/>
          <w:sz w:val="28"/>
          <w:szCs w:val="28"/>
          <w:highlight w:val="none"/>
        </w:rPr>
        <w:t>承诺书</w:t>
      </w:r>
      <w:bookmarkEnd w:id="2302"/>
      <w:bookmarkEnd w:id="2303"/>
    </w:p>
    <w:p w14:paraId="1D5ABA40">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5DB44175">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1EABA58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 第十条规定“注册建造师担任施工项目负责人期间原则上不得更换”。我方拟派项目经理能够参加本工程的投标是基于以下理由：</w:t>
      </w:r>
    </w:p>
    <w:p w14:paraId="13946F73">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0BC8E971">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1AD2E988">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0F887D1C">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02204FA2">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534C4894">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3B2BE4EA">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1DB0AF77">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7C331BD2">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759F741C">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6CC0BA4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03EEA3FD">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r>
        <w:rPr>
          <w:rFonts w:hint="eastAsia" w:ascii="宋体" w:hAnsi="宋体"/>
          <w:color w:val="auto"/>
          <w:szCs w:val="21"/>
          <w:highlight w:val="none"/>
          <w:lang w:eastAsia="zh-CN"/>
        </w:rPr>
        <w:t>。</w:t>
      </w:r>
    </w:p>
    <w:p w14:paraId="0EE45A82">
      <w:pPr>
        <w:spacing w:line="440" w:lineRule="exact"/>
        <w:ind w:firstLine="420" w:firstLineChars="200"/>
        <w:rPr>
          <w:rFonts w:ascii="宋体" w:hAnsi="宋体"/>
          <w:color w:val="auto"/>
          <w:szCs w:val="21"/>
          <w:highlight w:val="none"/>
        </w:rPr>
      </w:pPr>
    </w:p>
    <w:p w14:paraId="7B755BE9">
      <w:pPr>
        <w:spacing w:line="440" w:lineRule="exact"/>
        <w:jc w:val="righ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E7FD845">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1A57A9C2">
      <w:pPr>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1CB404F">
      <w:pPr>
        <w:jc w:val="right"/>
        <w:rPr>
          <w:rFonts w:ascii="宋体" w:hAnsi="宋体"/>
          <w:color w:val="auto"/>
          <w:szCs w:val="21"/>
          <w:highlight w:val="none"/>
        </w:rPr>
      </w:pPr>
    </w:p>
    <w:p w14:paraId="23DAED52">
      <w:pPr>
        <w:jc w:val="right"/>
        <w:rPr>
          <w:rFonts w:hint="eastAsia" w:ascii="宋体" w:hAnsi="宋体"/>
          <w:color w:val="auto"/>
          <w:szCs w:val="21"/>
          <w:highlight w:val="none"/>
        </w:rPr>
      </w:pPr>
    </w:p>
    <w:p w14:paraId="13C75F01">
      <w:pPr>
        <w:rPr>
          <w:color w:val="auto"/>
          <w:highlight w:val="none"/>
        </w:rPr>
        <w:sectPr>
          <w:footerReference r:id="rId5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310B405">
      <w:pPr>
        <w:widowControl/>
        <w:snapToGrid w:val="0"/>
        <w:spacing w:line="360" w:lineRule="auto"/>
        <w:ind w:left="839"/>
        <w:jc w:val="left"/>
        <w:rPr>
          <w:rFonts w:ascii="宋体" w:hAnsi="宋体" w:cs="宋体"/>
          <w:color w:val="auto"/>
          <w:kern w:val="0"/>
          <w:szCs w:val="20"/>
          <w:highlight w:val="none"/>
          <w:lang w:bidi="ar"/>
        </w:rPr>
      </w:pPr>
    </w:p>
    <w:p w14:paraId="6C4FF7AE">
      <w:pPr>
        <w:widowControl/>
        <w:snapToGrid w:val="0"/>
        <w:spacing w:line="360" w:lineRule="auto"/>
        <w:ind w:left="839"/>
        <w:jc w:val="left"/>
        <w:rPr>
          <w:rFonts w:ascii="宋体" w:hAnsi="宋体" w:cs="宋体"/>
          <w:color w:val="auto"/>
          <w:kern w:val="0"/>
          <w:szCs w:val="20"/>
          <w:highlight w:val="none"/>
          <w:lang w:bidi="ar"/>
        </w:rPr>
      </w:pPr>
    </w:p>
    <w:p w14:paraId="06DD371E">
      <w:pPr>
        <w:widowControl/>
        <w:snapToGrid w:val="0"/>
        <w:spacing w:line="360" w:lineRule="auto"/>
        <w:ind w:left="839"/>
        <w:jc w:val="left"/>
        <w:rPr>
          <w:rFonts w:ascii="宋体" w:hAnsi="宋体" w:cs="宋体"/>
          <w:color w:val="auto"/>
          <w:kern w:val="0"/>
          <w:szCs w:val="20"/>
          <w:highlight w:val="none"/>
          <w:lang w:bidi="ar"/>
        </w:rPr>
      </w:pPr>
    </w:p>
    <w:p w14:paraId="3923B95C">
      <w:pPr>
        <w:widowControl/>
        <w:snapToGrid w:val="0"/>
        <w:spacing w:line="360" w:lineRule="auto"/>
        <w:ind w:left="839"/>
        <w:jc w:val="left"/>
        <w:rPr>
          <w:rFonts w:ascii="宋体" w:hAnsi="宋体" w:cs="宋体"/>
          <w:color w:val="auto"/>
          <w:kern w:val="0"/>
          <w:szCs w:val="20"/>
          <w:highlight w:val="none"/>
          <w:lang w:bidi="ar"/>
        </w:rPr>
      </w:pPr>
    </w:p>
    <w:p w14:paraId="20CD9CC5">
      <w:pPr>
        <w:widowControl/>
        <w:snapToGrid w:val="0"/>
        <w:spacing w:line="360" w:lineRule="auto"/>
        <w:ind w:left="839"/>
        <w:jc w:val="left"/>
        <w:rPr>
          <w:rFonts w:ascii="宋体" w:hAnsi="宋体" w:cs="宋体"/>
          <w:color w:val="auto"/>
          <w:kern w:val="0"/>
          <w:szCs w:val="20"/>
          <w:highlight w:val="none"/>
          <w:lang w:bidi="ar"/>
        </w:rPr>
      </w:pPr>
    </w:p>
    <w:p w14:paraId="1101ACBA">
      <w:pPr>
        <w:widowControl/>
        <w:snapToGrid w:val="0"/>
        <w:spacing w:line="360" w:lineRule="auto"/>
        <w:ind w:left="839"/>
        <w:jc w:val="left"/>
        <w:rPr>
          <w:rFonts w:ascii="宋体" w:hAnsi="宋体" w:cs="宋体"/>
          <w:color w:val="auto"/>
          <w:kern w:val="0"/>
          <w:szCs w:val="20"/>
          <w:highlight w:val="none"/>
          <w:lang w:bidi="ar"/>
        </w:rPr>
      </w:pPr>
    </w:p>
    <w:p w14:paraId="256DE89D">
      <w:pPr>
        <w:widowControl/>
        <w:snapToGrid w:val="0"/>
        <w:spacing w:line="360" w:lineRule="auto"/>
        <w:ind w:left="839"/>
        <w:jc w:val="center"/>
        <w:rPr>
          <w:rFonts w:ascii="宋体" w:hAnsi="宋体" w:cs="宋体"/>
          <w:color w:val="auto"/>
          <w:kern w:val="0"/>
          <w:szCs w:val="20"/>
          <w:highlight w:val="none"/>
          <w:lang w:bidi="ar"/>
        </w:rPr>
      </w:pPr>
    </w:p>
    <w:p w14:paraId="24C20062">
      <w:pPr>
        <w:pStyle w:val="30"/>
        <w:jc w:val="center"/>
        <w:rPr>
          <w:rFonts w:hint="eastAsia"/>
          <w:color w:val="auto"/>
          <w:highlight w:val="none"/>
          <w:lang w:val="en-US" w:eastAsia="zh-CN"/>
        </w:rPr>
      </w:pPr>
      <w:bookmarkStart w:id="2304" w:name="_Toc149058114"/>
      <w:bookmarkStart w:id="2305" w:name="_Toc256000236"/>
      <w:r>
        <w:rPr>
          <w:rFonts w:hint="default"/>
          <w:color w:val="auto"/>
          <w:highlight w:val="none"/>
        </w:rPr>
        <w:t>九</w:t>
      </w:r>
      <w:r>
        <w:rPr>
          <w:rFonts w:hint="eastAsia"/>
          <w:color w:val="auto"/>
          <w:highlight w:val="none"/>
        </w:rPr>
        <w:t>、其他</w:t>
      </w:r>
      <w:bookmarkEnd w:id="2304"/>
      <w:r>
        <w:rPr>
          <w:rFonts w:hint="eastAsia"/>
          <w:color w:val="auto"/>
          <w:highlight w:val="none"/>
          <w:lang w:val="en-US" w:eastAsia="zh-CN"/>
        </w:rPr>
        <w:t>材料</w:t>
      </w:r>
      <w:bookmarkEnd w:id="2305"/>
    </w:p>
    <w:p w14:paraId="65DF4218">
      <w:pPr>
        <w:rPr>
          <w:rFonts w:hint="eastAsia"/>
          <w:color w:val="auto"/>
          <w:highlight w:val="none"/>
          <w:lang w:val="en-US" w:eastAsia="zh-CN"/>
        </w:rPr>
      </w:pPr>
      <w:r>
        <w:rPr>
          <w:rFonts w:hint="eastAsia"/>
          <w:color w:val="auto"/>
          <w:highlight w:val="none"/>
          <w:lang w:val="en-US" w:eastAsia="zh-CN"/>
        </w:rPr>
        <w:br w:type="page"/>
      </w:r>
    </w:p>
    <w:p w14:paraId="7B550D2F">
      <w:pP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注：因辽宁省房屋建筑和市政工程招标投标新监管系统上线，本项目线上编制招标文件可能与本次公示的招标文件有差异，特此告知！</w:t>
      </w:r>
    </w:p>
    <w:p w14:paraId="4BCA0409">
      <w:pPr>
        <w:pStyle w:val="30"/>
        <w:jc w:val="center"/>
        <w:rPr>
          <w:rFonts w:hint="eastAsia"/>
          <w:color w:val="auto"/>
          <w:highlight w:val="none"/>
          <w:lang w:val="en-US" w:eastAsia="zh-CN"/>
        </w:rPr>
      </w:pPr>
    </w:p>
    <w:p w14:paraId="0C2AA923">
      <w:pPr>
        <w:spacing w:line="500" w:lineRule="exact"/>
        <w:jc w:val="left"/>
        <w:rPr>
          <w:rFonts w:ascii="宋体" w:hAnsi="宋体"/>
          <w:color w:val="auto"/>
          <w:szCs w:val="21"/>
          <w:highlight w:val="none"/>
        </w:rPr>
      </w:pPr>
    </w:p>
    <w:p w14:paraId="5B3E560F">
      <w:pPr>
        <w:rPr>
          <w:rFonts w:ascii="黑体" w:eastAsia="黑体"/>
          <w:color w:val="auto"/>
          <w:sz w:val="24"/>
          <w:highlight w:val="none"/>
        </w:rPr>
      </w:pPr>
    </w:p>
    <w:p w14:paraId="0E29FE6C">
      <w:pPr>
        <w:rPr>
          <w:rFonts w:ascii="黑体" w:eastAsia="黑体"/>
          <w:color w:val="auto"/>
          <w:sz w:val="24"/>
          <w:highlight w:val="none"/>
        </w:rPr>
      </w:pPr>
    </w:p>
    <w:p w14:paraId="4C52F0D6">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AAD2">
    <w:pPr>
      <w:pStyle w:val="15"/>
      <w:jc w:val="center"/>
      <w:rPr>
        <w:rFonts w:hint="eastAsia"/>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F297">
    <w:pPr>
      <w:pStyle w:val="15"/>
      <w:framePr w:wrap="around" w:vAnchor="text" w:hAnchor="margin" w:xAlign="center" w:y="1"/>
      <w:rPr>
        <w:rStyle w:val="27"/>
        <w:rFonts w:ascii="仿宋_GB2312" w:eastAsia="仿宋_GB2312"/>
      </w:rPr>
    </w:pPr>
    <w:r>
      <w:rPr>
        <w:rStyle w:val="27"/>
        <w:rFonts w:hint="eastAsia" w:ascii="仿宋_GB2312" w:eastAsia="仿宋_GB2312"/>
      </w:rPr>
      <w:fldChar w:fldCharType="begin"/>
    </w:r>
    <w:r>
      <w:rPr>
        <w:rStyle w:val="27"/>
        <w:rFonts w:hint="eastAsia" w:ascii="仿宋_GB2312" w:eastAsia="仿宋_GB2312"/>
      </w:rPr>
      <w:instrText xml:space="preserve">PAGE  </w:instrText>
    </w:r>
    <w:r>
      <w:rPr>
        <w:rStyle w:val="27"/>
        <w:rFonts w:hint="eastAsia" w:ascii="仿宋_GB2312" w:eastAsia="仿宋_GB2312"/>
      </w:rPr>
      <w:fldChar w:fldCharType="separate"/>
    </w:r>
    <w:r>
      <w:rPr>
        <w:rStyle w:val="27"/>
        <w:rFonts w:hint="eastAsia" w:ascii="仿宋_GB2312" w:eastAsia="仿宋_GB2312"/>
      </w:rPr>
      <w:t>87</w:t>
    </w:r>
    <w:r>
      <w:rPr>
        <w:rStyle w:val="27"/>
        <w:rFonts w:hint="eastAsia" w:ascii="仿宋_GB2312" w:eastAsia="仿宋_GB2312"/>
      </w:rPr>
      <w:fldChar w:fldCharType="end"/>
    </w:r>
  </w:p>
  <w:p w14:paraId="6D3E5959">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CD64">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fldChar w:fldCharType="end"/>
    </w:r>
  </w:p>
  <w:p w14:paraId="3831ED96">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87FB">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54922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957F7">
                          <w:pPr>
                            <w:pStyle w:val="15"/>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Li40zAgAAXgQAAA4AAAAAAAAAAQAgAAAAHwEAAGRycy9lMm9Eb2MueG1sUEsF&#10;BgAAAAAGAAYAWQEAAMQFAAAAAA==&#10;">
              <v:fill on="f" focussize="0,0"/>
              <v:stroke on="f" weight="0.5pt"/>
              <v:imagedata o:title=""/>
              <o:lock v:ext="edit" aspectratio="f"/>
              <v:textbox inset="0mm,0mm,0mm,0mm" style="mso-fit-shape-to-text:t;">
                <w:txbxContent>
                  <w:p w14:paraId="691957F7">
                    <w:pPr>
                      <w:pStyle w:val="15"/>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6FFE">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41827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21BF0">
                          <w:pPr>
                            <w:pStyle w:val="15"/>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j2BwzAgAAXQQAAA4AAAAAAAAAAQAgAAAAHwEAAGRycy9lMm9Eb2MueG1sUEsF&#10;BgAAAAAGAAYAWQEAAMQFAAAAAA==&#10;">
              <v:fill on="f" focussize="0,0"/>
              <v:stroke on="f" weight="0.5pt"/>
              <v:imagedata o:title=""/>
              <o:lock v:ext="edit" aspectratio="f"/>
              <v:textbox inset="0mm,0mm,0mm,0mm" style="mso-fit-shape-to-text:t;">
                <w:txbxContent>
                  <w:p w14:paraId="4BB21BF0">
                    <w:pPr>
                      <w:pStyle w:val="15"/>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B538">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05044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F767">
                          <w:pPr>
                            <w:pStyle w:val="15"/>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5/lFQzAgAAXQQAAA4AAAAAAAAAAQAgAAAAHwEAAGRycy9lMm9Eb2MueG1sUEsF&#10;BgAAAAAGAAYAWQEAAMQFAAAAAA==&#10;">
              <v:fill on="f" focussize="0,0"/>
              <v:stroke on="f" weight="0.5pt"/>
              <v:imagedata o:title=""/>
              <o:lock v:ext="edit" aspectratio="f"/>
              <v:textbox inset="0mm,0mm,0mm,0mm" style="mso-fit-shape-to-text:t;">
                <w:txbxContent>
                  <w:p w14:paraId="4B5FF767">
                    <w:pPr>
                      <w:pStyle w:val="15"/>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FAA">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13768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6E176">
                          <w:pPr>
                            <w:pStyle w:val="15"/>
                            <w:rPr>
                              <w:rFonts w:hint="default"/>
                            </w:rPr>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ny+/jICAABdBAAADgAAAAAAAAABACAAAAAfAQAAZHJzL2Uyb0RvYy54bWxQSwUG&#10;AAAAAAYABgBZAQAAwwUAAAAA&#10;">
              <v:fill on="f" focussize="0,0"/>
              <v:stroke on="f" weight="0.5pt"/>
              <v:imagedata o:title=""/>
              <o:lock v:ext="edit" aspectratio="f"/>
              <v:textbox inset="0mm,0mm,0mm,0mm" style="mso-fit-shape-to-text:t;">
                <w:txbxContent>
                  <w:p w14:paraId="5966E176">
                    <w:pPr>
                      <w:pStyle w:val="15"/>
                      <w:rPr>
                        <w:rFonts w:hint="default"/>
                      </w:rPr>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BB33">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551256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E4F79">
                          <w:pPr>
                            <w:pStyle w:val="15"/>
                            <w:rPr>
                              <w:rFonts w:hint="default"/>
                            </w:rPr>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ygvpEzAgAAXQQAAA4AAAAAAAAAAQAgAAAAHwEAAGRycy9lMm9Eb2MueG1sUEsF&#10;BgAAAAAGAAYAWQEAAMQFAAAAAA==&#10;">
              <v:fill on="f" focussize="0,0"/>
              <v:stroke on="f" weight="0.5pt"/>
              <v:imagedata o:title=""/>
              <o:lock v:ext="edit" aspectratio="f"/>
              <v:textbox inset="0mm,0mm,0mm,0mm" style="mso-fit-shape-to-text:t;">
                <w:txbxContent>
                  <w:p w14:paraId="1F9E4F79">
                    <w:pPr>
                      <w:pStyle w:val="15"/>
                      <w:rPr>
                        <w:rFonts w:hint="default"/>
                      </w:rPr>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8563">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22217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E8D1F">
                          <w:pPr>
                            <w:pStyle w:val="15"/>
                            <w:rPr>
                              <w:rFonts w:hint="default"/>
                            </w:rPr>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EmNAzAgAAXQQAAA4AAAAAAAAAAQAgAAAAHwEAAGRycy9lMm9Eb2MueG1sUEsF&#10;BgAAAAAGAAYAWQEAAMQFAAAAAA==&#10;">
              <v:fill on="f" focussize="0,0"/>
              <v:stroke on="f" weight="0.5pt"/>
              <v:imagedata o:title=""/>
              <o:lock v:ext="edit" aspectratio="f"/>
              <v:textbox inset="0mm,0mm,0mm,0mm" style="mso-fit-shape-to-text:t;">
                <w:txbxContent>
                  <w:p w14:paraId="079E8D1F">
                    <w:pPr>
                      <w:pStyle w:val="15"/>
                      <w:rPr>
                        <w:rFonts w:hint="default"/>
                      </w:rPr>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F117">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05427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4B35E">
                          <w:pPr>
                            <w:pStyle w:val="15"/>
                            <w:rPr>
                              <w:rFonts w:hint="default"/>
                            </w:rPr>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WPCczAgAAXgQAAA4AAABkcnMvZTJvRG9jLnhtbK1UzY7TMBC+I/EO&#10;lu80aemWqm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EWPCczAgAAXgQAAA4AAAAAAAAAAQAgAAAAHwEAAGRycy9lMm9Eb2MueG1sUEsF&#10;BgAAAAAGAAYAWQEAAMQFAAAAAA==&#10;">
              <v:fill on="f" focussize="0,0"/>
              <v:stroke on="f" weight="0.5pt"/>
              <v:imagedata o:title=""/>
              <o:lock v:ext="edit" aspectratio="f"/>
              <v:textbox inset="0mm,0mm,0mm,0mm" style="mso-fit-shape-to-text:t;">
                <w:txbxContent>
                  <w:p w14:paraId="72B4B35E">
                    <w:pPr>
                      <w:pStyle w:val="15"/>
                      <w:rPr>
                        <w:rFonts w:hint="default"/>
                      </w:rPr>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4F0C">
    <w:pPr>
      <w:pStyle w:val="15"/>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87692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46E1C">
                          <w:pPr>
                            <w:pStyle w:val="15"/>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BlLEMzAgAAXgQAAA4AAAAAAAAAAQAgAAAAHwEAAGRycy9lMm9Eb2MueG1sUEsF&#10;BgAAAAAGAAYAWQEAAMQFAAAAAA==&#10;">
              <v:fill on="f" focussize="0,0"/>
              <v:stroke on="f" weight="0.5pt"/>
              <v:imagedata o:title=""/>
              <o:lock v:ext="edit" aspectratio="f"/>
              <v:textbox inset="0mm,0mm,0mm,0mm" style="mso-fit-shape-to-text:t;">
                <w:txbxContent>
                  <w:p w14:paraId="62746E1C">
                    <w:pPr>
                      <w:pStyle w:val="15"/>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164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A91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50A91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73AF">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9674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1672B">
                          <w:pPr>
                            <w:pStyle w:val="15"/>
                            <w:rPr>
                              <w:rFonts w:hint="default"/>
                            </w:rPr>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SPzcyAgAAXQQAAA4AAABkcnMvZTJvRG9jLnhtbK1UzY7TMBC+I/EO&#10;lu80aWFL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ZI/NzICAABdBAAADgAAAAAAAAABACAAAAAfAQAAZHJzL2Uyb0RvYy54bWxQSwUG&#10;AAAAAAYABgBZAQAAwwUAAAAA&#10;">
              <v:fill on="f" focussize="0,0"/>
              <v:stroke on="f" weight="0.5pt"/>
              <v:imagedata o:title=""/>
              <o:lock v:ext="edit" aspectratio="f"/>
              <v:textbox inset="0mm,0mm,0mm,0mm" style="mso-fit-shape-to-text:t;">
                <w:txbxContent>
                  <w:p w14:paraId="6C91672B">
                    <w:pPr>
                      <w:pStyle w:val="15"/>
                      <w:rPr>
                        <w:rFonts w:hint="default"/>
                      </w:rPr>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1FC5">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204498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4426A">
                          <w:pPr>
                            <w:pStyle w:val="15"/>
                            <w:rPr>
                              <w:rFonts w:hint="default"/>
                            </w:rPr>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K4TnUzAgAAXgQAAA4AAAAAAAAAAQAgAAAAHwEAAGRycy9lMm9Eb2MueG1sUEsF&#10;BgAAAAAGAAYAWQEAAMQFAAAAAA==&#10;">
              <v:fill on="f" focussize="0,0"/>
              <v:stroke on="f" weight="0.5pt"/>
              <v:imagedata o:title=""/>
              <o:lock v:ext="edit" aspectratio="f"/>
              <v:textbox inset="0mm,0mm,0mm,0mm" style="mso-fit-shape-to-text:t;">
                <w:txbxContent>
                  <w:p w14:paraId="76C4426A">
                    <w:pPr>
                      <w:pStyle w:val="15"/>
                      <w:rPr>
                        <w:rFonts w:hint="default"/>
                      </w:rPr>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AB10">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20155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8BA8D">
                          <w:pPr>
                            <w:pStyle w:val="15"/>
                            <w:rPr>
                              <w:rFonts w:hint="default"/>
                            </w:rPr>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VxFgzAgAAXgQAAA4AAAAAAAAAAQAgAAAAHwEAAGRycy9lMm9Eb2MueG1sUEsF&#10;BgAAAAAGAAYAWQEAAMQFAAAAAA==&#10;">
              <v:fill on="f" focussize="0,0"/>
              <v:stroke on="f" weight="0.5pt"/>
              <v:imagedata o:title=""/>
              <o:lock v:ext="edit" aspectratio="f"/>
              <v:textbox inset="0mm,0mm,0mm,0mm" style="mso-fit-shape-to-text:t;">
                <w:txbxContent>
                  <w:p w14:paraId="1B88BA8D">
                    <w:pPr>
                      <w:pStyle w:val="15"/>
                      <w:rPr>
                        <w:rFonts w:hint="default"/>
                      </w:rPr>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87AE">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62180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7E0C6">
                          <w:pPr>
                            <w:pStyle w:val="15"/>
                            <w:rPr>
                              <w:rFonts w:hint="default"/>
                            </w:rPr>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w+aIy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7D5ojICAABdBAAADgAAAAAAAAABACAAAAAfAQAAZHJzL2Uyb0RvYy54bWxQSwUG&#10;AAAAAAYABgBZAQAAwwUAAAAA&#10;">
              <v:fill on="f" focussize="0,0"/>
              <v:stroke on="f" weight="0.5pt"/>
              <v:imagedata o:title=""/>
              <o:lock v:ext="edit" aspectratio="f"/>
              <v:textbox inset="0mm,0mm,0mm,0mm" style="mso-fit-shape-to-text:t;">
                <w:txbxContent>
                  <w:p w14:paraId="4CC7E0C6">
                    <w:pPr>
                      <w:pStyle w:val="15"/>
                      <w:rPr>
                        <w:rFonts w:hint="default"/>
                      </w:rPr>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9AE7">
    <w:pPr>
      <w:pStyle w:val="15"/>
      <w:rPr>
        <w:rFonts w:hint="default"/>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10699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7E610">
                          <w:pPr>
                            <w:pStyle w:val="15"/>
                            <w:rPr>
                              <w:rFonts w:hint="default"/>
                            </w:rPr>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S8xc0AgAAXgQAAA4AAABkcnMvZTJvRG9jLnhtbK1UzY7TMBC+I/EO&#10;lu80aYHSr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JUvMXNAIAAF4EAAAOAAAAAAAAAAEAIAAAAB8BAABkcnMvZTJvRG9jLnhtbFBL&#10;BQYAAAAABgAGAFkBAADFBQAAAAA=&#10;">
              <v:fill on="f" focussize="0,0"/>
              <v:stroke on="f" weight="0.5pt"/>
              <v:imagedata o:title=""/>
              <o:lock v:ext="edit" aspectratio="f"/>
              <v:textbox inset="0mm,0mm,0mm,0mm" style="mso-fit-shape-to-text:t;">
                <w:txbxContent>
                  <w:p w14:paraId="2D07E610">
                    <w:pPr>
                      <w:pStyle w:val="15"/>
                      <w:rPr>
                        <w:rFonts w:hint="default"/>
                      </w:rPr>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03AA">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16581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76D8">
                          <w:pPr>
                            <w:pStyle w:val="15"/>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lvYvjICAABeBAAADgAAAAAAAAABACAAAAAfAQAAZHJzL2Uyb0RvYy54bWxQSwUG&#10;AAAAAAYABgBZAQAAwwUAAAAA&#10;">
              <v:fill on="f" focussize="0,0"/>
              <v:stroke on="f" weight="0.5pt"/>
              <v:imagedata o:title=""/>
              <o:lock v:ext="edit" aspectratio="f"/>
              <v:textbox inset="0mm,0mm,0mm,0mm" style="mso-fit-shape-to-text:t;">
                <w:txbxContent>
                  <w:p w14:paraId="7E0176D8">
                    <w:pPr>
                      <w:pStyle w:val="15"/>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BD19">
    <w:pPr>
      <w:pStyle w:val="15"/>
      <w:rPr>
        <w:lang w:eastAsia="en-US"/>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737236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226D4">
                          <w:pPr>
                            <w:pStyle w:val="15"/>
                            <w:rPr>
                              <w:rStyle w:val="27"/>
                              <w:rFonts w:ascii="仿宋_GB2312" w:eastAsia="仿宋_GB2312"/>
                            </w:rPr>
                          </w:pPr>
                          <w:r>
                            <w:rPr>
                              <w:rStyle w:val="27"/>
                              <w:rFonts w:hint="eastAsia" w:ascii="仿宋_GB2312" w:eastAsia="仿宋_GB2312"/>
                            </w:rPr>
                            <w:fldChar w:fldCharType="begin"/>
                          </w:r>
                          <w:r>
                            <w:rPr>
                              <w:rStyle w:val="27"/>
                              <w:rFonts w:hint="eastAsia" w:ascii="仿宋_GB2312" w:eastAsia="仿宋_GB2312"/>
                            </w:rPr>
                            <w:instrText xml:space="preserve">PAGE  </w:instrText>
                          </w:r>
                          <w:r>
                            <w:rPr>
                              <w:rStyle w:val="27"/>
                              <w:rFonts w:hint="eastAsia" w:ascii="仿宋_GB2312" w:eastAsia="仿宋_GB2312"/>
                            </w:rPr>
                            <w:fldChar w:fldCharType="separate"/>
                          </w:r>
                          <w:r>
                            <w:rPr>
                              <w:rStyle w:val="27"/>
                              <w:rFonts w:hint="eastAsia" w:ascii="仿宋_GB2312" w:eastAsia="仿宋_GB2312"/>
                            </w:rPr>
                            <w:t>247</w:t>
                          </w:r>
                          <w:r>
                            <w:rPr>
                              <w:rStyle w:val="27"/>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36PjmNAIAAF4EAAAOAAAAAAAAAAEAIAAAAB8BAABkcnMvZTJvRG9jLnhtbFBL&#10;BQYAAAAABgAGAFkBAADFBQAAAAA=&#10;">
              <v:fill on="f" focussize="0,0"/>
              <v:stroke on="f" weight="0.5pt"/>
              <v:imagedata o:title=""/>
              <o:lock v:ext="edit" aspectratio="f"/>
              <v:textbox inset="0mm,0mm,0mm,0mm" style="mso-fit-shape-to-text:t;">
                <w:txbxContent>
                  <w:p w14:paraId="62D226D4">
                    <w:pPr>
                      <w:pStyle w:val="15"/>
                      <w:rPr>
                        <w:rStyle w:val="27"/>
                        <w:rFonts w:ascii="仿宋_GB2312" w:eastAsia="仿宋_GB2312"/>
                      </w:rPr>
                    </w:pPr>
                    <w:r>
                      <w:rPr>
                        <w:rStyle w:val="27"/>
                        <w:rFonts w:hint="eastAsia" w:ascii="仿宋_GB2312" w:eastAsia="仿宋_GB2312"/>
                      </w:rPr>
                      <w:fldChar w:fldCharType="begin"/>
                    </w:r>
                    <w:r>
                      <w:rPr>
                        <w:rStyle w:val="27"/>
                        <w:rFonts w:hint="eastAsia" w:ascii="仿宋_GB2312" w:eastAsia="仿宋_GB2312"/>
                      </w:rPr>
                      <w:instrText xml:space="preserve">PAGE  </w:instrText>
                    </w:r>
                    <w:r>
                      <w:rPr>
                        <w:rStyle w:val="27"/>
                        <w:rFonts w:hint="eastAsia" w:ascii="仿宋_GB2312" w:eastAsia="仿宋_GB2312"/>
                      </w:rPr>
                      <w:fldChar w:fldCharType="separate"/>
                    </w:r>
                    <w:r>
                      <w:rPr>
                        <w:rStyle w:val="27"/>
                        <w:rFonts w:hint="eastAsia" w:ascii="仿宋_GB2312" w:eastAsia="仿宋_GB2312"/>
                      </w:rPr>
                      <w:t>247</w:t>
                    </w:r>
                    <w:r>
                      <w:rPr>
                        <w:rStyle w:val="27"/>
                        <w:rFonts w:hint="eastAsia" w:ascii="仿宋_GB2312" w:eastAsia="仿宋_GB2312"/>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2908">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7310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67342">
                          <w:pPr>
                            <w:pStyle w:val="15"/>
                            <w:rPr>
                              <w:rFonts w:hint="default"/>
                            </w:rPr>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QtF0zAgAAXQQAAA4AAAAAAAAAAQAgAAAAHwEAAGRycy9lMm9Eb2MueG1sUEsF&#10;BgAAAAAGAAYAWQEAAMQFAAAAAA==&#10;">
              <v:fill on="f" focussize="0,0"/>
              <v:stroke on="f" weight="0.5pt"/>
              <v:imagedata o:title=""/>
              <o:lock v:ext="edit" aspectratio="f"/>
              <v:textbox inset="0mm,0mm,0mm,0mm" style="mso-fit-shape-to-text:t;">
                <w:txbxContent>
                  <w:p w14:paraId="2B367342">
                    <w:pPr>
                      <w:pStyle w:val="15"/>
                      <w:rPr>
                        <w:rFonts w:hint="default"/>
                      </w:rPr>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606B">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49318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6BE9B">
                          <w:pPr>
                            <w:pStyle w:val="15"/>
                            <w:rPr>
                              <w:rFonts w:hint="default"/>
                            </w:rPr>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v6XO0zAgAAXQQAAA4AAAAAAAAAAQAgAAAAHwEAAGRycy9lMm9Eb2MueG1sUEsF&#10;BgAAAAAGAAYAWQEAAMQFAAAAAA==&#10;">
              <v:fill on="f" focussize="0,0"/>
              <v:stroke on="f" weight="0.5pt"/>
              <v:imagedata o:title=""/>
              <o:lock v:ext="edit" aspectratio="f"/>
              <v:textbox inset="0mm,0mm,0mm,0mm" style="mso-fit-shape-to-text:t;">
                <w:txbxContent>
                  <w:p w14:paraId="4CD6BE9B">
                    <w:pPr>
                      <w:pStyle w:val="15"/>
                      <w:rPr>
                        <w:rFonts w:hint="default"/>
                      </w:rPr>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3CB">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35097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85CFB">
                          <w:pPr>
                            <w:pStyle w:val="15"/>
                            <w:rPr>
                              <w:rFonts w:hint="default"/>
                            </w:rPr>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lrgRTICAABdBAAADgAAAAAAAAABACAAAAAfAQAAZHJzL2Uyb0RvYy54bWxQSwUG&#10;AAAAAAYABgBZAQAAwwUAAAAA&#10;">
              <v:fill on="f" focussize="0,0"/>
              <v:stroke on="f" weight="0.5pt"/>
              <v:imagedata o:title=""/>
              <o:lock v:ext="edit" aspectratio="f"/>
              <v:textbox inset="0mm,0mm,0mm,0mm" style="mso-fit-shape-to-text:t;">
                <w:txbxContent>
                  <w:p w14:paraId="2B285CFB">
                    <w:pPr>
                      <w:pStyle w:val="15"/>
                      <w:rPr>
                        <w:rFonts w:hint="default"/>
                      </w:rPr>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76C7">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A7B1">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1841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3F58E">
                          <w:pPr>
                            <w:pStyle w:val="15"/>
                            <w:rPr>
                              <w:rFonts w:hint="default"/>
                            </w:rPr>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UJ60IzAgAAXQQAAA4AAAAAAAAAAQAgAAAAHwEAAGRycy9lMm9Eb2MueG1sUEsF&#10;BgAAAAAGAAYAWQEAAMQFAAAAAA==&#10;">
              <v:fill on="f" focussize="0,0"/>
              <v:stroke on="f" weight="0.5pt"/>
              <v:imagedata o:title=""/>
              <o:lock v:ext="edit" aspectratio="f"/>
              <v:textbox inset="0mm,0mm,0mm,0mm" style="mso-fit-shape-to-text:t;">
                <w:txbxContent>
                  <w:p w14:paraId="1EE3F58E">
                    <w:pPr>
                      <w:pStyle w:val="15"/>
                      <w:rPr>
                        <w:rFonts w:hint="default"/>
                      </w:rPr>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EFBF">
    <w:pPr>
      <w:pStyle w:val="1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41215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6989">
                          <w:pPr>
                            <w:pStyle w:val="15"/>
                            <w:rPr>
                              <w:rFonts w:hint="default"/>
                            </w:rPr>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kXg0NAIAAF0EAAAOAAAAAAAAAAEAIAAAAB8BAABkcnMvZTJvRG9jLnhtbFBL&#10;BQYAAAAABgAGAFkBAADFBQAAAAA=&#10;">
              <v:fill on="f" focussize="0,0"/>
              <v:stroke on="f" weight="0.5pt"/>
              <v:imagedata o:title=""/>
              <o:lock v:ext="edit" aspectratio="f"/>
              <v:textbox inset="0mm,0mm,0mm,0mm" style="mso-fit-shape-to-text:t;">
                <w:txbxContent>
                  <w:p w14:paraId="299F6989">
                    <w:pPr>
                      <w:pStyle w:val="15"/>
                      <w:rPr>
                        <w:rFonts w:hint="default"/>
                      </w:rPr>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C165">
    <w:pPr>
      <w:pStyle w:val="1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26428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09FB0">
                          <w:pPr>
                            <w:pStyle w:val="15"/>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HGDzNAIAAF4EAAAOAAAAAAAAAAEAIAAAAB8BAABkcnMvZTJvRG9jLnhtbFBL&#10;BQYAAAAABgAGAFkBAADFBQAAAAA=&#10;">
              <v:fill on="f" focussize="0,0"/>
              <v:stroke on="f" weight="0.5pt"/>
              <v:imagedata o:title=""/>
              <o:lock v:ext="edit" aspectratio="f"/>
              <v:textbox inset="0mm,0mm,0mm,0mm" style="mso-fit-shape-to-text:t;">
                <w:txbxContent>
                  <w:p w14:paraId="2FE09FB0">
                    <w:pPr>
                      <w:pStyle w:val="15"/>
                    </w:pPr>
                    <w:r>
                      <w:fldChar w:fldCharType="begin"/>
                    </w:r>
                    <w:r>
                      <w:instrText xml:space="preserve"> PAGE  \* MERGEFORMAT </w:instrText>
                    </w:r>
                    <w:r>
                      <w:fldChar w:fldCharType="separate"/>
                    </w:r>
                    <w:r>
                      <w:t>256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8F38">
    <w:pPr>
      <w:pStyle w:val="15"/>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96697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72049">
                          <w:pPr>
                            <w:pStyle w:val="15"/>
                            <w:rPr>
                              <w:rFonts w:hint="default"/>
                            </w:rPr>
                          </w:pPr>
                          <w:r>
                            <w:fldChar w:fldCharType="begin"/>
                          </w:r>
                          <w:r>
                            <w:instrText xml:space="preserve"> PAGE  \* MERGEFORMAT </w:instrText>
                          </w:r>
                          <w:r>
                            <w:fldChar w:fldCharType="separate"/>
                          </w:r>
                          <w:r>
                            <w:t>257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vvsDNAIAAF4EAAAOAAAAAAAAAAEAIAAAAB8BAABkcnMvZTJvRG9jLnhtbFBL&#10;BQYAAAAABgAGAFkBAADFBQAAAAA=&#10;">
              <v:fill on="f" focussize="0,0"/>
              <v:stroke on="f" weight="0.5pt"/>
              <v:imagedata o:title=""/>
              <o:lock v:ext="edit" aspectratio="f"/>
              <v:textbox inset="0mm,0mm,0mm,0mm" style="mso-fit-shape-to-text:t;">
                <w:txbxContent>
                  <w:p w14:paraId="4B672049">
                    <w:pPr>
                      <w:pStyle w:val="15"/>
                      <w:rPr>
                        <w:rFonts w:hint="default"/>
                      </w:rPr>
                    </w:pPr>
                    <w:r>
                      <w:fldChar w:fldCharType="begin"/>
                    </w:r>
                    <w:r>
                      <w:instrText xml:space="preserve"> PAGE  \* MERGEFORMAT </w:instrText>
                    </w:r>
                    <w:r>
                      <w:fldChar w:fldCharType="separate"/>
                    </w:r>
                    <w:r>
                      <w:t>257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A253">
    <w:pPr>
      <w:pStyle w:val="15"/>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60466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B58A6">
                          <w:pPr>
                            <w:pStyle w:val="15"/>
                            <w:rPr>
                              <w:rFonts w:hint="default"/>
                            </w:rPr>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h3MyAgAAX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CHczICAABdBAAADgAAAAAAAAABACAAAAAfAQAAZHJzL2Uyb0RvYy54bWxQSwUG&#10;AAAAAAYABgBZAQAAwwUAAAAA&#10;">
              <v:fill on="f" focussize="0,0"/>
              <v:stroke on="f" weight="0.5pt"/>
              <v:imagedata o:title=""/>
              <o:lock v:ext="edit" aspectratio="f"/>
              <v:textbox inset="0mm,0mm,0mm,0mm" style="mso-fit-shape-to-text:t;">
                <w:txbxContent>
                  <w:p w14:paraId="731B58A6">
                    <w:pPr>
                      <w:pStyle w:val="15"/>
                      <w:rPr>
                        <w:rFonts w:hint="default"/>
                      </w:rPr>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93C4">
    <w:pPr>
      <w:pStyle w:val="1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778299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7B2F6">
                          <w:pPr>
                            <w:pStyle w:val="15"/>
                            <w:rPr>
                              <w:rFonts w:hint="default"/>
                            </w:rPr>
                          </w:pPr>
                          <w:r>
                            <w:fldChar w:fldCharType="begin"/>
                          </w:r>
                          <w:r>
                            <w:instrText xml:space="preserve"> PAGE  \* MERGEFORMAT </w:instrText>
                          </w:r>
                          <w:r>
                            <w:fldChar w:fldCharType="separate"/>
                          </w:r>
                          <w:r>
                            <w:t>261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tiD7jICAABeBAAADgAAAAAAAAABACAAAAAfAQAAZHJzL2Uyb0RvYy54bWxQSwUG&#10;AAAAAAYABgBZAQAAwwUAAAAA&#10;">
              <v:fill on="f" focussize="0,0"/>
              <v:stroke on="f" weight="0.5pt"/>
              <v:imagedata o:title=""/>
              <o:lock v:ext="edit" aspectratio="f"/>
              <v:textbox inset="0mm,0mm,0mm,0mm" style="mso-fit-shape-to-text:t;">
                <w:txbxContent>
                  <w:p w14:paraId="3017B2F6">
                    <w:pPr>
                      <w:pStyle w:val="15"/>
                      <w:rPr>
                        <w:rFonts w:hint="default"/>
                      </w:rPr>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F5AF">
    <w:pPr>
      <w:pStyle w:val="1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91503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FB910">
                          <w:pPr>
                            <w:pStyle w:val="15"/>
                            <w:rPr>
                              <w:rFonts w:hint="default"/>
                            </w:rPr>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TYojNAIAAF4EAAAOAAAAAAAAAAEAIAAAAB8BAABkcnMvZTJvRG9jLnhtbFBL&#10;BQYAAAAABgAGAFkBAADFBQAAAAA=&#10;">
              <v:fill on="f" focussize="0,0"/>
              <v:stroke on="f" weight="0.5pt"/>
              <v:imagedata o:title=""/>
              <o:lock v:ext="edit" aspectratio="f"/>
              <v:textbox inset="0mm,0mm,0mm,0mm" style="mso-fit-shape-to-text:t;">
                <w:txbxContent>
                  <w:p w14:paraId="18AFB910">
                    <w:pPr>
                      <w:pStyle w:val="15"/>
                      <w:rPr>
                        <w:rFonts w:hint="default"/>
                      </w:rPr>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7B05">
    <w:pPr>
      <w:pStyle w:val="1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01835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F81D7">
                          <w:pPr>
                            <w:pStyle w:val="15"/>
                            <w:rPr>
                              <w:rFonts w:hint="default"/>
                            </w:rPr>
                          </w:pPr>
                          <w:r>
                            <w:fldChar w:fldCharType="begin"/>
                          </w:r>
                          <w:r>
                            <w:instrText xml:space="preserve"> PAGE  \* MERGEFORMAT </w:instrText>
                          </w:r>
                          <w:r>
                            <w:fldChar w:fldCharType="separate"/>
                          </w:r>
                          <w:r>
                            <w:t>264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7QcggzAgAAXQQAAA4AAAAAAAAAAQAgAAAAHwEAAGRycy9lMm9Eb2MueG1sUEsF&#10;BgAAAAAGAAYAWQEAAMQFAAAAAA==&#10;">
              <v:fill on="f" focussize="0,0"/>
              <v:stroke on="f" weight="0.5pt"/>
              <v:imagedata o:title=""/>
              <o:lock v:ext="edit" aspectratio="f"/>
              <v:textbox inset="0mm,0mm,0mm,0mm" style="mso-fit-shape-to-text:t;">
                <w:txbxContent>
                  <w:p w14:paraId="04FF81D7">
                    <w:pPr>
                      <w:pStyle w:val="15"/>
                      <w:rPr>
                        <w:rFonts w:hint="default"/>
                      </w:rPr>
                    </w:pPr>
                    <w:r>
                      <w:fldChar w:fldCharType="begin"/>
                    </w:r>
                    <w:r>
                      <w:instrText xml:space="preserve"> PAGE  \* MERGEFORMAT </w:instrText>
                    </w:r>
                    <w:r>
                      <w:fldChar w:fldCharType="separate"/>
                    </w:r>
                    <w:r>
                      <w:t>264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58BE">
    <w:pPr>
      <w:pStyle w:val="15"/>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6366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F2125">
                          <w:pPr>
                            <w:pStyle w:val="15"/>
                            <w:rPr>
                              <w:rFonts w:hint="default"/>
                            </w:rPr>
                          </w:pPr>
                          <w:r>
                            <w:fldChar w:fldCharType="begin"/>
                          </w:r>
                          <w:r>
                            <w:instrText xml:space="preserve"> PAGE  \* MERGEFORMAT </w:instrText>
                          </w:r>
                          <w:r>
                            <w:fldChar w:fldCharType="separate"/>
                          </w:r>
                          <w:r>
                            <w:t>266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kjNBMQIAAF0EAAAOAAAAAAAAAAEAIAAAAB8BAABkcnMvZTJvRG9jLnhtbFBLBQYA&#10;AAAABgAGAFkBAADCBQAAAAA=&#10;">
              <v:fill on="f" focussize="0,0"/>
              <v:stroke on="f" weight="0.5pt"/>
              <v:imagedata o:title=""/>
              <o:lock v:ext="edit" aspectratio="f"/>
              <v:textbox inset="0mm,0mm,0mm,0mm" style="mso-fit-shape-to-text:t;">
                <w:txbxContent>
                  <w:p w14:paraId="300F2125">
                    <w:pPr>
                      <w:pStyle w:val="15"/>
                      <w:rPr>
                        <w:rFonts w:hint="default"/>
                      </w:rPr>
                    </w:pPr>
                    <w:r>
                      <w:fldChar w:fldCharType="begin"/>
                    </w:r>
                    <w:r>
                      <w:instrText xml:space="preserve"> PAGE  \* MERGEFORMAT </w:instrText>
                    </w:r>
                    <w:r>
                      <w:fldChar w:fldCharType="separate"/>
                    </w:r>
                    <w:r>
                      <w:t>266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79AF">
    <w:pPr>
      <w:pStyle w:val="15"/>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26659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0B09">
                          <w:pPr>
                            <w:pStyle w:val="15"/>
                            <w:rPr>
                              <w:rFonts w:hint="default"/>
                            </w:rPr>
                          </w:pPr>
                          <w:r>
                            <w:fldChar w:fldCharType="begin"/>
                          </w:r>
                          <w:r>
                            <w:instrText xml:space="preserve"> PAGE  \* MERGEFORMAT </w:instrText>
                          </w:r>
                          <w:r>
                            <w:fldChar w:fldCharType="separate"/>
                          </w:r>
                          <w:r>
                            <w:t>267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Sfpc7NAIAAF4EAAAOAAAAAAAAAAEAIAAAAB8BAABkcnMvZTJvRG9jLnhtbFBL&#10;BQYAAAAABgAGAFkBAADFBQAAAAA=&#10;">
              <v:fill on="f" focussize="0,0"/>
              <v:stroke on="f" weight="0.5pt"/>
              <v:imagedata o:title=""/>
              <o:lock v:ext="edit" aspectratio="f"/>
              <v:textbox inset="0mm,0mm,0mm,0mm" style="mso-fit-shape-to-text:t;">
                <w:txbxContent>
                  <w:p w14:paraId="646A0B09">
                    <w:pPr>
                      <w:pStyle w:val="15"/>
                      <w:rPr>
                        <w:rFonts w:hint="default"/>
                      </w:rPr>
                    </w:pPr>
                    <w:r>
                      <w:fldChar w:fldCharType="begin"/>
                    </w:r>
                    <w:r>
                      <w:instrText xml:space="preserve"> PAGE  \* MERGEFORMAT </w:instrText>
                    </w:r>
                    <w:r>
                      <w:fldChar w:fldCharType="separate"/>
                    </w:r>
                    <w:r>
                      <w:t>267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25C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395120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D7687">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2cNaDICAABdBAAADgAAAAAAAAABACAAAAAfAQAAZHJzL2Uyb0RvYy54bWxQSwUG&#10;AAAAAAYABgBZAQAAwwUAAAAA&#10;">
              <v:fill on="f" focussize="0,0"/>
              <v:stroke on="f" weight="0.5pt"/>
              <v:imagedata o:title=""/>
              <o:lock v:ext="edit" aspectratio="f"/>
              <v:textbox inset="0mm,0mm,0mm,0mm" style="mso-fit-shape-to-text:t;">
                <w:txbxContent>
                  <w:p w14:paraId="604D7687">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496C">
    <w:pPr>
      <w:pStyle w:val="1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07968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3B892">
                          <w:pPr>
                            <w:pStyle w:val="15"/>
                            <w:rPr>
                              <w:rFonts w:hint="default"/>
                            </w:rPr>
                          </w:pPr>
                          <w:r>
                            <w:fldChar w:fldCharType="begin"/>
                          </w:r>
                          <w:r>
                            <w:instrText xml:space="preserve"> PAGE  \* MERGEFORMAT </w:instrText>
                          </w:r>
                          <w:r>
                            <w:fldChar w:fldCharType="separate"/>
                          </w:r>
                          <w:r>
                            <w:t>268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2gHcxAgAAXAQAAA4AAABkcnMvZTJvRG9jLnhtbK1UzY7TMBC+I/EO&#10;lu80aRGlVE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MtoB3MQIAAFwEAAAOAAAAAAAAAAEAIAAAAB8BAABkcnMvZTJvRG9jLnhtbFBLBQYA&#10;AAAABgAGAFkBAADCBQAAAAA=&#10;">
              <v:fill on="f" focussize="0,0"/>
              <v:stroke on="f" weight="0.5pt"/>
              <v:imagedata o:title=""/>
              <o:lock v:ext="edit" aspectratio="f"/>
              <v:textbox inset="0mm,0mm,0mm,0mm" style="mso-fit-shape-to-text:t;">
                <w:txbxContent>
                  <w:p w14:paraId="2363B892">
                    <w:pPr>
                      <w:pStyle w:val="15"/>
                      <w:rPr>
                        <w:rFonts w:hint="default"/>
                      </w:rPr>
                    </w:pPr>
                    <w:r>
                      <w:fldChar w:fldCharType="begin"/>
                    </w:r>
                    <w:r>
                      <w:instrText xml:space="preserve"> PAGE  \* MERGEFORMAT </w:instrText>
                    </w:r>
                    <w:r>
                      <w:fldChar w:fldCharType="separate"/>
                    </w:r>
                    <w:r>
                      <w:t>268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DEC6">
    <w:pPr>
      <w:pStyle w:val="1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34088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98A0">
                          <w:pPr>
                            <w:pStyle w:val="15"/>
                            <w:rPr>
                              <w:rFonts w:hint="default"/>
                            </w:rPr>
                          </w:pPr>
                          <w:r>
                            <w:fldChar w:fldCharType="begin"/>
                          </w:r>
                          <w:r>
                            <w:instrText xml:space="preserve"> PAGE  \* MERGEFORMAT </w:instrText>
                          </w:r>
                          <w:r>
                            <w:fldChar w:fldCharType="separate"/>
                          </w:r>
                          <w:r>
                            <w:t>269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vYBMkzAgAAXgQAAA4AAAAAAAAAAQAgAAAAHwEAAGRycy9lMm9Eb2MueG1sUEsF&#10;BgAAAAAGAAYAWQEAAMQFAAAAAA==&#10;">
              <v:fill on="f" focussize="0,0"/>
              <v:stroke on="f" weight="0.5pt"/>
              <v:imagedata o:title=""/>
              <o:lock v:ext="edit" aspectratio="f"/>
              <v:textbox inset="0mm,0mm,0mm,0mm" style="mso-fit-shape-to-text:t;">
                <w:txbxContent>
                  <w:p w14:paraId="715D98A0">
                    <w:pPr>
                      <w:pStyle w:val="15"/>
                      <w:rPr>
                        <w:rFonts w:hint="default"/>
                      </w:rPr>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D6BF">
    <w:pPr>
      <w:pStyle w:val="1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21748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42FEB">
                          <w:pPr>
                            <w:pStyle w:val="15"/>
                            <w:rPr>
                              <w:rFonts w:hint="default"/>
                            </w:rPr>
                          </w:pPr>
                          <w:r>
                            <w:fldChar w:fldCharType="begin"/>
                          </w:r>
                          <w:r>
                            <w:instrText xml:space="preserve"> PAGE  \* MERGEFORMAT </w:instrText>
                          </w:r>
                          <w:r>
                            <w:fldChar w:fldCharType="separate"/>
                          </w:r>
                          <w:r>
                            <w:t>270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yqPljICAABeBAAADgAAAAAAAAABACAAAAAfAQAAZHJzL2Uyb0RvYy54bWxQSwUG&#10;AAAAAAYABgBZAQAAwwUAAAAA&#10;">
              <v:fill on="f" focussize="0,0"/>
              <v:stroke on="f" weight="0.5pt"/>
              <v:imagedata o:title=""/>
              <o:lock v:ext="edit" aspectratio="f"/>
              <v:textbox inset="0mm,0mm,0mm,0mm" style="mso-fit-shape-to-text:t;">
                <w:txbxContent>
                  <w:p w14:paraId="65542FEB">
                    <w:pPr>
                      <w:pStyle w:val="15"/>
                      <w:rPr>
                        <w:rFonts w:hint="default"/>
                      </w:rPr>
                    </w:pPr>
                    <w:r>
                      <w:fldChar w:fldCharType="begin"/>
                    </w:r>
                    <w:r>
                      <w:instrText xml:space="preserve"> PAGE  \* MERGEFORMAT </w:instrText>
                    </w:r>
                    <w:r>
                      <w:fldChar w:fldCharType="separate"/>
                    </w:r>
                    <w:r>
                      <w:t>270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D21E">
    <w:pPr>
      <w:pStyle w:val="1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054867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BD1FE">
                          <w:pPr>
                            <w:pStyle w:val="15"/>
                            <w:rPr>
                              <w:rFonts w:hint="default"/>
                            </w:rPr>
                          </w:pPr>
                          <w:r>
                            <w:fldChar w:fldCharType="begin"/>
                          </w:r>
                          <w:r>
                            <w:instrText xml:space="preserve"> PAGE  \* MERGEFORMAT </w:instrText>
                          </w:r>
                          <w:r>
                            <w:fldChar w:fldCharType="separate"/>
                          </w:r>
                          <w:r>
                            <w:t>271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Fx400AgAAXgQAAA4AAABkcnMvZTJvRG9jLnhtbK1UzY7TMBC+I/EO&#10;lu80adkt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kYXqXXV5Pxm7eU&#10;aKbQ+dOP76eHX6ef38gw6lRbP0X4xiIhNO9Mg5z+3uMy0m8Kp+IviBH4ofLxorJoAuExaTKaTFK4&#10;OHz9AfjJY7p1PrwXRpFoZNShja267LD2oQvtQ2I1bVaVlG0rpSZ1Rsevr9M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OxceNNAIAAF4EAAAOAAAAAAAAAAEAIAAAAB8BAABkcnMvZTJvRG9jLnhtbFBL&#10;BQYAAAAABgAGAFkBAADFBQAAAAA=&#10;">
              <v:fill on="f" focussize="0,0"/>
              <v:stroke on="f" weight="0.5pt"/>
              <v:imagedata o:title=""/>
              <o:lock v:ext="edit" aspectratio="f"/>
              <v:textbox inset="0mm,0mm,0mm,0mm" style="mso-fit-shape-to-text:t;">
                <w:txbxContent>
                  <w:p w14:paraId="363BD1FE">
                    <w:pPr>
                      <w:pStyle w:val="15"/>
                      <w:rPr>
                        <w:rFonts w:hint="default"/>
                      </w:rPr>
                    </w:pPr>
                    <w:r>
                      <w:fldChar w:fldCharType="begin"/>
                    </w:r>
                    <w:r>
                      <w:instrText xml:space="preserve"> PAGE  \* MERGEFORMAT </w:instrText>
                    </w:r>
                    <w:r>
                      <w:fldChar w:fldCharType="separate"/>
                    </w:r>
                    <w:r>
                      <w:t>271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E030">
    <w:pPr>
      <w:pStyle w:val="15"/>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31081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5244F">
                          <w:pPr>
                            <w:pStyle w:val="15"/>
                            <w:rPr>
                              <w:rFonts w:hint="default"/>
                            </w:rPr>
                          </w:pPr>
                          <w:r>
                            <w:fldChar w:fldCharType="begin"/>
                          </w:r>
                          <w:r>
                            <w:instrText xml:space="preserve"> PAGE  \* MERGEFORMAT </w:instrText>
                          </w:r>
                          <w:r>
                            <w:fldChar w:fldCharType="separate"/>
                          </w:r>
                          <w:r>
                            <w:t>272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WEkwzAgAAXgQAAA4AAAAAAAAAAQAgAAAAHwEAAGRycy9lMm9Eb2MueG1sUEsF&#10;BgAAAAAGAAYAWQEAAMQFAAAAAA==&#10;">
              <v:fill on="f" focussize="0,0"/>
              <v:stroke on="f" weight="0.5pt"/>
              <v:imagedata o:title=""/>
              <o:lock v:ext="edit" aspectratio="f"/>
              <v:textbox inset="0mm,0mm,0mm,0mm" style="mso-fit-shape-to-text:t;">
                <w:txbxContent>
                  <w:p w14:paraId="5A05244F">
                    <w:pPr>
                      <w:pStyle w:val="15"/>
                      <w:rPr>
                        <w:rFonts w:hint="default"/>
                      </w:rPr>
                    </w:pPr>
                    <w:r>
                      <w:fldChar w:fldCharType="begin"/>
                    </w:r>
                    <w:r>
                      <w:instrText xml:space="preserve"> PAGE  \* MERGEFORMAT </w:instrText>
                    </w:r>
                    <w:r>
                      <w:fldChar w:fldCharType="separate"/>
                    </w:r>
                    <w:r>
                      <w:t>272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1030">
    <w:pPr>
      <w:pStyle w:val="15"/>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61512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A9B1B">
                          <w:pPr>
                            <w:pStyle w:val="15"/>
                            <w:rPr>
                              <w:rFonts w:hint="default"/>
                            </w:rPr>
                          </w:pPr>
                          <w:r>
                            <w:fldChar w:fldCharType="begin"/>
                          </w:r>
                          <w:r>
                            <w:instrText xml:space="preserve"> PAGE  \* MERGEFORMAT </w:instrText>
                          </w:r>
                          <w:r>
                            <w:fldChar w:fldCharType="separate"/>
                          </w:r>
                          <w:r>
                            <w:t>274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UjD6wzAgAAXgQAAA4AAAAAAAAAAQAgAAAAHwEAAGRycy9lMm9Eb2MueG1sUEsF&#10;BgAAAAAGAAYAWQEAAMQFAAAAAA==&#10;">
              <v:fill on="f" focussize="0,0"/>
              <v:stroke on="f" weight="0.5pt"/>
              <v:imagedata o:title=""/>
              <o:lock v:ext="edit" aspectratio="f"/>
              <v:textbox inset="0mm,0mm,0mm,0mm" style="mso-fit-shape-to-text:t;">
                <w:txbxContent>
                  <w:p w14:paraId="40BA9B1B">
                    <w:pPr>
                      <w:pStyle w:val="15"/>
                      <w:rPr>
                        <w:rFonts w:hint="default"/>
                      </w:rPr>
                    </w:pPr>
                    <w:r>
                      <w:fldChar w:fldCharType="begin"/>
                    </w:r>
                    <w:r>
                      <w:instrText xml:space="preserve"> PAGE  \* MERGEFORMAT </w:instrText>
                    </w:r>
                    <w:r>
                      <w:fldChar w:fldCharType="separate"/>
                    </w:r>
                    <w:r>
                      <w:t>274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0A9E">
    <w:pPr>
      <w:pStyle w:val="15"/>
      <w:framePr w:wrap="around" w:vAnchor="text" w:hAnchor="margin" w:xAlign="center" w:y="1"/>
      <w:rPr>
        <w:rStyle w:val="27"/>
        <w:rFonts w:ascii="仿宋_GB2312" w:eastAsia="仿宋_GB2312"/>
        <w:sz w:val="21"/>
        <w:szCs w:val="21"/>
      </w:rPr>
    </w:pPr>
    <w:r>
      <w:rPr>
        <w:rStyle w:val="27"/>
        <w:rFonts w:hint="eastAsia" w:ascii="仿宋_GB2312" w:eastAsia="仿宋_GB2312"/>
        <w:sz w:val="21"/>
        <w:szCs w:val="21"/>
      </w:rPr>
      <w:fldChar w:fldCharType="begin"/>
    </w:r>
    <w:r>
      <w:rPr>
        <w:rStyle w:val="27"/>
        <w:rFonts w:hint="eastAsia" w:ascii="仿宋_GB2312" w:eastAsia="仿宋_GB2312"/>
        <w:sz w:val="21"/>
        <w:szCs w:val="21"/>
      </w:rPr>
      <w:instrText xml:space="preserve">PAGE  </w:instrText>
    </w:r>
    <w:r>
      <w:rPr>
        <w:rStyle w:val="27"/>
        <w:rFonts w:hint="eastAsia" w:ascii="仿宋_GB2312" w:eastAsia="仿宋_GB2312"/>
        <w:sz w:val="21"/>
        <w:szCs w:val="21"/>
      </w:rPr>
      <w:fldChar w:fldCharType="separate"/>
    </w:r>
    <w:r>
      <w:rPr>
        <w:rStyle w:val="27"/>
        <w:rFonts w:hint="eastAsia" w:ascii="仿宋_GB2312" w:eastAsia="仿宋_GB2312"/>
        <w:sz w:val="21"/>
        <w:szCs w:val="21"/>
      </w:rPr>
      <w:t>42</w:t>
    </w:r>
    <w:r>
      <w:rPr>
        <w:rStyle w:val="27"/>
        <w:rFonts w:hint="eastAsia" w:ascii="仿宋_GB2312" w:eastAsia="仿宋_GB2312"/>
        <w:sz w:val="21"/>
        <w:szCs w:val="21"/>
      </w:rPr>
      <w:fldChar w:fldCharType="end"/>
    </w:r>
  </w:p>
  <w:p w14:paraId="7A2E03E2">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79C0">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14:paraId="76F0FC62">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CE6D">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050F2">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5050F2">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9E19">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53236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DED7">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WThdTICAABeBAAADgAAAAAAAAABACAAAAAfAQAAZHJzL2Uyb0RvYy54bWxQSwUG&#10;AAAAAAYABgBZAQAAwwUAAAAA&#10;">
              <v:fill on="f" focussize="0,0"/>
              <v:stroke on="f" weight="0.5pt"/>
              <v:imagedata o:title=""/>
              <o:lock v:ext="edit" aspectratio="f"/>
              <v:textbox inset="0mm,0mm,0mm,0mm" style="mso-fit-shape-to-text:t;">
                <w:txbxContent>
                  <w:p w14:paraId="22E6DED7">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C67B">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428847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9C66">
                          <w:pPr>
                            <w:pStyle w:val="15"/>
                            <w:rPr>
                              <w:rStyle w:val="27"/>
                              <w:rFonts w:ascii="仿宋_GB2312" w:eastAsia="仿宋_GB2312"/>
                            </w:rPr>
                          </w:pPr>
                          <w:r>
                            <w:rPr>
                              <w:rStyle w:val="27"/>
                              <w:rFonts w:hint="eastAsia" w:ascii="仿宋_GB2312" w:eastAsia="仿宋_GB2312"/>
                            </w:rPr>
                            <w:fldChar w:fldCharType="begin"/>
                          </w:r>
                          <w:r>
                            <w:rPr>
                              <w:rStyle w:val="27"/>
                              <w:rFonts w:hint="eastAsia" w:ascii="仿宋_GB2312" w:eastAsia="仿宋_GB2312"/>
                            </w:rPr>
                            <w:instrText xml:space="preserve">PAGE  </w:instrText>
                          </w:r>
                          <w:r>
                            <w:rPr>
                              <w:rStyle w:val="27"/>
                              <w:rFonts w:hint="eastAsia" w:ascii="仿宋_GB2312" w:eastAsia="仿宋_GB2312"/>
                            </w:rPr>
                            <w:fldChar w:fldCharType="separate"/>
                          </w:r>
                          <w:r>
                            <w:rPr>
                              <w:rStyle w:val="27"/>
                              <w:rFonts w:hint="eastAsia" w:ascii="仿宋_GB2312" w:eastAsia="仿宋_GB2312"/>
                            </w:rPr>
                            <w:t>68</w:t>
                          </w:r>
                          <w:r>
                            <w:rPr>
                              <w:rStyle w:val="27"/>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DutfVjICAABeBAAADgAAAAAAAAABACAAAAAfAQAAZHJzL2Uyb0RvYy54bWxQSwUG&#10;AAAAAAYABgBZAQAAwwUAAAAA&#10;">
              <v:fill on="f" focussize="0,0"/>
              <v:stroke on="f" weight="0.5pt"/>
              <v:imagedata o:title=""/>
              <o:lock v:ext="edit" aspectratio="f"/>
              <v:textbox inset="0mm,0mm,0mm,0mm" style="mso-fit-shape-to-text:t;">
                <w:txbxContent>
                  <w:p w14:paraId="01539C66">
                    <w:pPr>
                      <w:pStyle w:val="15"/>
                      <w:rPr>
                        <w:rStyle w:val="27"/>
                        <w:rFonts w:ascii="仿宋_GB2312" w:eastAsia="仿宋_GB2312"/>
                      </w:rPr>
                    </w:pPr>
                    <w:r>
                      <w:rPr>
                        <w:rStyle w:val="27"/>
                        <w:rFonts w:hint="eastAsia" w:ascii="仿宋_GB2312" w:eastAsia="仿宋_GB2312"/>
                      </w:rPr>
                      <w:fldChar w:fldCharType="begin"/>
                    </w:r>
                    <w:r>
                      <w:rPr>
                        <w:rStyle w:val="27"/>
                        <w:rFonts w:hint="eastAsia" w:ascii="仿宋_GB2312" w:eastAsia="仿宋_GB2312"/>
                      </w:rPr>
                      <w:instrText xml:space="preserve">PAGE  </w:instrText>
                    </w:r>
                    <w:r>
                      <w:rPr>
                        <w:rStyle w:val="27"/>
                        <w:rFonts w:hint="eastAsia" w:ascii="仿宋_GB2312" w:eastAsia="仿宋_GB2312"/>
                      </w:rPr>
                      <w:fldChar w:fldCharType="separate"/>
                    </w:r>
                    <w:r>
                      <w:rPr>
                        <w:rStyle w:val="27"/>
                        <w:rFonts w:hint="eastAsia" w:ascii="仿宋_GB2312" w:eastAsia="仿宋_GB2312"/>
                      </w:rPr>
                      <w:t>68</w:t>
                    </w:r>
                    <w:r>
                      <w:rPr>
                        <w:rStyle w:val="27"/>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62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7C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AAB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B32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D08D2"/>
    <w:multiLevelType w:val="singleLevel"/>
    <w:tmpl w:val="B41D08D2"/>
    <w:lvl w:ilvl="0" w:tentative="0">
      <w:start w:val="2"/>
      <w:numFmt w:val="decimal"/>
      <w:suff w:val="nothing"/>
      <w:lvlText w:val="（%1）"/>
      <w:lvlJc w:val="left"/>
    </w:lvl>
  </w:abstractNum>
  <w:abstractNum w:abstractNumId="1">
    <w:nsid w:val="DA3A142E"/>
    <w:multiLevelType w:val="singleLevel"/>
    <w:tmpl w:val="DA3A142E"/>
    <w:lvl w:ilvl="0" w:tentative="0">
      <w:start w:val="1"/>
      <w:numFmt w:val="decimal"/>
      <w:suff w:val="space"/>
      <w:lvlText w:val="%1."/>
      <w:lvlJc w:val="left"/>
    </w:lvl>
  </w:abstractNum>
  <w:abstractNum w:abstractNumId="2">
    <w:nsid w:val="00000007"/>
    <w:multiLevelType w:val="multilevel"/>
    <w:tmpl w:val="00000007"/>
    <w:lvl w:ilvl="0" w:tentative="0">
      <w:start w:val="2"/>
      <w:numFmt w:val="decimal"/>
      <w:suff w:val="nothing"/>
      <w:lvlText w:val="%1、"/>
      <w:lvlJc w:val="left"/>
      <w:pPr>
        <w:ind w:left="0" w:firstLine="0"/>
      </w:pPr>
      <w:rPr>
        <w:rFonts w:hint="default"/>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8"/>
    <w:multiLevelType w:val="singleLevel"/>
    <w:tmpl w:val="00000008"/>
    <w:lvl w:ilvl="0" w:tentative="0">
      <w:start w:val="1"/>
      <w:numFmt w:val="decimal"/>
      <w:suff w:val="space"/>
      <w:lvlText w:val="%1."/>
      <w:lvlJc w:val="left"/>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DBA776C"/>
    <w:multiLevelType w:val="singleLevel"/>
    <w:tmpl w:val="2DBA776C"/>
    <w:lvl w:ilvl="0" w:tentative="0">
      <w:start w:val="2"/>
      <w:numFmt w:val="decimal"/>
      <w:suff w:val="space"/>
      <w:lvlText w:val="（%1）"/>
      <w:lvlJc w:val="left"/>
    </w:lvl>
  </w:abstractNum>
  <w:num w:numId="1">
    <w:abstractNumId w:val="4"/>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38"/>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ZTIwZDZkZmQ1NWVkNDZhMDFkZDMyMWM1ODM0MmYifQ=="/>
    <w:docVar w:name="KSO_WPS_MARK_KEY" w:val="1ee1cfb0-9732-4c32-a2b3-953fc5492c81"/>
  </w:docVars>
  <w:rsids>
    <w:rsidRoot w:val="00000000"/>
    <w:rsid w:val="00E80370"/>
    <w:rsid w:val="01396E1E"/>
    <w:rsid w:val="0165452E"/>
    <w:rsid w:val="0168700A"/>
    <w:rsid w:val="01FE5971"/>
    <w:rsid w:val="021B4775"/>
    <w:rsid w:val="02522B81"/>
    <w:rsid w:val="0273010D"/>
    <w:rsid w:val="0379139B"/>
    <w:rsid w:val="03824757"/>
    <w:rsid w:val="04221DEB"/>
    <w:rsid w:val="04D22603"/>
    <w:rsid w:val="05056D9E"/>
    <w:rsid w:val="052B7BC2"/>
    <w:rsid w:val="053D6816"/>
    <w:rsid w:val="05EC04A4"/>
    <w:rsid w:val="060E0879"/>
    <w:rsid w:val="063B2B4D"/>
    <w:rsid w:val="063F4ED6"/>
    <w:rsid w:val="064C6E52"/>
    <w:rsid w:val="065546FA"/>
    <w:rsid w:val="06644341"/>
    <w:rsid w:val="06A25465"/>
    <w:rsid w:val="06DA69AD"/>
    <w:rsid w:val="074958E1"/>
    <w:rsid w:val="08805F84"/>
    <w:rsid w:val="08972DC9"/>
    <w:rsid w:val="08DF709F"/>
    <w:rsid w:val="093F6F9B"/>
    <w:rsid w:val="09F61D50"/>
    <w:rsid w:val="0AB80DB3"/>
    <w:rsid w:val="0B2B3C7B"/>
    <w:rsid w:val="0C840D85"/>
    <w:rsid w:val="0CA36D33"/>
    <w:rsid w:val="0DA746C4"/>
    <w:rsid w:val="0DE51938"/>
    <w:rsid w:val="0F0767AD"/>
    <w:rsid w:val="0F2869AD"/>
    <w:rsid w:val="0FFB2901"/>
    <w:rsid w:val="10CD69D2"/>
    <w:rsid w:val="10D97CD5"/>
    <w:rsid w:val="11916799"/>
    <w:rsid w:val="11C72224"/>
    <w:rsid w:val="12107727"/>
    <w:rsid w:val="131E0F03"/>
    <w:rsid w:val="13B862C8"/>
    <w:rsid w:val="13D76B59"/>
    <w:rsid w:val="142D135B"/>
    <w:rsid w:val="14941787"/>
    <w:rsid w:val="14B73B0A"/>
    <w:rsid w:val="154C4F1A"/>
    <w:rsid w:val="159A081F"/>
    <w:rsid w:val="15D13671"/>
    <w:rsid w:val="165622AB"/>
    <w:rsid w:val="16881F81"/>
    <w:rsid w:val="16A06F2B"/>
    <w:rsid w:val="16BF34C9"/>
    <w:rsid w:val="16C136E5"/>
    <w:rsid w:val="17A806FA"/>
    <w:rsid w:val="17BC3AA2"/>
    <w:rsid w:val="18743235"/>
    <w:rsid w:val="18B54B84"/>
    <w:rsid w:val="18C8063D"/>
    <w:rsid w:val="18E20128"/>
    <w:rsid w:val="1A8472A0"/>
    <w:rsid w:val="1AC26025"/>
    <w:rsid w:val="1B084478"/>
    <w:rsid w:val="1B3C701D"/>
    <w:rsid w:val="1BE340FE"/>
    <w:rsid w:val="1C267493"/>
    <w:rsid w:val="1C347B1E"/>
    <w:rsid w:val="1C5E01AD"/>
    <w:rsid w:val="1CA9401A"/>
    <w:rsid w:val="1D0965AA"/>
    <w:rsid w:val="1D210A3A"/>
    <w:rsid w:val="1D4B7A15"/>
    <w:rsid w:val="1DDD5FED"/>
    <w:rsid w:val="1DE24D04"/>
    <w:rsid w:val="1E0F2F88"/>
    <w:rsid w:val="1E6A4663"/>
    <w:rsid w:val="1E7F6837"/>
    <w:rsid w:val="1E892D3B"/>
    <w:rsid w:val="1EA543A2"/>
    <w:rsid w:val="1EC10747"/>
    <w:rsid w:val="1F596DE3"/>
    <w:rsid w:val="1F967C3C"/>
    <w:rsid w:val="1FAA4E84"/>
    <w:rsid w:val="1FB9730F"/>
    <w:rsid w:val="1FBE4C66"/>
    <w:rsid w:val="20ED7F77"/>
    <w:rsid w:val="213A47C0"/>
    <w:rsid w:val="21DE339D"/>
    <w:rsid w:val="22FD3048"/>
    <w:rsid w:val="230E74C5"/>
    <w:rsid w:val="23AE6D9F"/>
    <w:rsid w:val="23C12F77"/>
    <w:rsid w:val="23C860B3"/>
    <w:rsid w:val="243454F7"/>
    <w:rsid w:val="245E07C6"/>
    <w:rsid w:val="24A26C72"/>
    <w:rsid w:val="250A6257"/>
    <w:rsid w:val="250E3F9A"/>
    <w:rsid w:val="257162D7"/>
    <w:rsid w:val="259D531E"/>
    <w:rsid w:val="265E0CC2"/>
    <w:rsid w:val="267B5085"/>
    <w:rsid w:val="26A526DC"/>
    <w:rsid w:val="26A56376"/>
    <w:rsid w:val="270D0E39"/>
    <w:rsid w:val="273F4228"/>
    <w:rsid w:val="27B765AB"/>
    <w:rsid w:val="281713B7"/>
    <w:rsid w:val="28171F7C"/>
    <w:rsid w:val="282D0BDB"/>
    <w:rsid w:val="283F77A6"/>
    <w:rsid w:val="288527C5"/>
    <w:rsid w:val="28BC194E"/>
    <w:rsid w:val="28FB2A87"/>
    <w:rsid w:val="28FB59DC"/>
    <w:rsid w:val="29F714A0"/>
    <w:rsid w:val="2ADE38DD"/>
    <w:rsid w:val="2B1C6AA5"/>
    <w:rsid w:val="2B312790"/>
    <w:rsid w:val="2B5A166A"/>
    <w:rsid w:val="2C020A11"/>
    <w:rsid w:val="2C1B0D4A"/>
    <w:rsid w:val="2C7C3EDF"/>
    <w:rsid w:val="2C804AD2"/>
    <w:rsid w:val="2D0F65A6"/>
    <w:rsid w:val="2EE10D0D"/>
    <w:rsid w:val="2F8A246F"/>
    <w:rsid w:val="2FA722ED"/>
    <w:rsid w:val="2FF700B2"/>
    <w:rsid w:val="300E12F2"/>
    <w:rsid w:val="301D5049"/>
    <w:rsid w:val="304C5976"/>
    <w:rsid w:val="30DF2C8E"/>
    <w:rsid w:val="321F3964"/>
    <w:rsid w:val="32D1231E"/>
    <w:rsid w:val="334868C9"/>
    <w:rsid w:val="33945FB2"/>
    <w:rsid w:val="33AD36F5"/>
    <w:rsid w:val="33C63C91"/>
    <w:rsid w:val="33EA4ADB"/>
    <w:rsid w:val="34086058"/>
    <w:rsid w:val="3468736C"/>
    <w:rsid w:val="34A55F9D"/>
    <w:rsid w:val="34D10B40"/>
    <w:rsid w:val="35077EB6"/>
    <w:rsid w:val="351B1DBB"/>
    <w:rsid w:val="353A0807"/>
    <w:rsid w:val="354D588F"/>
    <w:rsid w:val="35745108"/>
    <w:rsid w:val="3583008C"/>
    <w:rsid w:val="359E01CA"/>
    <w:rsid w:val="35DA1C76"/>
    <w:rsid w:val="36161736"/>
    <w:rsid w:val="36352F10"/>
    <w:rsid w:val="36380B2B"/>
    <w:rsid w:val="363B4A32"/>
    <w:rsid w:val="36421E64"/>
    <w:rsid w:val="366D6A2D"/>
    <w:rsid w:val="36935DFC"/>
    <w:rsid w:val="36CA5847"/>
    <w:rsid w:val="374B2E2B"/>
    <w:rsid w:val="375335FD"/>
    <w:rsid w:val="37936580"/>
    <w:rsid w:val="37CD3840"/>
    <w:rsid w:val="38321EF7"/>
    <w:rsid w:val="38D21E2E"/>
    <w:rsid w:val="39B32F0A"/>
    <w:rsid w:val="3A63048C"/>
    <w:rsid w:val="3A761998"/>
    <w:rsid w:val="3AE62516"/>
    <w:rsid w:val="3AF42DDE"/>
    <w:rsid w:val="3B201ED9"/>
    <w:rsid w:val="3B251BE5"/>
    <w:rsid w:val="3B357576"/>
    <w:rsid w:val="3B5D353C"/>
    <w:rsid w:val="3CC83184"/>
    <w:rsid w:val="3E822F8A"/>
    <w:rsid w:val="3E833CA2"/>
    <w:rsid w:val="3E952BDE"/>
    <w:rsid w:val="3ED23E32"/>
    <w:rsid w:val="3ED95F70"/>
    <w:rsid w:val="3F0264C5"/>
    <w:rsid w:val="3F3B486D"/>
    <w:rsid w:val="3F84496C"/>
    <w:rsid w:val="3FA32209"/>
    <w:rsid w:val="40170111"/>
    <w:rsid w:val="403F2E01"/>
    <w:rsid w:val="407422FD"/>
    <w:rsid w:val="416922FA"/>
    <w:rsid w:val="41AD516E"/>
    <w:rsid w:val="420A4299"/>
    <w:rsid w:val="42921365"/>
    <w:rsid w:val="42AC31DB"/>
    <w:rsid w:val="42AE5E51"/>
    <w:rsid w:val="43464C8C"/>
    <w:rsid w:val="435E6F8B"/>
    <w:rsid w:val="438C6CBC"/>
    <w:rsid w:val="4420119C"/>
    <w:rsid w:val="44DA759D"/>
    <w:rsid w:val="455235D7"/>
    <w:rsid w:val="45CD0A27"/>
    <w:rsid w:val="467557CF"/>
    <w:rsid w:val="46893028"/>
    <w:rsid w:val="47335B9E"/>
    <w:rsid w:val="4756678A"/>
    <w:rsid w:val="4772760F"/>
    <w:rsid w:val="47BE6D02"/>
    <w:rsid w:val="48223734"/>
    <w:rsid w:val="489C0E30"/>
    <w:rsid w:val="492359B6"/>
    <w:rsid w:val="498A2208"/>
    <w:rsid w:val="499410ED"/>
    <w:rsid w:val="49AD702E"/>
    <w:rsid w:val="4A5150DB"/>
    <w:rsid w:val="4B2E24D4"/>
    <w:rsid w:val="4B6614EE"/>
    <w:rsid w:val="4B661B8A"/>
    <w:rsid w:val="4B6814DC"/>
    <w:rsid w:val="4B6D6DE3"/>
    <w:rsid w:val="4B78418C"/>
    <w:rsid w:val="4D4001B9"/>
    <w:rsid w:val="4D8207D1"/>
    <w:rsid w:val="4DF26E33"/>
    <w:rsid w:val="4DF419A5"/>
    <w:rsid w:val="4E1753BE"/>
    <w:rsid w:val="4E697477"/>
    <w:rsid w:val="4EA604F0"/>
    <w:rsid w:val="4ECE1D53"/>
    <w:rsid w:val="4FAB2261"/>
    <w:rsid w:val="505B060C"/>
    <w:rsid w:val="50A26ECD"/>
    <w:rsid w:val="51037011"/>
    <w:rsid w:val="51694182"/>
    <w:rsid w:val="5261398F"/>
    <w:rsid w:val="5424700A"/>
    <w:rsid w:val="546C32D0"/>
    <w:rsid w:val="54905ECA"/>
    <w:rsid w:val="54AA6F8B"/>
    <w:rsid w:val="54F75F49"/>
    <w:rsid w:val="551E34D6"/>
    <w:rsid w:val="55852E44"/>
    <w:rsid w:val="55A20B49"/>
    <w:rsid w:val="55B41744"/>
    <w:rsid w:val="55EA33B8"/>
    <w:rsid w:val="57563E6C"/>
    <w:rsid w:val="582F025F"/>
    <w:rsid w:val="58315A42"/>
    <w:rsid w:val="59491FD9"/>
    <w:rsid w:val="59745DBA"/>
    <w:rsid w:val="5996188C"/>
    <w:rsid w:val="5A004074"/>
    <w:rsid w:val="5B5E0630"/>
    <w:rsid w:val="5B8439F4"/>
    <w:rsid w:val="5BEA5EBF"/>
    <w:rsid w:val="5C335AB8"/>
    <w:rsid w:val="5C476215"/>
    <w:rsid w:val="5CC9601D"/>
    <w:rsid w:val="5D2703C4"/>
    <w:rsid w:val="5D4C0510"/>
    <w:rsid w:val="5DB20C5F"/>
    <w:rsid w:val="5DD02C46"/>
    <w:rsid w:val="5EA54320"/>
    <w:rsid w:val="5F296CFF"/>
    <w:rsid w:val="5F3F29C6"/>
    <w:rsid w:val="5F8F1727"/>
    <w:rsid w:val="611176F3"/>
    <w:rsid w:val="61224C66"/>
    <w:rsid w:val="615130FF"/>
    <w:rsid w:val="62214605"/>
    <w:rsid w:val="62F454C1"/>
    <w:rsid w:val="63F024E1"/>
    <w:rsid w:val="63F3335D"/>
    <w:rsid w:val="646E4694"/>
    <w:rsid w:val="64F32289"/>
    <w:rsid w:val="64F92C6C"/>
    <w:rsid w:val="65D810A8"/>
    <w:rsid w:val="667E5B82"/>
    <w:rsid w:val="66C60AFB"/>
    <w:rsid w:val="67063270"/>
    <w:rsid w:val="67460182"/>
    <w:rsid w:val="67803F6A"/>
    <w:rsid w:val="683D0EE5"/>
    <w:rsid w:val="689A6903"/>
    <w:rsid w:val="68B25FB7"/>
    <w:rsid w:val="68CD2DF1"/>
    <w:rsid w:val="69134D93"/>
    <w:rsid w:val="69AE058E"/>
    <w:rsid w:val="69B225B2"/>
    <w:rsid w:val="6AC32A7F"/>
    <w:rsid w:val="6B8974A3"/>
    <w:rsid w:val="6B9419A4"/>
    <w:rsid w:val="6D48513C"/>
    <w:rsid w:val="6D4E7DB2"/>
    <w:rsid w:val="6D8223FC"/>
    <w:rsid w:val="6D9C0FE4"/>
    <w:rsid w:val="6F822668"/>
    <w:rsid w:val="6F913709"/>
    <w:rsid w:val="70010662"/>
    <w:rsid w:val="705D2CAC"/>
    <w:rsid w:val="705F559D"/>
    <w:rsid w:val="70D35434"/>
    <w:rsid w:val="71917360"/>
    <w:rsid w:val="71A375BB"/>
    <w:rsid w:val="71F238C8"/>
    <w:rsid w:val="72530976"/>
    <w:rsid w:val="72D54D7C"/>
    <w:rsid w:val="74B17A6A"/>
    <w:rsid w:val="74F04F77"/>
    <w:rsid w:val="75620E2D"/>
    <w:rsid w:val="75624285"/>
    <w:rsid w:val="75883E2C"/>
    <w:rsid w:val="75B415C0"/>
    <w:rsid w:val="763C15B6"/>
    <w:rsid w:val="7696181A"/>
    <w:rsid w:val="772A140E"/>
    <w:rsid w:val="779223C3"/>
    <w:rsid w:val="77C96E79"/>
    <w:rsid w:val="78320EC2"/>
    <w:rsid w:val="7A2C4364"/>
    <w:rsid w:val="7A41719B"/>
    <w:rsid w:val="7A67670A"/>
    <w:rsid w:val="7AB0585B"/>
    <w:rsid w:val="7ABB519F"/>
    <w:rsid w:val="7B0408F4"/>
    <w:rsid w:val="7BBA0721"/>
    <w:rsid w:val="7BC2255D"/>
    <w:rsid w:val="7C6D7F34"/>
    <w:rsid w:val="7CFA69DC"/>
    <w:rsid w:val="7D221406"/>
    <w:rsid w:val="7D2C1930"/>
    <w:rsid w:val="7D68620F"/>
    <w:rsid w:val="7D7C30CE"/>
    <w:rsid w:val="7D9121E7"/>
    <w:rsid w:val="7E1448F8"/>
    <w:rsid w:val="7E6B47E6"/>
    <w:rsid w:val="7E6F29EA"/>
    <w:rsid w:val="7ED311A8"/>
    <w:rsid w:val="7F7C1E44"/>
    <w:rsid w:val="7F815141"/>
    <w:rsid w:val="7FAE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Document Map"/>
    <w:basedOn w:val="1"/>
    <w:next w:val="6"/>
    <w:unhideWhenUsed/>
    <w:qFormat/>
    <w:uiPriority w:val="99"/>
  </w:style>
  <w:style w:type="paragraph" w:styleId="6">
    <w:name w:val="Block Text"/>
    <w:basedOn w:val="1"/>
    <w:qFormat/>
    <w:uiPriority w:val="0"/>
    <w:pPr>
      <w:jc w:val="center"/>
    </w:pPr>
  </w:style>
  <w:style w:type="paragraph" w:styleId="7">
    <w:name w:val="Body Text"/>
    <w:basedOn w:val="1"/>
    <w:unhideWhenUsed/>
    <w:qFormat/>
    <w:uiPriority w:val="0"/>
    <w:pPr>
      <w:spacing w:after="120"/>
    </w:pPr>
  </w:style>
  <w:style w:type="paragraph" w:styleId="8">
    <w:name w:val="Body Text Indent"/>
    <w:basedOn w:val="9"/>
    <w:next w:val="11"/>
    <w:qFormat/>
    <w:uiPriority w:val="0"/>
    <w:pPr>
      <w:spacing w:after="120"/>
      <w:ind w:left="420" w:leftChars="200"/>
    </w:pPr>
    <w:rPr>
      <w:kern w:val="0"/>
      <w:sz w:val="20"/>
    </w:rPr>
  </w:style>
  <w:style w:type="paragraph" w:customStyle="1" w:styleId="9">
    <w:name w:val="正文_0_0_0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8"/>
    <w:qFormat/>
    <w:uiPriority w:val="0"/>
    <w:pPr>
      <w:widowControl w:val="0"/>
      <w:spacing w:before="0" w:after="120"/>
      <w:ind w:left="420" w:leftChars="200" w:right="0" w:firstLine="420"/>
      <w:jc w:val="both"/>
    </w:pPr>
    <w:rPr>
      <w:rFonts w:ascii="Times New Roman" w:hAnsi="Times New Roman" w:eastAsia="宋体" w:cs="Times New Roman"/>
      <w:kern w:val="2"/>
      <w:sz w:val="21"/>
      <w:szCs w:val="22"/>
      <w:lang w:val="en-US" w:eastAsia="zh-CN" w:bidi="ar-SA"/>
    </w:rPr>
  </w:style>
  <w:style w:type="paragraph" w:styleId="11">
    <w:name w:val="envelope return"/>
    <w:basedOn w:val="9"/>
    <w:qFormat/>
    <w:uiPriority w:val="0"/>
    <w:pPr>
      <w:adjustRightInd w:val="0"/>
      <w:snapToGrid w:val="0"/>
      <w:spacing w:line="360" w:lineRule="auto"/>
      <w:jc w:val="left"/>
      <w:textAlignment w:val="baseline"/>
    </w:pPr>
    <w:rPr>
      <w:rFonts w:ascii="Arial" w:hAnsi="Arial" w:eastAsia="仿宋_GB2312" w:cs="Arial"/>
      <w:kern w:val="0"/>
      <w:sz w:val="32"/>
      <w:szCs w:val="32"/>
    </w:rPr>
  </w:style>
  <w:style w:type="paragraph" w:styleId="12">
    <w:name w:val="toc 3"/>
    <w:basedOn w:val="1"/>
    <w:next w:val="1"/>
    <w:qFormat/>
    <w:uiPriority w:val="0"/>
    <w:pPr>
      <w:ind w:left="480"/>
    </w:pPr>
  </w:style>
  <w:style w:type="paragraph" w:styleId="13">
    <w:name w:val="Plain Text"/>
    <w:basedOn w:val="1"/>
    <w:link w:val="33"/>
    <w:qFormat/>
    <w:uiPriority w:val="99"/>
    <w:pPr>
      <w:spacing w:line="305" w:lineRule="auto"/>
      <w:ind w:firstLine="420"/>
    </w:pPr>
    <w:rPr>
      <w:rFonts w:ascii="宋体" w:hAnsi="Courier New" w:cs="Courier New"/>
      <w:szCs w:val="21"/>
    </w:rPr>
  </w:style>
  <w:style w:type="paragraph" w:styleId="14">
    <w:name w:val="Date"/>
    <w:basedOn w:val="1"/>
    <w:next w:val="1"/>
    <w:qFormat/>
    <w:uiPriority w:val="0"/>
    <w:rPr>
      <w:sz w:val="24"/>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240"/>
    </w:pPr>
  </w:style>
  <w:style w:type="paragraph" w:styleId="19">
    <w:name w:val="Body Text 2"/>
    <w:basedOn w:val="1"/>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1">
    <w:name w:val="Body Text First Indent"/>
    <w:basedOn w:val="7"/>
    <w:next w:val="22"/>
    <w:qFormat/>
    <w:uiPriority w:val="0"/>
    <w:pPr>
      <w:ind w:firstLine="100" w:firstLineChars="100"/>
    </w:pPr>
  </w:style>
  <w:style w:type="paragraph" w:customStyle="1" w:styleId="22">
    <w:name w:val="正文_0_0_1"/>
    <w:next w:val="21"/>
    <w:qFormat/>
    <w:uiPriority w:val="0"/>
    <w:pPr>
      <w:widowControl w:val="0"/>
      <w:jc w:val="both"/>
    </w:pPr>
    <w:rPr>
      <w:rFonts w:ascii="Calibri" w:hAnsi="Calibri" w:eastAsia="宋体" w:cs="Times New Roman"/>
      <w:kern w:val="2"/>
      <w:sz w:val="21"/>
      <w:szCs w:val="22"/>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qFormat/>
    <w:uiPriority w:val="0"/>
  </w:style>
  <w:style w:type="character" w:styleId="28">
    <w:name w:val="Hyperlink"/>
    <w:basedOn w:val="25"/>
    <w:qFormat/>
    <w:uiPriority w:val="0"/>
    <w:rPr>
      <w:color w:val="0000FF"/>
      <w:u w:val="single"/>
    </w:rPr>
  </w:style>
  <w:style w:type="character" w:customStyle="1" w:styleId="29">
    <w:name w:val="标题 2 字符"/>
    <w:link w:val="3"/>
    <w:qFormat/>
    <w:uiPriority w:val="0"/>
    <w:rPr>
      <w:rFonts w:ascii="Arial" w:hAnsi="Arial" w:eastAsia="黑体" w:cs="Times New Roman"/>
      <w:b/>
      <w:bCs/>
      <w:kern w:val="2"/>
      <w:sz w:val="32"/>
      <w:szCs w:val="32"/>
      <w:lang w:eastAsia="zh-CN"/>
    </w:rPr>
  </w:style>
  <w:style w:type="paragraph" w:customStyle="1" w:styleId="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1">
    <w:name w:val="标题 3 字符"/>
    <w:link w:val="4"/>
    <w:qFormat/>
    <w:uiPriority w:val="0"/>
    <w:rPr>
      <w:rFonts w:ascii="Times New Roman" w:hAnsi="Times New Roman" w:eastAsia="宋体" w:cs="Times New Roman"/>
      <w:b/>
      <w:bCs/>
      <w:kern w:val="2"/>
      <w:sz w:val="32"/>
      <w:szCs w:val="32"/>
      <w:lang w:eastAsia="zh-CN"/>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33">
    <w:name w:val="纯文本 字符"/>
    <w:link w:val="13"/>
    <w:qFormat/>
    <w:uiPriority w:val="0"/>
    <w:rPr>
      <w:rFonts w:ascii="宋体" w:hAnsi="Courier New" w:eastAsia="宋体" w:cs="Courier New"/>
      <w:kern w:val="2"/>
      <w:sz w:val="21"/>
      <w:szCs w:val="21"/>
      <w:lang w:eastAsia="zh-CN"/>
    </w:rPr>
  </w:style>
  <w:style w:type="paragraph" w:customStyle="1" w:styleId="34">
    <w:name w:val="Normal_2"/>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引用1"/>
    <w:basedOn w:val="36"/>
    <w:next w:val="37"/>
    <w:qFormat/>
    <w:uiPriority w:val="0"/>
    <w:rPr>
      <w:rFonts w:ascii="Calibri" w:hAnsi="Calibri" w:eastAsia="宋体" w:cs="Times New Roman"/>
      <w:iCs/>
      <w:color w:val="000000"/>
      <w:lang w:val="en-US" w:eastAsia="en-US" w:bidi="ar-SA"/>
    </w:rPr>
  </w:style>
  <w:style w:type="paragraph" w:customStyle="1" w:styleId="36">
    <w:name w:val="Normal_0_1_0"/>
    <w:next w:val="35"/>
    <w:qFormat/>
    <w:uiPriority w:val="0"/>
    <w:pPr>
      <w:widowControl w:val="0"/>
    </w:pPr>
    <w:rPr>
      <w:rFonts w:ascii="Times New Roman" w:hAnsi="Times New Roman" w:eastAsia="仿宋_GB2312" w:cs="Times New Roman"/>
      <w:sz w:val="28"/>
      <w:szCs w:val="28"/>
      <w:lang w:val="en-US" w:eastAsia="zh-CN" w:bidi="ar-SA"/>
    </w:rPr>
  </w:style>
  <w:style w:type="paragraph" w:customStyle="1" w:styleId="37">
    <w:name w:val="正文_0_0_0"/>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通用标题6"/>
    <w:basedOn w:val="1"/>
    <w:qFormat/>
    <w:uiPriority w:val="0"/>
    <w:pPr>
      <w:widowControl/>
      <w:numPr>
        <w:ilvl w:val="4"/>
        <w:numId w:val="1"/>
      </w:numPr>
      <w:tabs>
        <w:tab w:val="left" w:pos="993"/>
      </w:tabs>
      <w:adjustRightInd w:val="0"/>
      <w:snapToGrid w:val="0"/>
      <w:spacing w:after="120" w:afterLines="50" w:line="360" w:lineRule="auto"/>
      <w:ind w:firstLine="0"/>
    </w:pPr>
    <w:rPr>
      <w:rFonts w:ascii="宋体" w:hAnsi="宋体"/>
      <w:kern w:val="0"/>
      <w:sz w:val="24"/>
      <w:szCs w:val="20"/>
    </w:rPr>
  </w:style>
  <w:style w:type="paragraph" w:customStyle="1" w:styleId="39">
    <w:name w:val="正文_0_0"/>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Table Paragraph"/>
    <w:basedOn w:val="39"/>
    <w:qFormat/>
    <w:uiPriority w:val="1"/>
  </w:style>
  <w:style w:type="paragraph" w:customStyle="1" w:styleId="42">
    <w:name w:val="Normal_0_0"/>
    <w:next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专用标题2"/>
    <w:basedOn w:val="3"/>
    <w:next w:val="1"/>
    <w:qFormat/>
    <w:uiPriority w:val="0"/>
    <w:pPr>
      <w:keepNext w:val="0"/>
      <w:keepLines w:val="0"/>
      <w:widowControl/>
      <w:tabs>
        <w:tab w:val="left" w:pos="993"/>
      </w:tabs>
      <w:adjustRightInd w:val="0"/>
      <w:snapToGrid w:val="0"/>
      <w:spacing w:before="0" w:after="60" w:afterLines="50" w:line="360" w:lineRule="auto"/>
    </w:pPr>
    <w:rPr>
      <w:rFonts w:ascii="宋体" w:hAnsi="宋体" w:eastAsia="宋体" w:cs="Times"/>
      <w:bCs w:val="0"/>
      <w:kern w:val="0"/>
      <w:sz w:val="28"/>
      <w:szCs w:val="20"/>
    </w:rPr>
  </w:style>
  <w:style w:type="paragraph" w:customStyle="1" w:styleId="44">
    <w:name w:val="Normal_1"/>
    <w:qFormat/>
    <w:uiPriority w:val="0"/>
    <w:rPr>
      <w:rFonts w:ascii="Times New Roman" w:hAnsi="Times New Roman" w:eastAsia="Times New Roman" w:cs="Times New Roman"/>
      <w:sz w:val="24"/>
      <w:szCs w:val="24"/>
      <w:lang w:val="en-US" w:eastAsia="zh-CN" w:bidi="ar-SA"/>
    </w:rPr>
  </w:style>
  <w:style w:type="paragraph" w:customStyle="1" w:styleId="45">
    <w:name w:val="样式3"/>
    <w:basedOn w:val="34"/>
    <w:qFormat/>
    <w:uiPriority w:val="99"/>
    <w:pPr>
      <w:widowControl/>
      <w:spacing w:line="360" w:lineRule="auto"/>
      <w:ind w:firstLine="200" w:firstLineChars="200"/>
      <w:jc w:val="left"/>
    </w:pPr>
    <w:rPr>
      <w:rFonts w:ascii="Times New Roman" w:hAnsi="Times New Roman"/>
      <w:sz w:val="24"/>
      <w:szCs w:val="28"/>
    </w:rPr>
  </w:style>
  <w:style w:type="table" w:customStyle="1" w:styleId="46">
    <w:name w:val="Table Normal_0"/>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7">
    <w:name w:val="正文_0"/>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
    <w:basedOn w:val="47"/>
    <w:qFormat/>
    <w:uiPriority w:val="0"/>
    <w:pPr>
      <w:spacing w:line="360" w:lineRule="auto"/>
      <w:ind w:firstLine="200" w:firstLineChars="200"/>
    </w:pPr>
    <w:rPr>
      <w:kern w:val="0"/>
      <w:sz w:val="24"/>
      <w:szCs w:val="20"/>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
    <w:name w:val="协议书标题2"/>
    <w:basedOn w:val="3"/>
    <w:next w:val="1"/>
    <w:qFormat/>
    <w:uiPriority w:val="99"/>
    <w:pPr>
      <w:keepNext w:val="0"/>
      <w:keepLines w:val="0"/>
      <w:widowControl/>
      <w:tabs>
        <w:tab w:val="left" w:pos="567"/>
      </w:tabs>
      <w:wordWrap w:val="0"/>
      <w:topLinePunct/>
      <w:adjustRightInd w:val="0"/>
      <w:snapToGrid w:val="0"/>
      <w:spacing w:before="0" w:afterLines="50" w:line="360" w:lineRule="auto"/>
      <w:ind w:left="780"/>
      <w:jc w:val="left"/>
    </w:pPr>
    <w:rPr>
      <w:rFonts w:ascii="宋体" w:hAnsi="宋体" w:eastAsia="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header" Target="header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footer" Target="foot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273</Pages>
  <Words>6832</Words>
  <Characters>7969</Characters>
  <Lines>0</Lines>
  <Paragraphs>0</Paragraphs>
  <TotalTime>325</TotalTime>
  <ScaleCrop>false</ScaleCrop>
  <LinksUpToDate>false</LinksUpToDate>
  <CharactersWithSpaces>8605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智圆行方</cp:lastModifiedBy>
  <dcterms:modified xsi:type="dcterms:W3CDTF">2025-05-15T08:18:28Z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C1FE2F3FD0A744E7A6DF3317C11E4EF9_13</vt:lpwstr>
  </property>
  <property fmtid="{D5CDD505-2E9C-101B-9397-08002B2CF9AE}" pid="3" name="KSOProductBuildVer">
    <vt:lpwstr>2052-12.1.0.20784</vt:lpwstr>
  </property>
  <property fmtid="{D5CDD505-2E9C-101B-9397-08002B2CF9AE}" pid="4" name="KSOTemplateDocerSaveRecord">
    <vt:lpwstr>eyJoZGlkIjoiN2RlZGM3ODQ5NTk5YzlmN2QyYmU4NWY3MjYzZjgxNWMiLCJ1c2VySWQiOiIxMzAxNDE5NDc1In0=</vt:lpwstr>
  </property>
</Properties>
</file>